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164F9" w14:textId="77777777" w:rsidR="00516D04" w:rsidRPr="00516D04" w:rsidRDefault="00516D04" w:rsidP="006A422D">
      <w:pPr>
        <w:pStyle w:val="Heading1"/>
      </w:pPr>
      <w:r w:rsidRPr="00516D04">
        <w:t>Career Services in the American Job Center (AJC)</w:t>
      </w:r>
    </w:p>
    <w:p w14:paraId="673B69C3" w14:textId="570F8ABB" w:rsidR="00516D04" w:rsidRPr="00516D04" w:rsidRDefault="006A422D" w:rsidP="006A422D">
      <w:pPr>
        <w:pStyle w:val="Heading2"/>
      </w:pPr>
      <w:r>
        <w:t xml:space="preserve">Reference: </w:t>
      </w:r>
      <w:r w:rsidR="00516D04" w:rsidRPr="00516D04">
        <w:t>§ 678.425</w:t>
      </w:r>
      <w:r>
        <w:t xml:space="preserve"> </w:t>
      </w:r>
      <w:r w:rsidR="00516D04" w:rsidRPr="00516D04">
        <w:t>- § 678.43</w:t>
      </w:r>
      <w:r>
        <w:t xml:space="preserve">0; </w:t>
      </w:r>
      <w:r w:rsidR="00516D04" w:rsidRPr="00516D04">
        <w:t>§ 361.425 - § 361.43</w:t>
      </w:r>
      <w:r>
        <w:t xml:space="preserve">0; </w:t>
      </w:r>
      <w:r w:rsidR="00516D04" w:rsidRPr="00516D04">
        <w:t>§ 463.425 - § 463.430</w:t>
      </w:r>
    </w:p>
    <w:p w14:paraId="6D555EB7" w14:textId="0F2E2C7A" w:rsidR="00516D04" w:rsidRDefault="00D83FFE" w:rsidP="00516D04">
      <w:pPr>
        <w:shd w:val="clear" w:color="auto" w:fill="FFFFFF" w:themeFill="background1"/>
        <w:spacing w:after="0" w:line="240" w:lineRule="auto"/>
        <w:rPr>
          <w:rFonts w:asciiTheme="minorHAnsi" w:eastAsia="Times New Roman" w:hAnsiTheme="minorHAnsi" w:cs="Helvetica"/>
          <w:b/>
          <w:sz w:val="20"/>
          <w:szCs w:val="20"/>
        </w:rPr>
      </w:pPr>
      <w:hyperlink r:id="rId7" w:anchor="sectno-citation-%E2%80%89361.425" w:history="1">
        <w:r w:rsidR="00516D04" w:rsidRPr="00516D04">
          <w:rPr>
            <w:rFonts w:asciiTheme="minorHAnsi" w:eastAsia="Times New Roman" w:hAnsiTheme="minorHAnsi" w:cs="Helvetica"/>
            <w:b/>
            <w:sz w:val="20"/>
            <w:szCs w:val="20"/>
            <w:bdr w:val="none" w:sz="0" w:space="0" w:color="auto" w:frame="1"/>
          </w:rPr>
          <w:t xml:space="preserve">§ 361.425 </w:t>
        </w:r>
      </w:hyperlink>
      <w:r w:rsidR="00516D04" w:rsidRPr="00516D04">
        <w:rPr>
          <w:rFonts w:asciiTheme="minorHAnsi" w:eastAsia="Times New Roman" w:hAnsiTheme="minorHAnsi" w:cs="Helvetica"/>
          <w:b/>
          <w:sz w:val="20"/>
          <w:szCs w:val="20"/>
        </w:rPr>
        <w:t>What are the applicable career services that must be provided through the one-stop delivery system by required one-stop partners?</w:t>
      </w:r>
    </w:p>
    <w:p w14:paraId="796CFA1E" w14:textId="77777777" w:rsidR="006A422D" w:rsidRPr="00516D04" w:rsidRDefault="006A422D" w:rsidP="00516D04">
      <w:pPr>
        <w:shd w:val="clear" w:color="auto" w:fill="FFFFFF" w:themeFill="background1"/>
        <w:spacing w:after="0" w:line="240" w:lineRule="auto"/>
        <w:rPr>
          <w:rFonts w:asciiTheme="minorHAnsi" w:eastAsia="Times New Roman" w:hAnsiTheme="minorHAnsi" w:cs="Helvetica"/>
          <w:b/>
          <w:sz w:val="20"/>
          <w:szCs w:val="20"/>
        </w:rPr>
      </w:pPr>
    </w:p>
    <w:p w14:paraId="7F1F7C80" w14:textId="77777777" w:rsidR="00516D04" w:rsidRPr="00516D04" w:rsidRDefault="00516D04" w:rsidP="00516D04">
      <w:pPr>
        <w:shd w:val="clear" w:color="auto" w:fill="FFFFFF" w:themeFill="background1"/>
        <w:spacing w:after="150" w:line="240" w:lineRule="auto"/>
        <w:rPr>
          <w:rFonts w:asciiTheme="minorHAnsi" w:eastAsia="Times New Roman" w:hAnsiTheme="minorHAnsi" w:cs="Helvetica"/>
          <w:sz w:val="20"/>
          <w:szCs w:val="20"/>
        </w:rPr>
      </w:pPr>
      <w:r w:rsidRPr="00516D04">
        <w:rPr>
          <w:rFonts w:asciiTheme="minorHAnsi" w:eastAsia="Times New Roman" w:hAnsiTheme="minorHAnsi" w:cs="Helvetica"/>
          <w:sz w:val="20"/>
          <w:szCs w:val="20"/>
        </w:rPr>
        <w:t>(a) The applicable career services to be delivered by required one-stop partners are those services listed in § 361.430 that are authorized to be provided under each partner's program.</w:t>
      </w:r>
    </w:p>
    <w:p w14:paraId="75F83B99" w14:textId="77777777" w:rsidR="00516D04" w:rsidRPr="00516D04" w:rsidRDefault="00516D04" w:rsidP="00516D04">
      <w:pPr>
        <w:shd w:val="clear" w:color="auto" w:fill="FFFFFF" w:themeFill="background1"/>
        <w:spacing w:after="0" w:line="240" w:lineRule="auto"/>
        <w:rPr>
          <w:rFonts w:asciiTheme="minorHAnsi" w:eastAsia="Times New Roman" w:hAnsiTheme="minorHAnsi" w:cs="Helvetica"/>
          <w:sz w:val="20"/>
          <w:szCs w:val="20"/>
        </w:rPr>
      </w:pPr>
      <w:r w:rsidRPr="00516D04">
        <w:rPr>
          <w:rFonts w:asciiTheme="minorHAnsi" w:eastAsia="Times New Roman" w:hAnsiTheme="minorHAnsi" w:cs="Helvetica"/>
          <w:sz w:val="20"/>
          <w:szCs w:val="20"/>
        </w:rPr>
        <w:t>(b) One-stop centers provide services to individual customers based on individual needs, including the seamless delivery of multiple services to individual customers. There is no required sequence of services.</w:t>
      </w:r>
    </w:p>
    <w:p w14:paraId="4F135B96" w14:textId="77777777" w:rsidR="00516D04" w:rsidRPr="00516D04" w:rsidRDefault="00516D04" w:rsidP="00516D04">
      <w:pPr>
        <w:shd w:val="clear" w:color="auto" w:fill="FFFFFF" w:themeFill="background1"/>
        <w:spacing w:after="0" w:line="240" w:lineRule="auto"/>
        <w:rPr>
          <w:rFonts w:asciiTheme="minorHAnsi" w:eastAsia="Times New Roman" w:hAnsiTheme="minorHAnsi" w:cs="Helvetica"/>
          <w:sz w:val="20"/>
          <w:szCs w:val="20"/>
        </w:rPr>
      </w:pPr>
    </w:p>
    <w:p w14:paraId="34AD5ED6" w14:textId="2DB34C00" w:rsidR="00516D04" w:rsidRDefault="00D83FFE" w:rsidP="00516D04">
      <w:pPr>
        <w:shd w:val="clear" w:color="auto" w:fill="FFFFFF" w:themeFill="background1"/>
        <w:spacing w:after="0" w:line="240" w:lineRule="auto"/>
        <w:rPr>
          <w:rFonts w:asciiTheme="minorHAnsi" w:eastAsia="Times New Roman" w:hAnsiTheme="minorHAnsi" w:cs="Helvetica"/>
          <w:b/>
          <w:sz w:val="20"/>
          <w:szCs w:val="20"/>
        </w:rPr>
      </w:pPr>
      <w:hyperlink r:id="rId8" w:anchor="sectno-citation-%E2%80%89361.430" w:history="1">
        <w:r w:rsidR="00516D04" w:rsidRPr="00516D04">
          <w:rPr>
            <w:rFonts w:asciiTheme="minorHAnsi" w:eastAsia="Times New Roman" w:hAnsiTheme="minorHAnsi" w:cs="Helvetica"/>
            <w:b/>
            <w:sz w:val="20"/>
            <w:szCs w:val="20"/>
            <w:bdr w:val="none" w:sz="0" w:space="0" w:color="auto" w:frame="1"/>
          </w:rPr>
          <w:t xml:space="preserve">§ 361.430 </w:t>
        </w:r>
      </w:hyperlink>
      <w:r w:rsidR="00516D04" w:rsidRPr="00516D04">
        <w:rPr>
          <w:rFonts w:asciiTheme="minorHAnsi" w:eastAsia="Times New Roman" w:hAnsiTheme="minorHAnsi" w:cs="Helvetica"/>
          <w:b/>
          <w:sz w:val="20"/>
          <w:szCs w:val="20"/>
        </w:rPr>
        <w:t>What are career services?</w:t>
      </w:r>
    </w:p>
    <w:p w14:paraId="52776BB9" w14:textId="77777777" w:rsidR="006A422D" w:rsidRPr="00516D04" w:rsidRDefault="006A422D" w:rsidP="00516D04">
      <w:pPr>
        <w:shd w:val="clear" w:color="auto" w:fill="FFFFFF" w:themeFill="background1"/>
        <w:spacing w:after="0" w:line="240" w:lineRule="auto"/>
        <w:rPr>
          <w:rFonts w:asciiTheme="minorHAnsi" w:eastAsia="Times New Roman" w:hAnsiTheme="minorHAnsi" w:cs="Helvetica"/>
          <w:b/>
          <w:sz w:val="20"/>
          <w:szCs w:val="20"/>
        </w:rPr>
      </w:pPr>
    </w:p>
    <w:p w14:paraId="7A1C0D4F" w14:textId="77777777" w:rsidR="00516D04" w:rsidRPr="00516D04" w:rsidRDefault="00516D04" w:rsidP="00516D04">
      <w:pPr>
        <w:shd w:val="clear" w:color="auto" w:fill="FFFFFF" w:themeFill="background1"/>
        <w:spacing w:after="150" w:line="240" w:lineRule="auto"/>
        <w:rPr>
          <w:rFonts w:asciiTheme="minorHAnsi" w:eastAsia="Times New Roman" w:hAnsiTheme="minorHAnsi" w:cs="Helvetica"/>
          <w:sz w:val="20"/>
          <w:szCs w:val="20"/>
        </w:rPr>
      </w:pPr>
      <w:r w:rsidRPr="00516D04">
        <w:rPr>
          <w:rFonts w:asciiTheme="minorHAnsi" w:eastAsia="Times New Roman" w:hAnsiTheme="minorHAnsi" w:cs="Helvetica"/>
          <w:sz w:val="20"/>
          <w:szCs w:val="20"/>
        </w:rPr>
        <w:t xml:space="preserve">Career services, as identified in sec. 134(c)(2) of </w:t>
      </w:r>
      <w:proofErr w:type="spellStart"/>
      <w:r w:rsidRPr="00516D04">
        <w:rPr>
          <w:rFonts w:asciiTheme="minorHAnsi" w:eastAsia="Times New Roman" w:hAnsiTheme="minorHAnsi" w:cs="Helvetica"/>
          <w:sz w:val="20"/>
          <w:szCs w:val="20"/>
        </w:rPr>
        <w:t>WIOA</w:t>
      </w:r>
      <w:proofErr w:type="spellEnd"/>
      <w:r w:rsidRPr="00516D04">
        <w:rPr>
          <w:rFonts w:asciiTheme="minorHAnsi" w:eastAsia="Times New Roman" w:hAnsiTheme="minorHAnsi" w:cs="Helvetica"/>
          <w:sz w:val="20"/>
          <w:szCs w:val="20"/>
        </w:rPr>
        <w:t>, consist of three types:</w:t>
      </w:r>
    </w:p>
    <w:p w14:paraId="21377A2D" w14:textId="77777777" w:rsidR="00516D04" w:rsidRPr="00516D04" w:rsidRDefault="00516D04" w:rsidP="00516D04">
      <w:pPr>
        <w:shd w:val="clear" w:color="auto" w:fill="FFFFFF" w:themeFill="background1"/>
        <w:spacing w:after="150" w:line="240" w:lineRule="auto"/>
        <w:rPr>
          <w:rFonts w:asciiTheme="minorHAnsi" w:eastAsia="Times New Roman" w:hAnsiTheme="minorHAnsi" w:cs="Helvetica"/>
          <w:sz w:val="20"/>
          <w:szCs w:val="20"/>
        </w:rPr>
      </w:pPr>
      <w:r w:rsidRPr="00516D04">
        <w:rPr>
          <w:rFonts w:asciiTheme="minorHAnsi" w:eastAsia="Times New Roman" w:hAnsiTheme="minorHAnsi" w:cs="Helvetica"/>
          <w:sz w:val="20"/>
          <w:szCs w:val="20"/>
        </w:rPr>
        <w:t>(a) Basic career services must be made available and, at a minimum, must include the following services, as consistent with allowable program activities and Federal cost principles:</w:t>
      </w:r>
    </w:p>
    <w:p w14:paraId="6856C82B" w14:textId="77777777" w:rsidR="00516D04" w:rsidRPr="00516D04" w:rsidRDefault="00516D04" w:rsidP="00516D04">
      <w:pPr>
        <w:shd w:val="clear" w:color="auto" w:fill="FFFFFF" w:themeFill="background1"/>
        <w:spacing w:after="150" w:line="240" w:lineRule="auto"/>
        <w:ind w:left="720"/>
        <w:rPr>
          <w:rFonts w:asciiTheme="minorHAnsi" w:eastAsia="Times New Roman" w:hAnsiTheme="minorHAnsi" w:cs="Helvetica"/>
          <w:sz w:val="20"/>
          <w:szCs w:val="20"/>
        </w:rPr>
      </w:pPr>
      <w:r w:rsidRPr="00516D04">
        <w:rPr>
          <w:rFonts w:asciiTheme="minorHAnsi" w:eastAsia="Times New Roman" w:hAnsiTheme="minorHAnsi" w:cs="Helvetica"/>
          <w:sz w:val="20"/>
          <w:szCs w:val="20"/>
        </w:rPr>
        <w:t>(1) Determinations of whether the individual is eligible to receive assistance from the adult, dislocated worker, or youth programs;</w:t>
      </w:r>
    </w:p>
    <w:p w14:paraId="6449FFD2" w14:textId="77777777" w:rsidR="00516D04" w:rsidRPr="00516D04" w:rsidRDefault="00516D04" w:rsidP="00516D04">
      <w:pPr>
        <w:shd w:val="clear" w:color="auto" w:fill="FFFFFF" w:themeFill="background1"/>
        <w:spacing w:after="150" w:line="240" w:lineRule="auto"/>
        <w:ind w:left="720"/>
        <w:rPr>
          <w:rFonts w:asciiTheme="minorHAnsi" w:eastAsia="Times New Roman" w:hAnsiTheme="minorHAnsi" w:cs="Helvetica"/>
          <w:sz w:val="20"/>
          <w:szCs w:val="20"/>
        </w:rPr>
      </w:pPr>
      <w:r w:rsidRPr="00516D04">
        <w:rPr>
          <w:rFonts w:asciiTheme="minorHAnsi" w:eastAsia="Times New Roman" w:hAnsiTheme="minorHAnsi" w:cs="Helvetica"/>
          <w:sz w:val="20"/>
          <w:szCs w:val="20"/>
        </w:rPr>
        <w:t xml:space="preserve">(2) Outreach, intake (including worker profiling), and orientation to information and other services available through the one-stop delivery system. For the </w:t>
      </w:r>
      <w:proofErr w:type="spellStart"/>
      <w:r w:rsidRPr="00516D04">
        <w:rPr>
          <w:rFonts w:asciiTheme="minorHAnsi" w:eastAsia="Times New Roman" w:hAnsiTheme="minorHAnsi" w:cs="Helvetica"/>
          <w:sz w:val="20"/>
          <w:szCs w:val="20"/>
        </w:rPr>
        <w:t>TANF</w:t>
      </w:r>
      <w:proofErr w:type="spellEnd"/>
      <w:r w:rsidRPr="00516D04">
        <w:rPr>
          <w:rFonts w:asciiTheme="minorHAnsi" w:eastAsia="Times New Roman" w:hAnsiTheme="minorHAnsi" w:cs="Helvetica"/>
          <w:sz w:val="20"/>
          <w:szCs w:val="20"/>
        </w:rPr>
        <w:t xml:space="preserve"> program, States must provide individuals with the opportunity to initiate an application for </w:t>
      </w:r>
      <w:proofErr w:type="spellStart"/>
      <w:r w:rsidRPr="00516D04">
        <w:rPr>
          <w:rFonts w:asciiTheme="minorHAnsi" w:eastAsia="Times New Roman" w:hAnsiTheme="minorHAnsi" w:cs="Helvetica"/>
          <w:sz w:val="20"/>
          <w:szCs w:val="20"/>
        </w:rPr>
        <w:t>TANF</w:t>
      </w:r>
      <w:proofErr w:type="spellEnd"/>
      <w:r w:rsidRPr="00516D04">
        <w:rPr>
          <w:rFonts w:asciiTheme="minorHAnsi" w:eastAsia="Times New Roman" w:hAnsiTheme="minorHAnsi" w:cs="Helvetica"/>
          <w:sz w:val="20"/>
          <w:szCs w:val="20"/>
        </w:rPr>
        <w:t xml:space="preserve"> assistance and non-assistance benefits and services, which could be implemented through the provision of paper application forms or links to the application Web site;</w:t>
      </w:r>
    </w:p>
    <w:p w14:paraId="05E81234" w14:textId="77777777" w:rsidR="00516D04" w:rsidRPr="00516D04" w:rsidRDefault="00516D04" w:rsidP="00516D04">
      <w:pPr>
        <w:shd w:val="clear" w:color="auto" w:fill="FFFFFF" w:themeFill="background1"/>
        <w:spacing w:after="150" w:line="240" w:lineRule="auto"/>
        <w:ind w:left="720"/>
        <w:rPr>
          <w:rFonts w:asciiTheme="minorHAnsi" w:eastAsia="Times New Roman" w:hAnsiTheme="minorHAnsi" w:cs="Helvetica"/>
          <w:sz w:val="20"/>
          <w:szCs w:val="20"/>
        </w:rPr>
      </w:pPr>
      <w:r w:rsidRPr="00516D04">
        <w:rPr>
          <w:rFonts w:asciiTheme="minorHAnsi" w:eastAsia="Times New Roman" w:hAnsiTheme="minorHAnsi" w:cs="Helvetica"/>
          <w:sz w:val="20"/>
          <w:szCs w:val="20"/>
        </w:rPr>
        <w:t xml:space="preserve">(3) Initial assessment of skill levels including literacy, numeracy, and English language proficiency, as well as aptitudes, abilities (including skills gaps), and supportive </w:t>
      </w:r>
      <w:proofErr w:type="spellStart"/>
      <w:r w:rsidRPr="00516D04">
        <w:rPr>
          <w:rFonts w:asciiTheme="minorHAnsi" w:eastAsia="Times New Roman" w:hAnsiTheme="minorHAnsi" w:cs="Helvetica"/>
          <w:sz w:val="20"/>
          <w:szCs w:val="20"/>
        </w:rPr>
        <w:t>services</w:t>
      </w:r>
      <w:proofErr w:type="spellEnd"/>
      <w:r w:rsidRPr="00516D04">
        <w:rPr>
          <w:rFonts w:asciiTheme="minorHAnsi" w:eastAsia="Times New Roman" w:hAnsiTheme="minorHAnsi" w:cs="Helvetica"/>
          <w:sz w:val="20"/>
          <w:szCs w:val="20"/>
        </w:rPr>
        <w:t xml:space="preserve"> needs;</w:t>
      </w:r>
    </w:p>
    <w:p w14:paraId="330F127C" w14:textId="77777777" w:rsidR="00516D04" w:rsidRPr="00516D04" w:rsidRDefault="00516D04" w:rsidP="00516D04">
      <w:pPr>
        <w:shd w:val="clear" w:color="auto" w:fill="FFFFFF" w:themeFill="background1"/>
        <w:spacing w:after="150" w:line="240" w:lineRule="auto"/>
        <w:ind w:left="720"/>
        <w:rPr>
          <w:rFonts w:asciiTheme="minorHAnsi" w:eastAsia="Times New Roman" w:hAnsiTheme="minorHAnsi" w:cs="Helvetica"/>
          <w:sz w:val="20"/>
          <w:szCs w:val="20"/>
        </w:rPr>
      </w:pPr>
      <w:r w:rsidRPr="00516D04">
        <w:rPr>
          <w:rFonts w:asciiTheme="minorHAnsi" w:eastAsia="Times New Roman" w:hAnsiTheme="minorHAnsi" w:cs="Helvetica"/>
          <w:sz w:val="20"/>
          <w:szCs w:val="20"/>
        </w:rPr>
        <w:t>(4) Labor exchange services, including—</w:t>
      </w:r>
    </w:p>
    <w:p w14:paraId="6444DE5C" w14:textId="77777777" w:rsidR="00516D04" w:rsidRPr="00516D04" w:rsidRDefault="00516D04" w:rsidP="00516D04">
      <w:pPr>
        <w:shd w:val="clear" w:color="auto" w:fill="FFFFFF" w:themeFill="background1"/>
        <w:spacing w:after="150" w:line="240" w:lineRule="auto"/>
        <w:ind w:left="1440"/>
        <w:rPr>
          <w:rFonts w:asciiTheme="minorHAnsi" w:eastAsia="Times New Roman" w:hAnsiTheme="minorHAnsi" w:cs="Helvetica"/>
          <w:sz w:val="20"/>
          <w:szCs w:val="20"/>
        </w:rPr>
      </w:pPr>
      <w:r w:rsidRPr="00516D04">
        <w:rPr>
          <w:rFonts w:asciiTheme="minorHAnsi" w:eastAsia="Times New Roman" w:hAnsiTheme="minorHAnsi" w:cs="Helvetica"/>
          <w:sz w:val="20"/>
          <w:szCs w:val="20"/>
        </w:rPr>
        <w:t>(</w:t>
      </w:r>
      <w:proofErr w:type="spellStart"/>
      <w:r w:rsidRPr="00516D04">
        <w:rPr>
          <w:rFonts w:asciiTheme="minorHAnsi" w:eastAsia="Times New Roman" w:hAnsiTheme="minorHAnsi" w:cs="Helvetica"/>
          <w:sz w:val="20"/>
          <w:szCs w:val="20"/>
        </w:rPr>
        <w:t>i</w:t>
      </w:r>
      <w:proofErr w:type="spellEnd"/>
      <w:r w:rsidRPr="00516D04">
        <w:rPr>
          <w:rFonts w:asciiTheme="minorHAnsi" w:eastAsia="Times New Roman" w:hAnsiTheme="minorHAnsi" w:cs="Helvetica"/>
          <w:sz w:val="20"/>
          <w:szCs w:val="20"/>
        </w:rPr>
        <w:t>) Job search and placement assistance, and, when needed by an individual, career counseling, including—</w:t>
      </w:r>
    </w:p>
    <w:p w14:paraId="41135BEB" w14:textId="77777777" w:rsidR="00516D04" w:rsidRPr="00516D04" w:rsidRDefault="00516D04" w:rsidP="00516D04">
      <w:pPr>
        <w:shd w:val="clear" w:color="auto" w:fill="FFFFFF" w:themeFill="background1"/>
        <w:spacing w:after="150" w:line="240" w:lineRule="auto"/>
        <w:ind w:left="2160"/>
        <w:rPr>
          <w:rFonts w:asciiTheme="minorHAnsi" w:eastAsia="Times New Roman" w:hAnsiTheme="minorHAnsi" w:cs="Helvetica"/>
          <w:sz w:val="20"/>
          <w:szCs w:val="20"/>
        </w:rPr>
      </w:pPr>
      <w:r w:rsidRPr="00516D04">
        <w:rPr>
          <w:rFonts w:asciiTheme="minorHAnsi" w:eastAsia="Times New Roman" w:hAnsiTheme="minorHAnsi" w:cs="Helvetica"/>
          <w:sz w:val="20"/>
          <w:szCs w:val="20"/>
        </w:rPr>
        <w:t xml:space="preserve">(A) Provision of information on in-demand industry sectors and occupations (as defined in sec. 3(23) of </w:t>
      </w:r>
      <w:proofErr w:type="spellStart"/>
      <w:r w:rsidRPr="00516D04">
        <w:rPr>
          <w:rFonts w:asciiTheme="minorHAnsi" w:eastAsia="Times New Roman" w:hAnsiTheme="minorHAnsi" w:cs="Helvetica"/>
          <w:sz w:val="20"/>
          <w:szCs w:val="20"/>
        </w:rPr>
        <w:t>WIOA</w:t>
      </w:r>
      <w:proofErr w:type="spellEnd"/>
      <w:r w:rsidRPr="00516D04">
        <w:rPr>
          <w:rFonts w:asciiTheme="minorHAnsi" w:eastAsia="Times New Roman" w:hAnsiTheme="minorHAnsi" w:cs="Helvetica"/>
          <w:sz w:val="20"/>
          <w:szCs w:val="20"/>
        </w:rPr>
        <w:t>); and</w:t>
      </w:r>
    </w:p>
    <w:p w14:paraId="1EBA20D0" w14:textId="77777777" w:rsidR="00516D04" w:rsidRPr="00516D04" w:rsidRDefault="00516D04" w:rsidP="00516D04">
      <w:pPr>
        <w:shd w:val="clear" w:color="auto" w:fill="FFFFFF" w:themeFill="background1"/>
        <w:spacing w:after="150" w:line="240" w:lineRule="auto"/>
        <w:ind w:left="2160"/>
        <w:rPr>
          <w:rFonts w:asciiTheme="minorHAnsi" w:eastAsia="Times New Roman" w:hAnsiTheme="minorHAnsi" w:cs="Helvetica"/>
          <w:sz w:val="20"/>
          <w:szCs w:val="20"/>
        </w:rPr>
      </w:pPr>
      <w:r w:rsidRPr="00516D04">
        <w:rPr>
          <w:rFonts w:asciiTheme="minorHAnsi" w:eastAsia="Times New Roman" w:hAnsiTheme="minorHAnsi" w:cs="Helvetica"/>
          <w:sz w:val="20"/>
          <w:szCs w:val="20"/>
        </w:rPr>
        <w:t>(B) Provision of information on nontraditional employment; and</w:t>
      </w:r>
    </w:p>
    <w:p w14:paraId="65898841" w14:textId="77777777" w:rsidR="00516D04" w:rsidRPr="00516D04" w:rsidRDefault="00516D04" w:rsidP="00516D04">
      <w:pPr>
        <w:shd w:val="clear" w:color="auto" w:fill="FFFFFF" w:themeFill="background1"/>
        <w:spacing w:after="150" w:line="240" w:lineRule="auto"/>
        <w:ind w:left="1440"/>
        <w:rPr>
          <w:rFonts w:asciiTheme="minorHAnsi" w:eastAsia="Times New Roman" w:hAnsiTheme="minorHAnsi" w:cs="Helvetica"/>
          <w:sz w:val="20"/>
          <w:szCs w:val="20"/>
        </w:rPr>
      </w:pPr>
      <w:r w:rsidRPr="00516D04">
        <w:rPr>
          <w:rFonts w:asciiTheme="minorHAnsi" w:eastAsia="Times New Roman" w:hAnsiTheme="minorHAnsi" w:cs="Helvetica"/>
          <w:sz w:val="20"/>
          <w:szCs w:val="20"/>
        </w:rPr>
        <w:t>(ii) Appropriate recruitment and other business services on behalf of employers, including information and referrals to specialized business services other than those traditionally offered through the one-stop delivery system;</w:t>
      </w:r>
    </w:p>
    <w:p w14:paraId="683D0465" w14:textId="77777777" w:rsidR="00516D04" w:rsidRPr="00516D04" w:rsidRDefault="00516D04" w:rsidP="00516D04">
      <w:pPr>
        <w:shd w:val="clear" w:color="auto" w:fill="FFFFFF" w:themeFill="background1"/>
        <w:spacing w:after="150" w:line="240" w:lineRule="auto"/>
        <w:ind w:left="720"/>
        <w:rPr>
          <w:rFonts w:asciiTheme="minorHAnsi" w:eastAsia="Times New Roman" w:hAnsiTheme="minorHAnsi" w:cs="Helvetica"/>
          <w:sz w:val="20"/>
          <w:szCs w:val="20"/>
        </w:rPr>
      </w:pPr>
      <w:r w:rsidRPr="00516D04">
        <w:rPr>
          <w:rFonts w:asciiTheme="minorHAnsi" w:eastAsia="Times New Roman" w:hAnsiTheme="minorHAnsi" w:cs="Helvetica"/>
          <w:sz w:val="20"/>
          <w:szCs w:val="20"/>
        </w:rPr>
        <w:lastRenderedPageBreak/>
        <w:t>(5) Provision of referrals to and coordination of activities with other programs and services, including programs and services within the one-stop delivery system and, when appropriate, other workforce development programs;</w:t>
      </w:r>
    </w:p>
    <w:p w14:paraId="07DE8E48" w14:textId="77777777" w:rsidR="00516D04" w:rsidRPr="00516D04" w:rsidRDefault="00516D04" w:rsidP="00516D04">
      <w:pPr>
        <w:shd w:val="clear" w:color="auto" w:fill="FFFFFF" w:themeFill="background1"/>
        <w:spacing w:after="150" w:line="240" w:lineRule="auto"/>
        <w:ind w:left="720"/>
        <w:rPr>
          <w:rFonts w:asciiTheme="minorHAnsi" w:eastAsia="Times New Roman" w:hAnsiTheme="minorHAnsi" w:cs="Helvetica"/>
          <w:sz w:val="20"/>
          <w:szCs w:val="20"/>
        </w:rPr>
      </w:pPr>
      <w:r w:rsidRPr="00516D04">
        <w:rPr>
          <w:rFonts w:asciiTheme="minorHAnsi" w:eastAsia="Times New Roman" w:hAnsiTheme="minorHAnsi" w:cs="Helvetica"/>
          <w:sz w:val="20"/>
          <w:szCs w:val="20"/>
        </w:rPr>
        <w:t>(6) Provision of workforce and labor market employment statistics information, including the provision of accurate information relating to local, regional, and national labor market areas, including—</w:t>
      </w:r>
    </w:p>
    <w:p w14:paraId="00050FBD" w14:textId="77777777" w:rsidR="00516D04" w:rsidRPr="00516D04" w:rsidRDefault="00516D04" w:rsidP="00516D04">
      <w:pPr>
        <w:shd w:val="clear" w:color="auto" w:fill="FFFFFF" w:themeFill="background1"/>
        <w:spacing w:after="150" w:line="240" w:lineRule="auto"/>
        <w:ind w:left="1440"/>
        <w:rPr>
          <w:rFonts w:asciiTheme="minorHAnsi" w:eastAsia="Times New Roman" w:hAnsiTheme="minorHAnsi" w:cs="Helvetica"/>
          <w:sz w:val="20"/>
          <w:szCs w:val="20"/>
        </w:rPr>
      </w:pPr>
      <w:r w:rsidRPr="00516D04">
        <w:rPr>
          <w:rFonts w:asciiTheme="minorHAnsi" w:eastAsia="Times New Roman" w:hAnsiTheme="minorHAnsi" w:cs="Helvetica"/>
          <w:sz w:val="20"/>
          <w:szCs w:val="20"/>
        </w:rPr>
        <w:t>(</w:t>
      </w:r>
      <w:proofErr w:type="spellStart"/>
      <w:r w:rsidRPr="00516D04">
        <w:rPr>
          <w:rFonts w:asciiTheme="minorHAnsi" w:eastAsia="Times New Roman" w:hAnsiTheme="minorHAnsi" w:cs="Helvetica"/>
          <w:sz w:val="20"/>
          <w:szCs w:val="20"/>
        </w:rPr>
        <w:t>i</w:t>
      </w:r>
      <w:proofErr w:type="spellEnd"/>
      <w:r w:rsidRPr="00516D04">
        <w:rPr>
          <w:rFonts w:asciiTheme="minorHAnsi" w:eastAsia="Times New Roman" w:hAnsiTheme="minorHAnsi" w:cs="Helvetica"/>
          <w:sz w:val="20"/>
          <w:szCs w:val="20"/>
        </w:rPr>
        <w:t>) Job vacancy listings in labor market areas;</w:t>
      </w:r>
    </w:p>
    <w:p w14:paraId="5D39863F" w14:textId="77777777" w:rsidR="00516D04" w:rsidRPr="00516D04" w:rsidRDefault="00516D04" w:rsidP="00516D04">
      <w:pPr>
        <w:shd w:val="clear" w:color="auto" w:fill="FFFFFF" w:themeFill="background1"/>
        <w:spacing w:after="150" w:line="240" w:lineRule="auto"/>
        <w:ind w:left="1440"/>
        <w:rPr>
          <w:rFonts w:asciiTheme="minorHAnsi" w:eastAsia="Times New Roman" w:hAnsiTheme="minorHAnsi" w:cs="Helvetica"/>
          <w:sz w:val="20"/>
          <w:szCs w:val="20"/>
        </w:rPr>
      </w:pPr>
      <w:r w:rsidRPr="00516D04">
        <w:rPr>
          <w:rFonts w:asciiTheme="minorHAnsi" w:eastAsia="Times New Roman" w:hAnsiTheme="minorHAnsi" w:cs="Helvetica"/>
          <w:sz w:val="20"/>
          <w:szCs w:val="20"/>
        </w:rPr>
        <w:t>(ii) Information on job skills necessary to obtain the vacant jobs listed; and</w:t>
      </w:r>
    </w:p>
    <w:p w14:paraId="02E00EC3" w14:textId="77777777" w:rsidR="00516D04" w:rsidRPr="00516D04" w:rsidRDefault="00516D04" w:rsidP="00516D04">
      <w:pPr>
        <w:shd w:val="clear" w:color="auto" w:fill="FFFFFF" w:themeFill="background1"/>
        <w:spacing w:after="150" w:line="240" w:lineRule="auto"/>
        <w:ind w:left="1440"/>
        <w:rPr>
          <w:rFonts w:asciiTheme="minorHAnsi" w:eastAsia="Times New Roman" w:hAnsiTheme="minorHAnsi" w:cs="Helvetica"/>
          <w:sz w:val="20"/>
          <w:szCs w:val="20"/>
        </w:rPr>
      </w:pPr>
      <w:r w:rsidRPr="00516D04">
        <w:rPr>
          <w:rFonts w:asciiTheme="minorHAnsi" w:eastAsia="Times New Roman" w:hAnsiTheme="minorHAnsi" w:cs="Helvetica"/>
          <w:sz w:val="20"/>
          <w:szCs w:val="20"/>
        </w:rPr>
        <w:t>(iii) Information relating to local occupations in demand and the earnings, skill requirements, and opportunities for advancement for those jobs;</w:t>
      </w:r>
    </w:p>
    <w:p w14:paraId="68A2F114" w14:textId="77777777" w:rsidR="00516D04" w:rsidRPr="00516D04" w:rsidRDefault="00516D04" w:rsidP="00516D04">
      <w:pPr>
        <w:shd w:val="clear" w:color="auto" w:fill="FFFFFF" w:themeFill="background1"/>
        <w:spacing w:after="150" w:line="240" w:lineRule="auto"/>
        <w:ind w:left="720"/>
        <w:rPr>
          <w:rFonts w:asciiTheme="minorHAnsi" w:eastAsia="Times New Roman" w:hAnsiTheme="minorHAnsi" w:cs="Helvetica"/>
          <w:sz w:val="20"/>
          <w:szCs w:val="20"/>
        </w:rPr>
      </w:pPr>
      <w:r w:rsidRPr="00516D04">
        <w:rPr>
          <w:rFonts w:asciiTheme="minorHAnsi" w:eastAsia="Times New Roman" w:hAnsiTheme="minorHAnsi" w:cs="Helvetica"/>
          <w:sz w:val="20"/>
          <w:szCs w:val="20"/>
        </w:rPr>
        <w:t>(7) Provision of performance information and program cost information on eligible providers of education, training, and workforce services by program and type of providers;</w:t>
      </w:r>
    </w:p>
    <w:p w14:paraId="4E078CD8" w14:textId="0A4A08BF" w:rsidR="00516D04" w:rsidRPr="00516D04" w:rsidRDefault="00516D04" w:rsidP="00516D04">
      <w:pPr>
        <w:shd w:val="clear" w:color="auto" w:fill="FFFFFF" w:themeFill="background1"/>
        <w:spacing w:after="150" w:line="240" w:lineRule="auto"/>
        <w:ind w:left="720"/>
        <w:rPr>
          <w:rFonts w:asciiTheme="minorHAnsi" w:eastAsia="Times New Roman" w:hAnsiTheme="minorHAnsi" w:cs="Helvetica"/>
          <w:sz w:val="20"/>
          <w:szCs w:val="20"/>
        </w:rPr>
      </w:pPr>
      <w:r w:rsidRPr="00516D04">
        <w:rPr>
          <w:rFonts w:asciiTheme="minorHAnsi" w:eastAsia="Times New Roman" w:hAnsiTheme="minorHAnsi" w:cs="Helvetica"/>
          <w:sz w:val="20"/>
          <w:szCs w:val="20"/>
        </w:rPr>
        <w:t>(8) Provision of information, in usable and understandable formats and languages, about how the local area is performing on local performance accountability measures, as well as any additional performance information relating to the area's one-stop delivery system;</w:t>
      </w:r>
    </w:p>
    <w:p w14:paraId="12B31FA0" w14:textId="77777777" w:rsidR="00516D04" w:rsidRPr="00516D04" w:rsidRDefault="00516D04" w:rsidP="00516D04">
      <w:pPr>
        <w:shd w:val="clear" w:color="auto" w:fill="FFFFFF" w:themeFill="background1"/>
        <w:spacing w:after="150" w:line="240" w:lineRule="auto"/>
        <w:ind w:left="720"/>
        <w:rPr>
          <w:rFonts w:asciiTheme="minorHAnsi" w:eastAsia="Times New Roman" w:hAnsiTheme="minorHAnsi" w:cs="Helvetica"/>
          <w:sz w:val="20"/>
          <w:szCs w:val="20"/>
        </w:rPr>
      </w:pPr>
      <w:r w:rsidRPr="00516D04">
        <w:rPr>
          <w:rFonts w:asciiTheme="minorHAnsi" w:eastAsia="Times New Roman" w:hAnsiTheme="minorHAnsi" w:cs="Helvetica"/>
          <w:sz w:val="20"/>
          <w:szCs w:val="20"/>
        </w:rPr>
        <w:t xml:space="preserve">(9) Provision of information, in usable and understandable formats and languages, relating to the availability of supportive services or assistance, and appropriate referrals to those services and assistance, including: Child care; child support; medical or child health assistance available through the State's Medicaid program and Children's Health Insurance Program; benefits under SNAP; assistance through the earned income tax credit; and assistance under a State program for </w:t>
      </w:r>
      <w:proofErr w:type="spellStart"/>
      <w:r w:rsidRPr="00516D04">
        <w:rPr>
          <w:rFonts w:asciiTheme="minorHAnsi" w:eastAsia="Times New Roman" w:hAnsiTheme="minorHAnsi" w:cs="Helvetica"/>
          <w:sz w:val="20"/>
          <w:szCs w:val="20"/>
        </w:rPr>
        <w:t>TANF</w:t>
      </w:r>
      <w:proofErr w:type="spellEnd"/>
      <w:r w:rsidRPr="00516D04">
        <w:rPr>
          <w:rFonts w:asciiTheme="minorHAnsi" w:eastAsia="Times New Roman" w:hAnsiTheme="minorHAnsi" w:cs="Helvetica"/>
          <w:sz w:val="20"/>
          <w:szCs w:val="20"/>
        </w:rPr>
        <w:t>, and other supportive services and transportation provided through that program;</w:t>
      </w:r>
    </w:p>
    <w:p w14:paraId="7CD0F8D7" w14:textId="77777777" w:rsidR="00516D04" w:rsidRPr="00516D04" w:rsidRDefault="00516D04" w:rsidP="00516D04">
      <w:pPr>
        <w:shd w:val="clear" w:color="auto" w:fill="FFFFFF" w:themeFill="background1"/>
        <w:spacing w:after="150" w:line="240" w:lineRule="auto"/>
        <w:ind w:left="720"/>
        <w:rPr>
          <w:rFonts w:asciiTheme="minorHAnsi" w:eastAsia="Times New Roman" w:hAnsiTheme="minorHAnsi" w:cs="Helvetica"/>
          <w:sz w:val="20"/>
          <w:szCs w:val="20"/>
        </w:rPr>
      </w:pPr>
      <w:r w:rsidRPr="00516D04">
        <w:rPr>
          <w:rFonts w:asciiTheme="minorHAnsi" w:eastAsia="Times New Roman" w:hAnsiTheme="minorHAnsi" w:cs="Helvetica"/>
          <w:sz w:val="20"/>
          <w:szCs w:val="20"/>
        </w:rPr>
        <w:t>(10) Provision of information and meaningful assistance to individuals seeking assistance in filing a claim for unemployment compensation.</w:t>
      </w:r>
    </w:p>
    <w:p w14:paraId="77E74763" w14:textId="77777777" w:rsidR="00516D04" w:rsidRPr="00516D04" w:rsidRDefault="00516D04" w:rsidP="00516D04">
      <w:pPr>
        <w:shd w:val="clear" w:color="auto" w:fill="FFFFFF" w:themeFill="background1"/>
        <w:spacing w:after="150" w:line="240" w:lineRule="auto"/>
        <w:ind w:left="1440"/>
        <w:rPr>
          <w:rFonts w:asciiTheme="minorHAnsi" w:eastAsia="Times New Roman" w:hAnsiTheme="minorHAnsi" w:cs="Helvetica"/>
          <w:sz w:val="20"/>
          <w:szCs w:val="20"/>
        </w:rPr>
      </w:pPr>
      <w:r w:rsidRPr="00516D04">
        <w:rPr>
          <w:rFonts w:asciiTheme="minorHAnsi" w:eastAsia="Times New Roman" w:hAnsiTheme="minorHAnsi" w:cs="Helvetica"/>
          <w:sz w:val="20"/>
          <w:szCs w:val="20"/>
        </w:rPr>
        <w:t>(</w:t>
      </w:r>
      <w:proofErr w:type="spellStart"/>
      <w:r w:rsidRPr="00516D04">
        <w:rPr>
          <w:rFonts w:asciiTheme="minorHAnsi" w:eastAsia="Times New Roman" w:hAnsiTheme="minorHAnsi" w:cs="Helvetica"/>
          <w:sz w:val="20"/>
          <w:szCs w:val="20"/>
        </w:rPr>
        <w:t>i</w:t>
      </w:r>
      <w:proofErr w:type="spellEnd"/>
      <w:r w:rsidRPr="00516D04">
        <w:rPr>
          <w:rFonts w:asciiTheme="minorHAnsi" w:eastAsia="Times New Roman" w:hAnsiTheme="minorHAnsi" w:cs="Helvetica"/>
          <w:sz w:val="20"/>
          <w:szCs w:val="20"/>
        </w:rPr>
        <w:t>) “Meaningful assistance” means:</w:t>
      </w:r>
    </w:p>
    <w:p w14:paraId="7EAAA7C2" w14:textId="77777777" w:rsidR="00516D04" w:rsidRPr="00516D04" w:rsidRDefault="00516D04" w:rsidP="00516D04">
      <w:pPr>
        <w:shd w:val="clear" w:color="auto" w:fill="FFFFFF" w:themeFill="background1"/>
        <w:spacing w:after="150" w:line="240" w:lineRule="auto"/>
        <w:ind w:left="2160"/>
        <w:rPr>
          <w:rFonts w:asciiTheme="minorHAnsi" w:eastAsia="Times New Roman" w:hAnsiTheme="minorHAnsi" w:cs="Helvetica"/>
          <w:sz w:val="20"/>
          <w:szCs w:val="20"/>
        </w:rPr>
      </w:pPr>
      <w:r w:rsidRPr="00516D04">
        <w:rPr>
          <w:rFonts w:asciiTheme="minorHAnsi" w:eastAsia="Times New Roman" w:hAnsiTheme="minorHAnsi" w:cs="Helvetica"/>
          <w:sz w:val="20"/>
          <w:szCs w:val="20"/>
        </w:rPr>
        <w:t>(A) Providing assistance on-site using staff who are well-trained in unemployment compensation claims filing and the rights and responsibilities of claimants; or</w:t>
      </w:r>
    </w:p>
    <w:p w14:paraId="73F2B4FC" w14:textId="77777777" w:rsidR="00516D04" w:rsidRPr="00516D04" w:rsidRDefault="00516D04" w:rsidP="00516D04">
      <w:pPr>
        <w:shd w:val="clear" w:color="auto" w:fill="FFFFFF" w:themeFill="background1"/>
        <w:spacing w:after="150" w:line="240" w:lineRule="auto"/>
        <w:ind w:left="2160"/>
        <w:rPr>
          <w:rFonts w:asciiTheme="minorHAnsi" w:eastAsia="Times New Roman" w:hAnsiTheme="minorHAnsi" w:cs="Helvetica"/>
          <w:sz w:val="20"/>
          <w:szCs w:val="20"/>
        </w:rPr>
      </w:pPr>
      <w:r w:rsidRPr="00516D04">
        <w:rPr>
          <w:rFonts w:asciiTheme="minorHAnsi" w:eastAsia="Times New Roman" w:hAnsiTheme="minorHAnsi" w:cs="Helvetica"/>
          <w:sz w:val="20"/>
          <w:szCs w:val="20"/>
        </w:rPr>
        <w:t>(B) Providing assistance by phone or via other technology, as long as the assistance is provided by trained and available staff and within a reasonable time.</w:t>
      </w:r>
    </w:p>
    <w:p w14:paraId="41161CF6" w14:textId="77777777" w:rsidR="00516D04" w:rsidRPr="00516D04" w:rsidRDefault="00516D04" w:rsidP="00516D04">
      <w:pPr>
        <w:shd w:val="clear" w:color="auto" w:fill="FFFFFF" w:themeFill="background1"/>
        <w:spacing w:after="150" w:line="240" w:lineRule="auto"/>
        <w:ind w:left="1440"/>
        <w:rPr>
          <w:rFonts w:asciiTheme="minorHAnsi" w:eastAsia="Times New Roman" w:hAnsiTheme="minorHAnsi" w:cs="Helvetica"/>
          <w:sz w:val="20"/>
          <w:szCs w:val="20"/>
        </w:rPr>
      </w:pPr>
      <w:r w:rsidRPr="00516D04">
        <w:rPr>
          <w:rFonts w:asciiTheme="minorHAnsi" w:eastAsia="Times New Roman" w:hAnsiTheme="minorHAnsi" w:cs="Helvetica"/>
          <w:sz w:val="20"/>
          <w:szCs w:val="20"/>
        </w:rPr>
        <w:t xml:space="preserve">(ii) The costs associated in providing this assistance may be paid for by the State's unemployment insurance program, or the </w:t>
      </w:r>
      <w:proofErr w:type="spellStart"/>
      <w:r w:rsidRPr="00516D04">
        <w:rPr>
          <w:rFonts w:asciiTheme="minorHAnsi" w:eastAsia="Times New Roman" w:hAnsiTheme="minorHAnsi" w:cs="Helvetica"/>
          <w:sz w:val="20"/>
          <w:szCs w:val="20"/>
        </w:rPr>
        <w:t>WIOA</w:t>
      </w:r>
      <w:proofErr w:type="spellEnd"/>
      <w:r w:rsidRPr="00516D04">
        <w:rPr>
          <w:rFonts w:asciiTheme="minorHAnsi" w:eastAsia="Times New Roman" w:hAnsiTheme="minorHAnsi" w:cs="Helvetica"/>
          <w:sz w:val="20"/>
          <w:szCs w:val="20"/>
        </w:rPr>
        <w:t xml:space="preserve"> adult or dislocated worker programs, or some combination thereof.</w:t>
      </w:r>
    </w:p>
    <w:p w14:paraId="0861D520" w14:textId="77777777" w:rsidR="00516D04" w:rsidRPr="00516D04" w:rsidRDefault="00516D04" w:rsidP="00516D04">
      <w:pPr>
        <w:shd w:val="clear" w:color="auto" w:fill="FFFFFF" w:themeFill="background1"/>
        <w:spacing w:after="150" w:line="240" w:lineRule="auto"/>
        <w:ind w:left="720"/>
        <w:rPr>
          <w:rFonts w:asciiTheme="minorHAnsi" w:eastAsia="Times New Roman" w:hAnsiTheme="minorHAnsi" w:cs="Helvetica"/>
          <w:sz w:val="20"/>
          <w:szCs w:val="20"/>
        </w:rPr>
      </w:pPr>
      <w:r w:rsidRPr="00516D04">
        <w:rPr>
          <w:rFonts w:asciiTheme="minorHAnsi" w:eastAsia="Times New Roman" w:hAnsiTheme="minorHAnsi" w:cs="Helvetica"/>
          <w:sz w:val="20"/>
          <w:szCs w:val="20"/>
        </w:rPr>
        <w:t xml:space="preserve">(11) Assistance in establishing eligibility for programs of financial aid assistance for training and education programs not provided under </w:t>
      </w:r>
      <w:proofErr w:type="spellStart"/>
      <w:r w:rsidRPr="00516D04">
        <w:rPr>
          <w:rFonts w:asciiTheme="minorHAnsi" w:eastAsia="Times New Roman" w:hAnsiTheme="minorHAnsi" w:cs="Helvetica"/>
          <w:sz w:val="20"/>
          <w:szCs w:val="20"/>
        </w:rPr>
        <w:t>WIOA</w:t>
      </w:r>
      <w:proofErr w:type="spellEnd"/>
      <w:r w:rsidRPr="00516D04">
        <w:rPr>
          <w:rFonts w:asciiTheme="minorHAnsi" w:eastAsia="Times New Roman" w:hAnsiTheme="minorHAnsi" w:cs="Helvetica"/>
          <w:sz w:val="20"/>
          <w:szCs w:val="20"/>
        </w:rPr>
        <w:t>.</w:t>
      </w:r>
    </w:p>
    <w:p w14:paraId="3EE6F671" w14:textId="77777777" w:rsidR="006A422D" w:rsidRDefault="006A422D">
      <w:pPr>
        <w:rPr>
          <w:rFonts w:asciiTheme="minorHAnsi" w:eastAsia="Times New Roman" w:hAnsiTheme="minorHAnsi" w:cs="Helvetica"/>
          <w:sz w:val="20"/>
          <w:szCs w:val="20"/>
        </w:rPr>
      </w:pPr>
      <w:r>
        <w:rPr>
          <w:rFonts w:asciiTheme="minorHAnsi" w:eastAsia="Times New Roman" w:hAnsiTheme="minorHAnsi" w:cs="Helvetica"/>
          <w:sz w:val="20"/>
          <w:szCs w:val="20"/>
        </w:rPr>
        <w:br w:type="page"/>
      </w:r>
    </w:p>
    <w:p w14:paraId="2C39D23E" w14:textId="4A6C7C3C" w:rsidR="00516D04" w:rsidRPr="00516D04" w:rsidRDefault="00516D04" w:rsidP="00516D04">
      <w:pPr>
        <w:shd w:val="clear" w:color="auto" w:fill="FFFFFF" w:themeFill="background1"/>
        <w:spacing w:after="150" w:line="240" w:lineRule="auto"/>
        <w:rPr>
          <w:rFonts w:asciiTheme="minorHAnsi" w:eastAsia="Times New Roman" w:hAnsiTheme="minorHAnsi" w:cs="Helvetica"/>
          <w:sz w:val="20"/>
          <w:szCs w:val="20"/>
        </w:rPr>
      </w:pPr>
      <w:r w:rsidRPr="00516D04">
        <w:rPr>
          <w:rFonts w:asciiTheme="minorHAnsi" w:eastAsia="Times New Roman" w:hAnsiTheme="minorHAnsi" w:cs="Helvetica"/>
          <w:sz w:val="20"/>
          <w:szCs w:val="20"/>
        </w:rPr>
        <w:lastRenderedPageBreak/>
        <w:t>(b) Individualized career services must be made available if determined to be appropriate in order for an individual to obtain or retain employment. These services include the following services, as consistent with program requirements and Federal cost principles:</w:t>
      </w:r>
    </w:p>
    <w:p w14:paraId="41434F0B" w14:textId="77777777" w:rsidR="00516D04" w:rsidRPr="00516D04" w:rsidRDefault="00516D04" w:rsidP="001B2CED">
      <w:pPr>
        <w:shd w:val="clear" w:color="auto" w:fill="FFFFFF" w:themeFill="background1"/>
        <w:spacing w:after="150" w:line="240" w:lineRule="auto"/>
        <w:ind w:left="720"/>
        <w:rPr>
          <w:rFonts w:asciiTheme="minorHAnsi" w:eastAsia="Times New Roman" w:hAnsiTheme="minorHAnsi" w:cs="Helvetica"/>
          <w:sz w:val="20"/>
          <w:szCs w:val="20"/>
        </w:rPr>
      </w:pPr>
      <w:r w:rsidRPr="00516D04">
        <w:rPr>
          <w:rFonts w:asciiTheme="minorHAnsi" w:eastAsia="Times New Roman" w:hAnsiTheme="minorHAnsi" w:cs="Helvetica"/>
          <w:sz w:val="20"/>
          <w:szCs w:val="20"/>
        </w:rPr>
        <w:t>(1) Comprehensive and specialized assessments of the skill levels and service needs of adults and dislocated workers, which may include—</w:t>
      </w:r>
    </w:p>
    <w:p w14:paraId="4E3C2D84" w14:textId="77777777" w:rsidR="00516D04" w:rsidRPr="00516D04" w:rsidRDefault="00516D04" w:rsidP="001B2CED">
      <w:pPr>
        <w:shd w:val="clear" w:color="auto" w:fill="FFFFFF" w:themeFill="background1"/>
        <w:spacing w:after="150" w:line="240" w:lineRule="auto"/>
        <w:ind w:left="1440"/>
        <w:rPr>
          <w:rFonts w:asciiTheme="minorHAnsi" w:eastAsia="Times New Roman" w:hAnsiTheme="minorHAnsi" w:cs="Helvetica"/>
          <w:sz w:val="20"/>
          <w:szCs w:val="20"/>
        </w:rPr>
      </w:pPr>
      <w:r w:rsidRPr="00516D04">
        <w:rPr>
          <w:rFonts w:asciiTheme="minorHAnsi" w:eastAsia="Times New Roman" w:hAnsiTheme="minorHAnsi" w:cs="Helvetica"/>
          <w:sz w:val="20"/>
          <w:szCs w:val="20"/>
        </w:rPr>
        <w:t>(</w:t>
      </w:r>
      <w:proofErr w:type="spellStart"/>
      <w:r w:rsidRPr="00516D04">
        <w:rPr>
          <w:rFonts w:asciiTheme="minorHAnsi" w:eastAsia="Times New Roman" w:hAnsiTheme="minorHAnsi" w:cs="Helvetica"/>
          <w:sz w:val="20"/>
          <w:szCs w:val="20"/>
        </w:rPr>
        <w:t>i</w:t>
      </w:r>
      <w:proofErr w:type="spellEnd"/>
      <w:r w:rsidRPr="00516D04">
        <w:rPr>
          <w:rFonts w:asciiTheme="minorHAnsi" w:eastAsia="Times New Roman" w:hAnsiTheme="minorHAnsi" w:cs="Helvetica"/>
          <w:sz w:val="20"/>
          <w:szCs w:val="20"/>
        </w:rPr>
        <w:t>) Diagnostic testing and use of other assessment tools; and</w:t>
      </w:r>
    </w:p>
    <w:p w14:paraId="75AAF698" w14:textId="77777777" w:rsidR="00516D04" w:rsidRPr="00516D04" w:rsidRDefault="00516D04" w:rsidP="001B2CED">
      <w:pPr>
        <w:shd w:val="clear" w:color="auto" w:fill="FFFFFF" w:themeFill="background1"/>
        <w:spacing w:after="150" w:line="240" w:lineRule="auto"/>
        <w:ind w:left="1440"/>
        <w:rPr>
          <w:rFonts w:asciiTheme="minorHAnsi" w:eastAsia="Times New Roman" w:hAnsiTheme="minorHAnsi" w:cs="Helvetica"/>
          <w:sz w:val="20"/>
          <w:szCs w:val="20"/>
        </w:rPr>
      </w:pPr>
      <w:r w:rsidRPr="00516D04">
        <w:rPr>
          <w:rFonts w:asciiTheme="minorHAnsi" w:eastAsia="Times New Roman" w:hAnsiTheme="minorHAnsi" w:cs="Helvetica"/>
          <w:sz w:val="20"/>
          <w:szCs w:val="20"/>
        </w:rPr>
        <w:t>(ii) In-depth interviewing and evaluation to identify employment barriers and appropriate employment goals;</w:t>
      </w:r>
    </w:p>
    <w:p w14:paraId="3933CD35" w14:textId="52CBCA2B" w:rsidR="006A422D" w:rsidRDefault="00516D04" w:rsidP="001B2CED">
      <w:pPr>
        <w:shd w:val="clear" w:color="auto" w:fill="FFFFFF" w:themeFill="background1"/>
        <w:spacing w:after="0" w:line="240" w:lineRule="auto"/>
        <w:ind w:left="720"/>
        <w:rPr>
          <w:rFonts w:asciiTheme="minorHAnsi" w:eastAsia="Times New Roman" w:hAnsiTheme="minorHAnsi" w:cs="Helvetica"/>
          <w:sz w:val="20"/>
          <w:szCs w:val="20"/>
        </w:rPr>
      </w:pPr>
      <w:r w:rsidRPr="00516D04">
        <w:rPr>
          <w:rFonts w:asciiTheme="minorHAnsi" w:eastAsia="Times New Roman" w:hAnsiTheme="minorHAnsi" w:cs="Helvetica"/>
          <w:sz w:val="20"/>
          <w:szCs w:val="20"/>
        </w:rPr>
        <w:t xml:space="preserve">(2) Development of an individual employment plan, to identify the employment goals, appropriate achievement objectives, and appropriate combination of services for the participant to achieve his or her employment goals, including the list of, and information about, the eligible training providers (as described in </w:t>
      </w:r>
      <w:hyperlink r:id="rId9" w:history="1">
        <w:r w:rsidRPr="00516D04">
          <w:rPr>
            <w:rFonts w:asciiTheme="minorHAnsi" w:eastAsia="Times New Roman" w:hAnsiTheme="minorHAnsi" w:cs="Helvetica"/>
            <w:sz w:val="20"/>
            <w:szCs w:val="20"/>
            <w:bdr w:val="none" w:sz="0" w:space="0" w:color="auto" w:frame="1"/>
          </w:rPr>
          <w:t>20 CFR 680.180</w:t>
        </w:r>
      </w:hyperlink>
      <w:r w:rsidR="006A422D">
        <w:rPr>
          <w:rFonts w:asciiTheme="minorHAnsi" w:eastAsia="Times New Roman" w:hAnsiTheme="minorHAnsi" w:cs="Helvetica"/>
          <w:sz w:val="20"/>
          <w:szCs w:val="20"/>
        </w:rPr>
        <w:t>);</w:t>
      </w:r>
      <w:r w:rsidR="001B2CED">
        <w:rPr>
          <w:rFonts w:asciiTheme="minorHAnsi" w:eastAsia="Times New Roman" w:hAnsiTheme="minorHAnsi" w:cs="Helvetica"/>
          <w:sz w:val="20"/>
          <w:szCs w:val="20"/>
        </w:rPr>
        <w:br/>
      </w:r>
      <w:bookmarkStart w:id="0" w:name="_GoBack"/>
      <w:bookmarkEnd w:id="0"/>
      <w:r w:rsidRPr="00516D04">
        <w:rPr>
          <w:rFonts w:asciiTheme="minorHAnsi" w:eastAsia="Times New Roman" w:hAnsiTheme="minorHAnsi" w:cs="Helvetica"/>
          <w:sz w:val="20"/>
          <w:szCs w:val="20"/>
        </w:rPr>
        <w:t>(3) Group counseling;</w:t>
      </w:r>
    </w:p>
    <w:p w14:paraId="189F2DF8" w14:textId="77777777" w:rsidR="006A422D" w:rsidRDefault="00516D04" w:rsidP="001B2CED">
      <w:pPr>
        <w:shd w:val="clear" w:color="auto" w:fill="FFFFFF" w:themeFill="background1"/>
        <w:spacing w:after="0" w:line="240" w:lineRule="auto"/>
        <w:ind w:left="720"/>
        <w:rPr>
          <w:rFonts w:asciiTheme="minorHAnsi" w:eastAsia="Times New Roman" w:hAnsiTheme="minorHAnsi" w:cs="Helvetica"/>
          <w:sz w:val="20"/>
          <w:szCs w:val="20"/>
        </w:rPr>
      </w:pPr>
      <w:r w:rsidRPr="00516D04">
        <w:rPr>
          <w:rFonts w:asciiTheme="minorHAnsi" w:eastAsia="Times New Roman" w:hAnsiTheme="minorHAnsi" w:cs="Helvetica"/>
          <w:sz w:val="20"/>
          <w:szCs w:val="20"/>
        </w:rPr>
        <w:t>(4) Individual counseling;</w:t>
      </w:r>
    </w:p>
    <w:p w14:paraId="13DFF361" w14:textId="1180E35D" w:rsidR="006A422D" w:rsidRDefault="00516D04" w:rsidP="001B2CED">
      <w:pPr>
        <w:shd w:val="clear" w:color="auto" w:fill="FFFFFF" w:themeFill="background1"/>
        <w:spacing w:after="0" w:line="240" w:lineRule="auto"/>
        <w:ind w:left="720"/>
        <w:rPr>
          <w:rFonts w:asciiTheme="minorHAnsi" w:eastAsia="Times New Roman" w:hAnsiTheme="minorHAnsi" w:cs="Helvetica"/>
          <w:sz w:val="20"/>
          <w:szCs w:val="20"/>
        </w:rPr>
      </w:pPr>
      <w:r w:rsidRPr="00516D04">
        <w:rPr>
          <w:rFonts w:asciiTheme="minorHAnsi" w:eastAsia="Times New Roman" w:hAnsiTheme="minorHAnsi" w:cs="Helvetica"/>
          <w:sz w:val="20"/>
          <w:szCs w:val="20"/>
        </w:rPr>
        <w:t>(5) Career planning;</w:t>
      </w:r>
    </w:p>
    <w:p w14:paraId="7BE01660" w14:textId="77777777" w:rsidR="006A422D" w:rsidRDefault="00516D04" w:rsidP="001B2CED">
      <w:pPr>
        <w:shd w:val="clear" w:color="auto" w:fill="FFFFFF" w:themeFill="background1"/>
        <w:spacing w:after="150" w:line="240" w:lineRule="auto"/>
        <w:ind w:left="720"/>
        <w:rPr>
          <w:rFonts w:asciiTheme="minorHAnsi" w:eastAsia="Times New Roman" w:hAnsiTheme="minorHAnsi" w:cs="Helvetica"/>
          <w:sz w:val="20"/>
          <w:szCs w:val="20"/>
        </w:rPr>
      </w:pPr>
      <w:r w:rsidRPr="00516D04">
        <w:rPr>
          <w:rFonts w:asciiTheme="minorHAnsi" w:eastAsia="Times New Roman" w:hAnsiTheme="minorHAnsi" w:cs="Helvetica"/>
          <w:sz w:val="20"/>
          <w:szCs w:val="20"/>
        </w:rPr>
        <w:t>(6) Short-term pre-vocational services including development of learning skills, communication skills, interviewing skills, punctuality, personal maintenance skills, and professional conduct services to prepare individuals for unsubsidized employment or training;</w:t>
      </w:r>
    </w:p>
    <w:p w14:paraId="60582157" w14:textId="77777777" w:rsidR="006A422D" w:rsidRDefault="00516D04" w:rsidP="001B2CED">
      <w:pPr>
        <w:shd w:val="clear" w:color="auto" w:fill="FFFFFF" w:themeFill="background1"/>
        <w:spacing w:after="150" w:line="240" w:lineRule="auto"/>
        <w:ind w:left="720"/>
        <w:rPr>
          <w:rFonts w:asciiTheme="minorHAnsi" w:eastAsia="Times New Roman" w:hAnsiTheme="minorHAnsi" w:cs="Helvetica"/>
          <w:sz w:val="20"/>
          <w:szCs w:val="20"/>
        </w:rPr>
      </w:pPr>
      <w:r w:rsidRPr="00516D04">
        <w:rPr>
          <w:rFonts w:asciiTheme="minorHAnsi" w:eastAsia="Times New Roman" w:hAnsiTheme="minorHAnsi" w:cs="Helvetica"/>
          <w:sz w:val="20"/>
          <w:szCs w:val="20"/>
        </w:rPr>
        <w:t xml:space="preserve">(7) Internships and work experiences that are linked to careers (as described in </w:t>
      </w:r>
      <w:hyperlink r:id="rId10" w:history="1">
        <w:r w:rsidRPr="00516D04">
          <w:rPr>
            <w:rFonts w:asciiTheme="minorHAnsi" w:eastAsia="Times New Roman" w:hAnsiTheme="minorHAnsi" w:cs="Helvetica"/>
            <w:sz w:val="20"/>
            <w:szCs w:val="20"/>
            <w:bdr w:val="none" w:sz="0" w:space="0" w:color="auto" w:frame="1"/>
          </w:rPr>
          <w:t>20 CFR 680.170</w:t>
        </w:r>
      </w:hyperlink>
      <w:r w:rsidRPr="00516D04">
        <w:rPr>
          <w:rFonts w:asciiTheme="minorHAnsi" w:eastAsia="Times New Roman" w:hAnsiTheme="minorHAnsi" w:cs="Helvetica"/>
          <w:sz w:val="20"/>
          <w:szCs w:val="20"/>
        </w:rPr>
        <w:t>);</w:t>
      </w:r>
    </w:p>
    <w:p w14:paraId="7DDC931D" w14:textId="77777777" w:rsidR="006A422D" w:rsidRDefault="00516D04" w:rsidP="001B2CED">
      <w:pPr>
        <w:shd w:val="clear" w:color="auto" w:fill="FFFFFF" w:themeFill="background1"/>
        <w:spacing w:after="150" w:line="240" w:lineRule="auto"/>
        <w:ind w:left="720"/>
        <w:rPr>
          <w:rFonts w:asciiTheme="minorHAnsi" w:eastAsia="Times New Roman" w:hAnsiTheme="minorHAnsi" w:cs="Helvetica"/>
          <w:sz w:val="20"/>
          <w:szCs w:val="20"/>
        </w:rPr>
      </w:pPr>
      <w:r w:rsidRPr="00516D04">
        <w:rPr>
          <w:rFonts w:asciiTheme="minorHAnsi" w:eastAsia="Times New Roman" w:hAnsiTheme="minorHAnsi" w:cs="Helvetica"/>
          <w:sz w:val="20"/>
          <w:szCs w:val="20"/>
        </w:rPr>
        <w:t>(8) Workforce preparation activities;</w:t>
      </w:r>
    </w:p>
    <w:p w14:paraId="40F2B1AF" w14:textId="77777777" w:rsidR="006A422D" w:rsidRDefault="00516D04" w:rsidP="001B2CED">
      <w:pPr>
        <w:shd w:val="clear" w:color="auto" w:fill="FFFFFF" w:themeFill="background1"/>
        <w:spacing w:after="150" w:line="240" w:lineRule="auto"/>
        <w:ind w:left="720"/>
        <w:rPr>
          <w:rFonts w:asciiTheme="minorHAnsi" w:eastAsia="Times New Roman" w:hAnsiTheme="minorHAnsi" w:cs="Helvetica"/>
          <w:sz w:val="20"/>
          <w:szCs w:val="20"/>
        </w:rPr>
      </w:pPr>
      <w:r w:rsidRPr="00516D04">
        <w:rPr>
          <w:rFonts w:asciiTheme="minorHAnsi" w:eastAsia="Times New Roman" w:hAnsiTheme="minorHAnsi" w:cs="Helvetica"/>
          <w:sz w:val="20"/>
          <w:szCs w:val="20"/>
        </w:rPr>
        <w:t xml:space="preserve">(9) Financial literacy services as described in sec. 129(b)(2)(D) of </w:t>
      </w:r>
      <w:proofErr w:type="spellStart"/>
      <w:r w:rsidRPr="00516D04">
        <w:rPr>
          <w:rFonts w:asciiTheme="minorHAnsi" w:eastAsia="Times New Roman" w:hAnsiTheme="minorHAnsi" w:cs="Helvetica"/>
          <w:sz w:val="20"/>
          <w:szCs w:val="20"/>
        </w:rPr>
        <w:t>WIOA</w:t>
      </w:r>
      <w:proofErr w:type="spellEnd"/>
      <w:r w:rsidRPr="00516D04">
        <w:rPr>
          <w:rFonts w:asciiTheme="minorHAnsi" w:eastAsia="Times New Roman" w:hAnsiTheme="minorHAnsi" w:cs="Helvetica"/>
          <w:sz w:val="20"/>
          <w:szCs w:val="20"/>
        </w:rPr>
        <w:t xml:space="preserve"> and </w:t>
      </w:r>
      <w:hyperlink r:id="rId11" w:history="1">
        <w:r w:rsidRPr="00516D04">
          <w:rPr>
            <w:rFonts w:asciiTheme="minorHAnsi" w:eastAsia="Times New Roman" w:hAnsiTheme="minorHAnsi" w:cs="Helvetica"/>
            <w:sz w:val="20"/>
            <w:szCs w:val="20"/>
            <w:bdr w:val="none" w:sz="0" w:space="0" w:color="auto" w:frame="1"/>
          </w:rPr>
          <w:t>20 CFR 681.500</w:t>
        </w:r>
      </w:hyperlink>
      <w:r w:rsidRPr="00516D04">
        <w:rPr>
          <w:rFonts w:asciiTheme="minorHAnsi" w:eastAsia="Times New Roman" w:hAnsiTheme="minorHAnsi" w:cs="Helvetica"/>
          <w:sz w:val="20"/>
          <w:szCs w:val="20"/>
        </w:rPr>
        <w:t>;</w:t>
      </w:r>
    </w:p>
    <w:p w14:paraId="111C846C" w14:textId="77777777" w:rsidR="006A422D" w:rsidRDefault="00516D04" w:rsidP="001B2CED">
      <w:pPr>
        <w:shd w:val="clear" w:color="auto" w:fill="FFFFFF" w:themeFill="background1"/>
        <w:spacing w:after="150" w:line="240" w:lineRule="auto"/>
        <w:ind w:left="720"/>
        <w:rPr>
          <w:rFonts w:asciiTheme="minorHAnsi" w:eastAsia="Times New Roman" w:hAnsiTheme="minorHAnsi" w:cs="Helvetica"/>
          <w:sz w:val="20"/>
          <w:szCs w:val="20"/>
        </w:rPr>
      </w:pPr>
      <w:r w:rsidRPr="00516D04">
        <w:rPr>
          <w:rFonts w:asciiTheme="minorHAnsi" w:eastAsia="Times New Roman" w:hAnsiTheme="minorHAnsi" w:cs="Helvetica"/>
          <w:sz w:val="20"/>
          <w:szCs w:val="20"/>
        </w:rPr>
        <w:t>(10) Out-of-area job search assistance and relocation assistance; and</w:t>
      </w:r>
    </w:p>
    <w:p w14:paraId="0ED92C5A" w14:textId="004C7B22" w:rsidR="00516D04" w:rsidRPr="00516D04" w:rsidRDefault="00516D04" w:rsidP="001B2CED">
      <w:pPr>
        <w:shd w:val="clear" w:color="auto" w:fill="FFFFFF" w:themeFill="background1"/>
        <w:spacing w:after="150" w:line="240" w:lineRule="auto"/>
        <w:ind w:left="720"/>
        <w:rPr>
          <w:rFonts w:asciiTheme="minorHAnsi" w:eastAsia="Times New Roman" w:hAnsiTheme="minorHAnsi" w:cs="Helvetica"/>
          <w:sz w:val="20"/>
          <w:szCs w:val="20"/>
        </w:rPr>
      </w:pPr>
      <w:r w:rsidRPr="00516D04">
        <w:rPr>
          <w:rFonts w:asciiTheme="minorHAnsi" w:eastAsia="Times New Roman" w:hAnsiTheme="minorHAnsi" w:cs="Helvetica"/>
          <w:sz w:val="20"/>
          <w:szCs w:val="20"/>
        </w:rPr>
        <w:t>(11) English language acquisition and integrated education and training programs.</w:t>
      </w:r>
    </w:p>
    <w:p w14:paraId="3C8742F3" w14:textId="77777777" w:rsidR="00516D04" w:rsidRPr="00516D04" w:rsidRDefault="00516D04" w:rsidP="00516D04">
      <w:pPr>
        <w:shd w:val="clear" w:color="auto" w:fill="FFFFFF" w:themeFill="background1"/>
        <w:spacing w:after="150" w:line="240" w:lineRule="auto"/>
        <w:rPr>
          <w:rFonts w:asciiTheme="minorHAnsi" w:eastAsia="Times New Roman" w:hAnsiTheme="minorHAnsi" w:cs="Helvetica"/>
          <w:sz w:val="20"/>
          <w:szCs w:val="20"/>
        </w:rPr>
      </w:pPr>
      <w:r w:rsidRPr="00516D04">
        <w:rPr>
          <w:rFonts w:asciiTheme="minorHAnsi" w:eastAsia="Times New Roman" w:hAnsiTheme="minorHAnsi" w:cs="Helvetica"/>
          <w:sz w:val="20"/>
          <w:szCs w:val="20"/>
        </w:rPr>
        <w:t>(c) Follow-up services must be provided, as appropriate, including: Counseling regarding the workplace, for participants in adult or dislocated worker workforce investment activities who are placed in unsubsidized employment, for up to 12 months after the first day of employment.</w:t>
      </w:r>
    </w:p>
    <w:p w14:paraId="2C203E58" w14:textId="77777777" w:rsidR="00516D04" w:rsidRPr="00516D04" w:rsidRDefault="00516D04" w:rsidP="00516D04">
      <w:pPr>
        <w:shd w:val="clear" w:color="auto" w:fill="FFFFFF" w:themeFill="background1"/>
        <w:spacing w:line="240" w:lineRule="auto"/>
        <w:rPr>
          <w:rFonts w:asciiTheme="minorHAnsi" w:eastAsia="Times New Roman" w:hAnsiTheme="minorHAnsi" w:cs="Helvetica"/>
          <w:sz w:val="20"/>
          <w:szCs w:val="20"/>
        </w:rPr>
      </w:pPr>
      <w:r w:rsidRPr="00516D04">
        <w:rPr>
          <w:rFonts w:asciiTheme="minorHAnsi" w:eastAsia="Times New Roman" w:hAnsiTheme="minorHAnsi" w:cs="Helvetica"/>
          <w:sz w:val="20"/>
          <w:szCs w:val="20"/>
        </w:rPr>
        <w:t xml:space="preserve">(d) In addition to the requirements in paragraph (a)(2) of this section, </w:t>
      </w:r>
      <w:proofErr w:type="spellStart"/>
      <w:r w:rsidRPr="00516D04">
        <w:rPr>
          <w:rFonts w:asciiTheme="minorHAnsi" w:eastAsia="Times New Roman" w:hAnsiTheme="minorHAnsi" w:cs="Helvetica"/>
          <w:sz w:val="20"/>
          <w:szCs w:val="20"/>
        </w:rPr>
        <w:t>TANF</w:t>
      </w:r>
      <w:proofErr w:type="spellEnd"/>
      <w:r w:rsidRPr="00516D04">
        <w:rPr>
          <w:rFonts w:asciiTheme="minorHAnsi" w:eastAsia="Times New Roman" w:hAnsiTheme="minorHAnsi" w:cs="Helvetica"/>
          <w:sz w:val="20"/>
          <w:szCs w:val="20"/>
        </w:rPr>
        <w:t xml:space="preserve"> agencies must identify employment services and related support being provided by the </w:t>
      </w:r>
      <w:proofErr w:type="spellStart"/>
      <w:r w:rsidRPr="00516D04">
        <w:rPr>
          <w:rFonts w:asciiTheme="minorHAnsi" w:eastAsia="Times New Roman" w:hAnsiTheme="minorHAnsi" w:cs="Helvetica"/>
          <w:sz w:val="20"/>
          <w:szCs w:val="20"/>
        </w:rPr>
        <w:t>TANF</w:t>
      </w:r>
      <w:proofErr w:type="spellEnd"/>
      <w:r w:rsidRPr="00516D04">
        <w:rPr>
          <w:rFonts w:asciiTheme="minorHAnsi" w:eastAsia="Times New Roman" w:hAnsiTheme="minorHAnsi" w:cs="Helvetica"/>
          <w:sz w:val="20"/>
          <w:szCs w:val="20"/>
        </w:rPr>
        <w:t xml:space="preserve"> program (within the local area) that qualify as career services and ensure access to them via the local one-stop delivery system.</w:t>
      </w:r>
    </w:p>
    <w:p w14:paraId="6C04762E" w14:textId="77777777" w:rsidR="00516D04" w:rsidRPr="00516D04" w:rsidRDefault="00516D04" w:rsidP="00516D04">
      <w:pPr>
        <w:rPr>
          <w:rFonts w:asciiTheme="minorHAnsi" w:hAnsiTheme="minorHAnsi" w:cstheme="minorBidi"/>
          <w:sz w:val="22"/>
          <w:szCs w:val="22"/>
        </w:rPr>
      </w:pPr>
    </w:p>
    <w:p w14:paraId="5375E208" w14:textId="77777777" w:rsidR="00192FE8" w:rsidRPr="00424757" w:rsidRDefault="00192FE8" w:rsidP="00ED5EBC">
      <w:pPr>
        <w:rPr>
          <w:rFonts w:asciiTheme="minorHAnsi" w:hAnsiTheme="minorHAnsi"/>
        </w:rPr>
      </w:pPr>
    </w:p>
    <w:sectPr w:rsidR="00192FE8" w:rsidRPr="00424757" w:rsidSect="009757CE">
      <w:headerReference w:type="default" r:id="rId12"/>
      <w:footerReference w:type="default" r:id="rId13"/>
      <w:pgSz w:w="12240" w:h="15840"/>
      <w:pgMar w:top="1440" w:right="1440" w:bottom="1440" w:left="1440" w:header="720" w:footer="720" w:gutter="0"/>
      <w:pgBorders w:offsetFrom="page">
        <w:top w:val="thinThickLargeGap" w:sz="24" w:space="24" w:color="666699"/>
        <w:left w:val="thinThickLargeGap" w:sz="24" w:space="24" w:color="666699"/>
        <w:bottom w:val="thickThinLargeGap" w:sz="24" w:space="24" w:color="666699"/>
        <w:right w:val="thickThinLargeGap" w:sz="24" w:space="24" w:color="6666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484A0" w14:textId="77777777" w:rsidR="00D83FFE" w:rsidRDefault="00D83FFE" w:rsidP="00ED5EBC">
      <w:pPr>
        <w:spacing w:after="0" w:line="240" w:lineRule="auto"/>
      </w:pPr>
      <w:r>
        <w:separator/>
      </w:r>
    </w:p>
  </w:endnote>
  <w:endnote w:type="continuationSeparator" w:id="0">
    <w:p w14:paraId="71A11958" w14:textId="77777777" w:rsidR="00D83FFE" w:rsidRDefault="00D83FFE" w:rsidP="00ED5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Minion Pro">
    <w:altName w:val="Minion Pro"/>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54331" w14:textId="77777777" w:rsidR="00ED1D15" w:rsidRDefault="006948DB" w:rsidP="00ED1D15">
    <w:pPr>
      <w:pStyle w:val="NoSpacing"/>
      <w:spacing w:before="240"/>
      <w:jc w:val="center"/>
      <w:rPr>
        <w:sz w:val="16"/>
      </w:rPr>
    </w:pPr>
    <w:r>
      <w:rPr>
        <w:noProof/>
        <w:sz w:val="16"/>
      </w:rPr>
      <mc:AlternateContent>
        <mc:Choice Requires="wps">
          <w:drawing>
            <wp:anchor distT="0" distB="0" distL="114300" distR="114300" simplePos="0" relativeHeight="251660288" behindDoc="0" locked="0" layoutInCell="1" allowOverlap="1" wp14:anchorId="0B662DF5" wp14:editId="69FDC32D">
              <wp:simplePos x="0" y="0"/>
              <wp:positionH relativeFrom="margin">
                <wp:align>center</wp:align>
              </wp:positionH>
              <wp:positionV relativeFrom="paragraph">
                <wp:posOffset>222250</wp:posOffset>
              </wp:positionV>
              <wp:extent cx="6448425" cy="0"/>
              <wp:effectExtent l="0" t="0" r="28575" b="19050"/>
              <wp:wrapNone/>
              <wp:docPr id="4" name="Straight Connector 4" descr="Decorative line to divide body of report from the WINTAC address." title="Decorative line"/>
              <wp:cNvGraphicFramePr/>
              <a:graphic xmlns:a="http://schemas.openxmlformats.org/drawingml/2006/main">
                <a:graphicData uri="http://schemas.microsoft.com/office/word/2010/wordprocessingShape">
                  <wps:wsp>
                    <wps:cNvCnPr/>
                    <wps:spPr>
                      <a:xfrm>
                        <a:off x="0" y="0"/>
                        <a:ext cx="6448425" cy="0"/>
                      </a:xfrm>
                      <a:prstGeom prst="line">
                        <a:avLst/>
                      </a:prstGeom>
                      <a:ln w="25400" cap="rnd"/>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7637C3C" id="Straight Connector 4" o:spid="_x0000_s1026" alt="Title: Decorative line - Description: Decorative line to divide body of report from the WINTAC address."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17.5pt" to="507.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mzAQIAAEAEAAAOAAAAZHJzL2Uyb0RvYy54bWysU1Fr2zAQfh/sPxx6X+yEtJQQp4yEjcHo&#10;wtqxZ1U6xQJZMifNTv79Tkrqlm4wNvYiW9J933333Wl9e+wcDEjRBt+I+awWgF4Fbf2hEd8ePry7&#10;ERCT9Fq64LERJ4zidvP2zXrsV7gIbXAaCZjEx9XYN6JNqV9VVVQtdjLOQo+eL02gTibe0qHSJEdm&#10;71y1qOvragykewoKY+TT3flSbAq/MajSF2MiJnCNYG2prFTWx7xWm7VcHUj2rVUXGfIfVHTSek46&#10;Ue1kkvCD7C9UnVUUYjBppkJXBWOswlIDVzOvX1Vz38oeSy1sTuwnm+L/o1V3w57A6kYsBXjZcYvu&#10;E0l7aBNsg/dsYCDgO41RsW87VIFksgOCsx4hBdB2sBrhMegTBAOEfaAEhkIHqUX4/unu4f0WpNbE&#10;PZpxD2xynOYVU+7E2McVC9r6PV12sd9TtvVoqMtfNgyOpXunqXt4TKD48Hq5vFkurgSop7vqGdhT&#10;TB+RJeWfRmTtpV9y+BwTJ+PQp5Ccx3kYG7G4WtY8NEryYJLXWWKVNZ5Vlb90cngGfEXDPrKOeSEu&#10;E4xbRzBInj2pFPq0KBSZnqMzzFjnJmD9Z+AlPkOxTPffgCdEyRx8msCd9YF+lz0d5xfJ5hz/5MC5&#10;7mxB7nvpV7GGx7SYeXlS+R283Bf488Pf/AQAAP//AwBQSwMEFAAGAAgAAAAhAKJ6wyHbAAAABwEA&#10;AA8AAABkcnMvZG93bnJldi54bWxMj0FLAzEQhe+C/yGM4M0mrayUdbNFRMFDQWyL59nNNLu4mSxJ&#10;tl3/vSke9DS8ecN731Sb2Q3iRCH2njUsFwoEcetNz1bDYf96twYRE7LBwTNp+KYIm/r6qsLS+DN/&#10;0GmXrMghHEvU0KU0llLGtiOHceFH4uwdfXCYsgxWmoDnHO4GuVLqQTrsOTd0ONJzR+3XbnIarH1/&#10;2zc2fKqjmrYvI2/7lVtrfXszPz2CSDSnv2O44Gd0qDNT4yc2UQwa8iNJw32R58VVy6IA0fxuZF3J&#10;//z1DwAAAP//AwBQSwECLQAUAAYACAAAACEAtoM4kv4AAADhAQAAEwAAAAAAAAAAAAAAAAAAAAAA&#10;W0NvbnRlbnRfVHlwZXNdLnhtbFBLAQItABQABgAIAAAAIQA4/SH/1gAAAJQBAAALAAAAAAAAAAAA&#10;AAAAAC8BAABfcmVscy8ucmVsc1BLAQItABQABgAIAAAAIQBr/lmzAQIAAEAEAAAOAAAAAAAAAAAA&#10;AAAAAC4CAABkcnMvZTJvRG9jLnhtbFBLAQItABQABgAIAAAAIQCiesMh2wAAAAcBAAAPAAAAAAAA&#10;AAAAAAAAAFsEAABkcnMvZG93bnJldi54bWxQSwUGAAAAAAQABADzAAAAYwUAAAAA&#10;" strokecolor="#ed7d31 [3205]" strokeweight="2pt">
              <v:stroke joinstyle="miter" endcap="round"/>
              <w10:wrap anchorx="margin"/>
            </v:line>
          </w:pict>
        </mc:Fallback>
      </mc:AlternateContent>
    </w:r>
  </w:p>
  <w:p w14:paraId="5E9FAE54" w14:textId="77777777" w:rsidR="00ED1D15" w:rsidRPr="009757CE" w:rsidRDefault="009757CE" w:rsidP="009757CE">
    <w:pPr>
      <w:pStyle w:val="NoSpacing"/>
      <w:spacing w:before="240"/>
      <w:jc w:val="center"/>
      <w:rPr>
        <w:rFonts w:ascii="Tahoma" w:hAnsi="Tahoma" w:cs="Tahoma"/>
        <w:sz w:val="16"/>
      </w:rPr>
    </w:pPr>
    <w:r>
      <w:rPr>
        <w:rFonts w:ascii="Tahoma" w:hAnsi="Tahoma" w:cs="Tahoma"/>
        <w:sz w:val="16"/>
      </w:rPr>
      <w:t>Workforce Innovation Technical Assistance Center</w:t>
    </w:r>
    <w:r w:rsidR="00CF6DD7">
      <w:rPr>
        <w:rFonts w:ascii="Tahoma" w:hAnsi="Tahoma" w:cs="Tahoma"/>
        <w:sz w:val="16"/>
      </w:rPr>
      <w:t xml:space="preserve"> (</w:t>
    </w:r>
    <w:proofErr w:type="spellStart"/>
    <w:r w:rsidR="00553E60">
      <w:fldChar w:fldCharType="begin"/>
    </w:r>
    <w:r w:rsidR="00553E60">
      <w:instrText xml:space="preserve"> HYPERLINK "http://www.WINTAC.org" </w:instrText>
    </w:r>
    <w:r w:rsidR="00553E60">
      <w:fldChar w:fldCharType="separate"/>
    </w:r>
    <w:r w:rsidR="00CF6DD7" w:rsidRPr="000C2321">
      <w:rPr>
        <w:rStyle w:val="Hyperlink"/>
        <w:rFonts w:ascii="Tahoma" w:hAnsi="Tahoma" w:cs="Tahoma"/>
        <w:sz w:val="16"/>
      </w:rPr>
      <w:t>www.WINTAC.org</w:t>
    </w:r>
    <w:proofErr w:type="spellEnd"/>
    <w:r w:rsidR="00553E60">
      <w:rPr>
        <w:rStyle w:val="Hyperlink"/>
        <w:rFonts w:ascii="Tahoma" w:hAnsi="Tahoma" w:cs="Tahoma"/>
        <w:sz w:val="16"/>
      </w:rPr>
      <w:fldChar w:fldCharType="end"/>
    </w:r>
    <w:r w:rsidR="00CF6DD7">
      <w:rPr>
        <w:rFonts w:ascii="Tahoma" w:hAnsi="Tahoma" w:cs="Tahoma"/>
        <w:sz w:val="16"/>
      </w:rPr>
      <w:t xml:space="preserve">) </w:t>
    </w:r>
    <w:r>
      <w:rPr>
        <w:rFonts w:ascii="Tahoma" w:hAnsi="Tahoma" w:cs="Tahoma"/>
        <w:sz w:val="16"/>
      </w:rPr>
      <w:br/>
    </w:r>
    <w:r w:rsidR="00ED1D15" w:rsidRPr="009757CE">
      <w:rPr>
        <w:rFonts w:ascii="Tahoma" w:hAnsi="Tahoma" w:cs="Tahoma"/>
        <w:sz w:val="16"/>
      </w:rPr>
      <w:t>6367 Alvarado Court, Suite 350</w:t>
    </w:r>
    <w:r w:rsidRPr="009757CE">
      <w:rPr>
        <w:rFonts w:ascii="Tahoma" w:hAnsi="Tahoma" w:cs="Tahoma"/>
        <w:sz w:val="16"/>
      </w:rPr>
      <w:t xml:space="preserve">, </w:t>
    </w:r>
    <w:r w:rsidR="00ED1D15" w:rsidRPr="009757CE">
      <w:rPr>
        <w:rFonts w:ascii="Tahoma" w:hAnsi="Tahoma" w:cs="Tahoma"/>
        <w:sz w:val="16"/>
      </w:rPr>
      <w:t>San Diego, CA  92120</w:t>
    </w:r>
  </w:p>
  <w:p w14:paraId="2EEFAC33" w14:textId="77777777" w:rsidR="00CF6DD7" w:rsidRPr="00CF6DD7" w:rsidRDefault="00ED1D15" w:rsidP="00CF6DD7">
    <w:pPr>
      <w:pStyle w:val="NoSpacing"/>
      <w:jc w:val="center"/>
      <w:rPr>
        <w:rFonts w:ascii="Tahoma" w:hAnsi="Tahoma" w:cs="Tahoma"/>
        <w:sz w:val="16"/>
      </w:rPr>
    </w:pPr>
    <w:r w:rsidRPr="009757CE">
      <w:rPr>
        <w:rFonts w:ascii="Tahoma" w:hAnsi="Tahoma" w:cs="Tahoma"/>
        <w:sz w:val="16"/>
      </w:rPr>
      <w:t>619-594-7935 (Voice)</w:t>
    </w:r>
    <w:r w:rsidR="009757CE" w:rsidRPr="009757CE">
      <w:rPr>
        <w:rFonts w:ascii="Tahoma" w:hAnsi="Tahoma" w:cs="Tahoma"/>
        <w:sz w:val="16"/>
      </w:rPr>
      <w:t xml:space="preserve"> | </w:t>
    </w:r>
    <w:r w:rsidRPr="009757CE">
      <w:rPr>
        <w:rFonts w:ascii="Tahoma" w:hAnsi="Tahoma" w:cs="Tahoma"/>
        <w:sz w:val="16"/>
      </w:rPr>
      <w:t>619-594-4208 (Fax)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5926B" w14:textId="77777777" w:rsidR="00D83FFE" w:rsidRDefault="00D83FFE" w:rsidP="00ED5EBC">
      <w:pPr>
        <w:spacing w:after="0" w:line="240" w:lineRule="auto"/>
      </w:pPr>
      <w:r>
        <w:separator/>
      </w:r>
    </w:p>
  </w:footnote>
  <w:footnote w:type="continuationSeparator" w:id="0">
    <w:p w14:paraId="5F49AC5C" w14:textId="77777777" w:rsidR="00D83FFE" w:rsidRDefault="00D83FFE" w:rsidP="00ED5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05819" w14:textId="77777777" w:rsidR="00ED5EBC" w:rsidRDefault="00523384" w:rsidP="00192FE8">
    <w:pPr>
      <w:pStyle w:val="NoSpacing"/>
      <w:spacing w:before="240"/>
      <w:jc w:val="center"/>
      <w:rPr>
        <w:rFonts w:ascii="Tahoma" w:hAnsi="Tahoma" w:cs="Tahoma"/>
        <w:sz w:val="18"/>
        <w:szCs w:val="18"/>
      </w:rPr>
    </w:pPr>
    <w:r w:rsidRPr="009757CE">
      <w:rPr>
        <w:rFonts w:ascii="Tahoma" w:hAnsi="Tahoma" w:cs="Tahoma"/>
        <w:noProof/>
        <w:sz w:val="18"/>
        <w:szCs w:val="18"/>
      </w:rPr>
      <w:drawing>
        <wp:anchor distT="0" distB="0" distL="114300" distR="114300" simplePos="0" relativeHeight="251663360" behindDoc="1" locked="0" layoutInCell="1" allowOverlap="1" wp14:anchorId="5D140331" wp14:editId="63CB5AC5">
          <wp:simplePos x="0" y="0"/>
          <wp:positionH relativeFrom="column">
            <wp:posOffset>1029970</wp:posOffset>
          </wp:positionH>
          <wp:positionV relativeFrom="paragraph">
            <wp:posOffset>-12700</wp:posOffset>
          </wp:positionV>
          <wp:extent cx="3695700" cy="1000125"/>
          <wp:effectExtent l="0" t="0" r="0" b="9525"/>
          <wp:wrapTopAndBottom/>
          <wp:docPr id="3" name="Picture 3" descr="WINTAC logo" title="WINT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ppData\Local\Microsoft\Windows\INetCache\Content.Word\wintac_logo_fu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70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92FE8">
      <w:rPr>
        <w:rFonts w:ascii="Tahoma" w:hAnsi="Tahoma" w:cs="Tahoma"/>
        <w:sz w:val="18"/>
        <w:szCs w:val="18"/>
      </w:rPr>
      <w:t xml:space="preserve"> </w:t>
    </w:r>
  </w:p>
  <w:p w14:paraId="6FD09052" w14:textId="77777777" w:rsidR="00CF6DD7" w:rsidRDefault="00CF6DD7" w:rsidP="00CF6DD7">
    <w:pPr>
      <w:pStyle w:val="NoSpacing"/>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A55CC"/>
    <w:multiLevelType w:val="hybridMultilevel"/>
    <w:tmpl w:val="6B7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195621D8"/>
    <w:multiLevelType w:val="hybridMultilevel"/>
    <w:tmpl w:val="A0B83AB4"/>
    <w:lvl w:ilvl="0" w:tplc="B49A0CCE">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34558"/>
    <w:multiLevelType w:val="hybridMultilevel"/>
    <w:tmpl w:val="2DDCA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B249B"/>
    <w:multiLevelType w:val="hybridMultilevel"/>
    <w:tmpl w:val="C62C3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81528"/>
    <w:multiLevelType w:val="hybridMultilevel"/>
    <w:tmpl w:val="C30EA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096BE7"/>
    <w:multiLevelType w:val="hybridMultilevel"/>
    <w:tmpl w:val="A91AE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BC"/>
    <w:rsid w:val="00012C4A"/>
    <w:rsid w:val="00057DB9"/>
    <w:rsid w:val="00080966"/>
    <w:rsid w:val="00192FE8"/>
    <w:rsid w:val="001B2CED"/>
    <w:rsid w:val="001B4CE1"/>
    <w:rsid w:val="002246C4"/>
    <w:rsid w:val="00225FF0"/>
    <w:rsid w:val="002C7593"/>
    <w:rsid w:val="00395F28"/>
    <w:rsid w:val="00424757"/>
    <w:rsid w:val="00516D04"/>
    <w:rsid w:val="00523384"/>
    <w:rsid w:val="00523C08"/>
    <w:rsid w:val="00530A61"/>
    <w:rsid w:val="00553E60"/>
    <w:rsid w:val="005A0E9A"/>
    <w:rsid w:val="005F553A"/>
    <w:rsid w:val="006948DB"/>
    <w:rsid w:val="006A422D"/>
    <w:rsid w:val="008A6DF5"/>
    <w:rsid w:val="00963C21"/>
    <w:rsid w:val="009757CE"/>
    <w:rsid w:val="0099506B"/>
    <w:rsid w:val="00A62914"/>
    <w:rsid w:val="00AA4CA9"/>
    <w:rsid w:val="00AC11F6"/>
    <w:rsid w:val="00AC3FE8"/>
    <w:rsid w:val="00B12FAB"/>
    <w:rsid w:val="00CB49F7"/>
    <w:rsid w:val="00CF6DD7"/>
    <w:rsid w:val="00D31927"/>
    <w:rsid w:val="00D807BF"/>
    <w:rsid w:val="00D83FFE"/>
    <w:rsid w:val="00E15849"/>
    <w:rsid w:val="00E63F96"/>
    <w:rsid w:val="00ED1D15"/>
    <w:rsid w:val="00ED5EB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93653"/>
  <w15:docId w15:val="{66C6B427-EA59-4F19-AE43-41CA1F63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0A61"/>
    <w:pPr>
      <w:keepNext/>
      <w:keepLines/>
      <w:spacing w:before="240" w:after="0" w:line="36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0A61"/>
    <w:pPr>
      <w:keepNext/>
      <w:keepLines/>
      <w:spacing w:before="40" w:after="0" w:line="36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EBC"/>
  </w:style>
  <w:style w:type="paragraph" w:styleId="Footer">
    <w:name w:val="footer"/>
    <w:basedOn w:val="Normal"/>
    <w:link w:val="FooterChar"/>
    <w:uiPriority w:val="99"/>
    <w:unhideWhenUsed/>
    <w:rsid w:val="00ED5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EBC"/>
  </w:style>
  <w:style w:type="paragraph" w:styleId="NoSpacing">
    <w:name w:val="No Spacing"/>
    <w:link w:val="NoSpacingChar"/>
    <w:uiPriority w:val="1"/>
    <w:qFormat/>
    <w:rsid w:val="00ED5EBC"/>
    <w:pPr>
      <w:spacing w:after="0" w:line="240" w:lineRule="auto"/>
    </w:pPr>
  </w:style>
  <w:style w:type="table" w:styleId="TableGrid">
    <w:name w:val="Table Grid"/>
    <w:basedOn w:val="TableNormal"/>
    <w:uiPriority w:val="39"/>
    <w:rsid w:val="00ED5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3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C21"/>
    <w:rPr>
      <w:rFonts w:ascii="Segoe UI" w:hAnsi="Segoe UI" w:cs="Segoe UI"/>
      <w:sz w:val="18"/>
      <w:szCs w:val="18"/>
    </w:rPr>
  </w:style>
  <w:style w:type="character" w:customStyle="1" w:styleId="NoSpacingChar">
    <w:name w:val="No Spacing Char"/>
    <w:basedOn w:val="DefaultParagraphFont"/>
    <w:link w:val="NoSpacing"/>
    <w:uiPriority w:val="1"/>
    <w:rsid w:val="00D31927"/>
  </w:style>
  <w:style w:type="character" w:styleId="Hyperlink">
    <w:name w:val="Hyperlink"/>
    <w:basedOn w:val="DefaultParagraphFont"/>
    <w:uiPriority w:val="99"/>
    <w:unhideWhenUsed/>
    <w:rsid w:val="00CF6DD7"/>
    <w:rPr>
      <w:color w:val="0563C1" w:themeColor="hyperlink"/>
      <w:u w:val="single"/>
    </w:rPr>
  </w:style>
  <w:style w:type="character" w:customStyle="1" w:styleId="Heading1Char">
    <w:name w:val="Heading 1 Char"/>
    <w:basedOn w:val="DefaultParagraphFont"/>
    <w:link w:val="Heading1"/>
    <w:uiPriority w:val="9"/>
    <w:rsid w:val="00530A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30A6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30A61"/>
    <w:pPr>
      <w:spacing w:line="360" w:lineRule="auto"/>
      <w:ind w:left="720"/>
      <w:contextualSpacing/>
    </w:pPr>
    <w:rPr>
      <w:rFonts w:asciiTheme="minorHAnsi" w:hAnsiTheme="minorHAnsi" w:cstheme="minorBidi"/>
      <w:sz w:val="22"/>
      <w:szCs w:val="22"/>
    </w:rPr>
  </w:style>
  <w:style w:type="paragraph" w:customStyle="1" w:styleId="Default">
    <w:name w:val="Default"/>
    <w:rsid w:val="008A6DF5"/>
    <w:pPr>
      <w:autoSpaceDE w:val="0"/>
      <w:autoSpaceDN w:val="0"/>
      <w:adjustRightInd w:val="0"/>
      <w:spacing w:after="0" w:line="240" w:lineRule="auto"/>
    </w:pPr>
    <w:rPr>
      <w:rFonts w:ascii="Minion Pro" w:hAnsi="Minion Pro" w:cs="Minion Pro"/>
      <w:color w:val="000000"/>
    </w:rPr>
  </w:style>
  <w:style w:type="character" w:styleId="CommentReference">
    <w:name w:val="annotation reference"/>
    <w:basedOn w:val="DefaultParagraphFont"/>
    <w:uiPriority w:val="99"/>
    <w:semiHidden/>
    <w:unhideWhenUsed/>
    <w:rsid w:val="008A6DF5"/>
    <w:rPr>
      <w:sz w:val="16"/>
      <w:szCs w:val="16"/>
    </w:rPr>
  </w:style>
  <w:style w:type="paragraph" w:styleId="CommentText">
    <w:name w:val="annotation text"/>
    <w:basedOn w:val="Normal"/>
    <w:link w:val="CommentTextChar"/>
    <w:uiPriority w:val="99"/>
    <w:semiHidden/>
    <w:unhideWhenUsed/>
    <w:rsid w:val="008A6DF5"/>
    <w:pPr>
      <w:spacing w:line="240" w:lineRule="auto"/>
    </w:pPr>
    <w:rPr>
      <w:sz w:val="20"/>
      <w:szCs w:val="20"/>
    </w:rPr>
  </w:style>
  <w:style w:type="character" w:customStyle="1" w:styleId="CommentTextChar">
    <w:name w:val="Comment Text Char"/>
    <w:basedOn w:val="DefaultParagraphFont"/>
    <w:link w:val="CommentText"/>
    <w:uiPriority w:val="99"/>
    <w:semiHidden/>
    <w:rsid w:val="008A6DF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16/08/19/2016-15977/workforce-innovation-and-opportunity-act-joint-rule-for-unified-and-combined-state-plans-performan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ederalregister.gov/documents/2016/08/19/2016-15977/workforce-innovation-and-opportunity-act-joint-rule-for-unified-and-combined-state-plans-performanc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deralregister.gov/select-citation/2016/08/19/20-CFR-681.5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ederalregister.gov/select-citation/2016/08/19/20-CFR-680.170" TargetMode="External"/><Relationship Id="rId4" Type="http://schemas.openxmlformats.org/officeDocument/2006/relationships/webSettings" Target="webSettings.xml"/><Relationship Id="rId9" Type="http://schemas.openxmlformats.org/officeDocument/2006/relationships/hyperlink" Target="https://www.federalregister.gov/select-citation/2016/08/19/20-CFR-680.18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ccompton</dc:creator>
  <cp:lastModifiedBy>Christa Nieminen</cp:lastModifiedBy>
  <cp:revision>3</cp:revision>
  <cp:lastPrinted>2016-01-13T21:06:00Z</cp:lastPrinted>
  <dcterms:created xsi:type="dcterms:W3CDTF">2017-10-19T18:44:00Z</dcterms:created>
  <dcterms:modified xsi:type="dcterms:W3CDTF">2017-10-20T17:31:00Z</dcterms:modified>
</cp:coreProperties>
</file>