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183A6" w14:textId="77777777" w:rsidR="008563BD" w:rsidRPr="008563BD" w:rsidRDefault="008563BD" w:rsidP="008563BD">
      <w:pPr>
        <w:jc w:val="center"/>
        <w:rPr>
          <w:rFonts w:ascii="Arial" w:hAnsi="Arial" w:cs="Arial"/>
          <w:b/>
          <w:sz w:val="22"/>
          <w:szCs w:val="22"/>
        </w:rPr>
      </w:pPr>
      <w:r w:rsidRPr="008563BD">
        <w:rPr>
          <w:rFonts w:ascii="Arial" w:hAnsi="Arial" w:cs="Arial"/>
          <w:b/>
          <w:sz w:val="22"/>
          <w:szCs w:val="22"/>
        </w:rPr>
        <w:t>Wisconsin &amp; National Student Clearinghouse</w:t>
      </w:r>
    </w:p>
    <w:p w14:paraId="55FC1B1A" w14:textId="77777777" w:rsidR="00B72E15" w:rsidRDefault="00B72E15" w:rsidP="008563BD">
      <w:pPr>
        <w:rPr>
          <w:rFonts w:ascii="Arial" w:hAnsi="Arial" w:cs="Arial"/>
          <w:sz w:val="22"/>
          <w:szCs w:val="22"/>
        </w:rPr>
      </w:pPr>
    </w:p>
    <w:p w14:paraId="424E8ED4" w14:textId="148C5444" w:rsidR="00195B1E" w:rsidRDefault="004C2225" w:rsidP="00195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Wisconsin DWD s</w:t>
      </w:r>
      <w:r w:rsidR="008563BD">
        <w:rPr>
          <w:rFonts w:ascii="Arial" w:hAnsi="Arial" w:cs="Arial"/>
          <w:sz w:val="22"/>
          <w:szCs w:val="22"/>
        </w:rPr>
        <w:t xml:space="preserve">igned </w:t>
      </w:r>
      <w:r>
        <w:rPr>
          <w:rFonts w:ascii="Arial" w:hAnsi="Arial" w:cs="Arial"/>
          <w:sz w:val="22"/>
          <w:szCs w:val="22"/>
        </w:rPr>
        <w:t xml:space="preserve">its </w:t>
      </w:r>
      <w:r w:rsidR="00465FD4">
        <w:rPr>
          <w:rFonts w:ascii="Arial" w:hAnsi="Arial" w:cs="Arial"/>
          <w:sz w:val="22"/>
          <w:szCs w:val="22"/>
        </w:rPr>
        <w:t>contract on May 3,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  <w:r w:rsidR="00465FD4">
        <w:rPr>
          <w:rFonts w:ascii="Arial" w:hAnsi="Arial" w:cs="Arial"/>
          <w:sz w:val="22"/>
          <w:szCs w:val="22"/>
        </w:rPr>
        <w:t xml:space="preserve">. </w:t>
      </w:r>
      <w:r w:rsidR="00B72E15">
        <w:rPr>
          <w:rFonts w:ascii="Arial" w:hAnsi="Arial" w:cs="Arial"/>
          <w:sz w:val="22"/>
          <w:szCs w:val="22"/>
        </w:rPr>
        <w:t xml:space="preserve">At the advice of the Wisconsin Technical College System (WTCS), the National Student Clearinghouse (NSCH) provides </w:t>
      </w:r>
      <w:r w:rsidR="00195B1E">
        <w:rPr>
          <w:rFonts w:ascii="Arial" w:hAnsi="Arial" w:cs="Arial"/>
          <w:sz w:val="22"/>
          <w:szCs w:val="22"/>
        </w:rPr>
        <w:t>an automated method to collect enrollment and credential data from approximately 3,600 colleges</w:t>
      </w:r>
      <w:r w:rsidR="00972E8E">
        <w:rPr>
          <w:rFonts w:ascii="Arial" w:hAnsi="Arial" w:cs="Arial"/>
          <w:sz w:val="22"/>
          <w:szCs w:val="22"/>
        </w:rPr>
        <w:t xml:space="preserve"> and universities nationwide. </w:t>
      </w:r>
      <w:r w:rsidR="00195B1E">
        <w:rPr>
          <w:rFonts w:ascii="Arial" w:hAnsi="Arial" w:cs="Arial"/>
          <w:sz w:val="22"/>
          <w:szCs w:val="22"/>
        </w:rPr>
        <w:t xml:space="preserve">The service allows agencies to verify FERPA directory level data against the Clearinghouse's </w:t>
      </w:r>
      <w:r w:rsidR="00972E8E">
        <w:rPr>
          <w:rFonts w:ascii="Arial" w:hAnsi="Arial" w:cs="Arial"/>
          <w:sz w:val="22"/>
          <w:szCs w:val="22"/>
        </w:rPr>
        <w:t xml:space="preserve">nationwide central repository. </w:t>
      </w:r>
      <w:r w:rsidR="00195B1E">
        <w:rPr>
          <w:rFonts w:ascii="Arial" w:hAnsi="Arial" w:cs="Arial"/>
          <w:sz w:val="22"/>
          <w:szCs w:val="22"/>
        </w:rPr>
        <w:t>This repository has student data for postsecondary educational institutions that have appointed the Clearinghouse as their agent for purposes of reporting of the enrollment and educational achievements of their stud</w:t>
      </w:r>
      <w:r w:rsidR="00972E8E">
        <w:rPr>
          <w:rFonts w:ascii="Arial" w:hAnsi="Arial" w:cs="Arial"/>
          <w:sz w:val="22"/>
          <w:szCs w:val="22"/>
        </w:rPr>
        <w:t xml:space="preserve">ents to authorized recipients. </w:t>
      </w:r>
      <w:proofErr w:type="spellStart"/>
      <w:r w:rsidR="00195B1E">
        <w:rPr>
          <w:rFonts w:ascii="Arial" w:hAnsi="Arial" w:cs="Arial"/>
          <w:sz w:val="22"/>
          <w:szCs w:val="22"/>
        </w:rPr>
        <w:t>DWD</w:t>
      </w:r>
      <w:proofErr w:type="spellEnd"/>
      <w:r w:rsidR="00195B1E">
        <w:rPr>
          <w:rFonts w:ascii="Arial" w:hAnsi="Arial" w:cs="Arial"/>
          <w:sz w:val="22"/>
          <w:szCs w:val="22"/>
        </w:rPr>
        <w:t xml:space="preserve"> received permission to use NSCH data to satisfy WIOA's federal mandated individual participant reports specifically, the ETA Only Participant Individual Record Layout (PIRL) and the RSA 911.</w:t>
      </w:r>
    </w:p>
    <w:p w14:paraId="5ACA33A8" w14:textId="77777777" w:rsidR="00195B1E" w:rsidRDefault="00195B1E" w:rsidP="00195B1E">
      <w:pPr>
        <w:rPr>
          <w:rFonts w:ascii="Arial" w:hAnsi="Arial" w:cs="Arial"/>
          <w:sz w:val="22"/>
          <w:szCs w:val="22"/>
        </w:rPr>
      </w:pPr>
    </w:p>
    <w:p w14:paraId="083DD8A8" w14:textId="6176A4EF" w:rsidR="008563BD" w:rsidRDefault="008563BD" w:rsidP="00856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contract </w:t>
      </w:r>
      <w:r w:rsidR="004C2225">
        <w:rPr>
          <w:rFonts w:ascii="Arial" w:hAnsi="Arial" w:cs="Arial"/>
          <w:sz w:val="22"/>
          <w:szCs w:val="22"/>
        </w:rPr>
        <w:t>may be</w:t>
      </w:r>
      <w:r w:rsidR="00972E8E">
        <w:rPr>
          <w:rFonts w:ascii="Arial" w:hAnsi="Arial" w:cs="Arial"/>
          <w:sz w:val="22"/>
          <w:szCs w:val="22"/>
        </w:rPr>
        <w:t xml:space="preserve"> renewed annually. </w:t>
      </w:r>
      <w:r>
        <w:rPr>
          <w:rFonts w:ascii="Arial" w:hAnsi="Arial" w:cs="Arial"/>
          <w:sz w:val="22"/>
          <w:szCs w:val="22"/>
        </w:rPr>
        <w:t>The first year</w:t>
      </w:r>
      <w:r w:rsidR="00C13E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C2225">
        <w:rPr>
          <w:rFonts w:ascii="Arial" w:hAnsi="Arial" w:cs="Arial"/>
          <w:sz w:val="22"/>
          <w:szCs w:val="22"/>
        </w:rPr>
        <w:t xml:space="preserve">the department is </w:t>
      </w:r>
      <w:r w:rsidR="00456234">
        <w:rPr>
          <w:rFonts w:ascii="Arial" w:hAnsi="Arial" w:cs="Arial"/>
          <w:sz w:val="22"/>
          <w:szCs w:val="22"/>
        </w:rPr>
        <w:t xml:space="preserve">piloting the system </w:t>
      </w:r>
      <w:r>
        <w:rPr>
          <w:rFonts w:ascii="Arial" w:hAnsi="Arial" w:cs="Arial"/>
          <w:sz w:val="22"/>
          <w:szCs w:val="22"/>
        </w:rPr>
        <w:t xml:space="preserve">to determine whether the service provides </w:t>
      </w:r>
      <w:r w:rsidR="00456234">
        <w:rPr>
          <w:rFonts w:ascii="Arial" w:hAnsi="Arial" w:cs="Arial"/>
          <w:sz w:val="22"/>
          <w:szCs w:val="22"/>
        </w:rPr>
        <w:t xml:space="preserve">adequate return on investment to </w:t>
      </w:r>
      <w:r>
        <w:rPr>
          <w:rFonts w:ascii="Arial" w:hAnsi="Arial" w:cs="Arial"/>
          <w:sz w:val="22"/>
          <w:szCs w:val="22"/>
        </w:rPr>
        <w:t>Wisconsin's</w:t>
      </w:r>
      <w:r w:rsidR="00972E8E">
        <w:rPr>
          <w:rFonts w:ascii="Arial" w:hAnsi="Arial" w:cs="Arial"/>
          <w:sz w:val="22"/>
          <w:szCs w:val="22"/>
        </w:rPr>
        <w:t xml:space="preserve"> workforce development system. </w:t>
      </w:r>
      <w:r>
        <w:rPr>
          <w:rFonts w:ascii="Arial" w:hAnsi="Arial" w:cs="Arial"/>
          <w:sz w:val="22"/>
          <w:szCs w:val="22"/>
        </w:rPr>
        <w:t xml:space="preserve">The </w:t>
      </w:r>
      <w:r w:rsidR="00456234">
        <w:rPr>
          <w:rFonts w:ascii="Arial" w:hAnsi="Arial" w:cs="Arial"/>
          <w:sz w:val="22"/>
          <w:szCs w:val="22"/>
        </w:rPr>
        <w:t xml:space="preserve">Outreach Program </w:t>
      </w:r>
      <w:r>
        <w:rPr>
          <w:rFonts w:ascii="Arial" w:hAnsi="Arial" w:cs="Arial"/>
          <w:sz w:val="22"/>
          <w:szCs w:val="22"/>
        </w:rPr>
        <w:t>service</w:t>
      </w:r>
      <w:r w:rsidR="004C22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purchased by </w:t>
      </w:r>
      <w:proofErr w:type="spellStart"/>
      <w:r>
        <w:rPr>
          <w:rFonts w:ascii="Arial" w:hAnsi="Arial" w:cs="Arial"/>
          <w:sz w:val="22"/>
          <w:szCs w:val="22"/>
        </w:rPr>
        <w:t>DWD</w:t>
      </w:r>
      <w:proofErr w:type="spellEnd"/>
      <w:r>
        <w:rPr>
          <w:rFonts w:ascii="Arial" w:hAnsi="Arial" w:cs="Arial"/>
          <w:sz w:val="22"/>
          <w:szCs w:val="22"/>
        </w:rPr>
        <w:t xml:space="preserve"> in 2017</w:t>
      </w:r>
      <w:r w:rsidR="00972E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includes the following:  </w:t>
      </w:r>
    </w:p>
    <w:p w14:paraId="47AD6B2A" w14:textId="16E5BA2F" w:rsidR="008563BD" w:rsidRDefault="008563BD" w:rsidP="008563BD">
      <w:pPr>
        <w:spacing w:line="272" w:lineRule="exact"/>
        <w:ind w:left="8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>Large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Program:</w:t>
      </w:r>
      <w:r w:rsidR="00C13EC2"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$2,500 </w:t>
      </w:r>
      <w:r>
        <w:rPr>
          <w:rFonts w:ascii="Arial" w:hAnsi="Arial" w:cs="Arial"/>
          <w:spacing w:val="-6"/>
          <w:sz w:val="22"/>
          <w:szCs w:val="22"/>
        </w:rPr>
        <w:t xml:space="preserve">per </w:t>
      </w:r>
      <w:r>
        <w:rPr>
          <w:rFonts w:ascii="Arial" w:hAnsi="Arial" w:cs="Arial"/>
          <w:spacing w:val="-5"/>
          <w:sz w:val="22"/>
          <w:szCs w:val="22"/>
        </w:rPr>
        <w:t>year</w:t>
      </w:r>
    </w:p>
    <w:p w14:paraId="62F504B2" w14:textId="77777777" w:rsidR="008563BD" w:rsidRDefault="008563BD" w:rsidP="008563BD">
      <w:pPr>
        <w:numPr>
          <w:ilvl w:val="0"/>
          <w:numId w:val="1"/>
        </w:numPr>
        <w:spacing w:line="29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Data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7"/>
          <w:sz w:val="22"/>
          <w:szCs w:val="22"/>
        </w:rPr>
        <w:t>File</w:t>
      </w:r>
      <w:r>
        <w:rPr>
          <w:rFonts w:ascii="Arial" w:hAnsi="Arial" w:cs="Arial"/>
          <w:spacing w:val="-2"/>
          <w:sz w:val="22"/>
          <w:szCs w:val="22"/>
        </w:rPr>
        <w:t xml:space="preserve"> Limit: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pacing w:val="-6"/>
          <w:sz w:val="22"/>
          <w:szCs w:val="22"/>
        </w:rPr>
        <w:t>submissions</w:t>
      </w:r>
    </w:p>
    <w:p w14:paraId="6CC203B8" w14:textId="77777777" w:rsidR="008563BD" w:rsidRDefault="008563BD" w:rsidP="008563BD">
      <w:pPr>
        <w:numPr>
          <w:ilvl w:val="0"/>
          <w:numId w:val="1"/>
        </w:numPr>
        <w:spacing w:before="6" w:line="29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Annual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Limit: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20,000 </w:t>
      </w:r>
      <w:r>
        <w:rPr>
          <w:rFonts w:ascii="Arial" w:hAnsi="Arial" w:cs="Arial"/>
          <w:spacing w:val="-5"/>
          <w:sz w:val="22"/>
          <w:szCs w:val="22"/>
        </w:rPr>
        <w:t>records</w:t>
      </w:r>
    </w:p>
    <w:p w14:paraId="6A1588A0" w14:textId="534D780B" w:rsidR="008563BD" w:rsidRDefault="008563BD" w:rsidP="008563BD">
      <w:pPr>
        <w:numPr>
          <w:ilvl w:val="0"/>
          <w:numId w:val="1"/>
        </w:numPr>
        <w:spacing w:line="29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Maximum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Single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Look-up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Web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User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7"/>
          <w:sz w:val="22"/>
          <w:szCs w:val="22"/>
        </w:rPr>
        <w:t>Accounts:</w:t>
      </w:r>
      <w:r w:rsidR="00C13EC2"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pacing w:val="-6"/>
          <w:sz w:val="22"/>
          <w:szCs w:val="22"/>
        </w:rPr>
        <w:t>users</w:t>
      </w:r>
      <w:r w:rsidR="00C13EC2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These users may conduct an unlimited number of individual student record searches.</w:t>
      </w:r>
    </w:p>
    <w:p w14:paraId="572759C9" w14:textId="77777777" w:rsidR="008563BD" w:rsidRDefault="008563BD" w:rsidP="008563BD">
      <w:pPr>
        <w:rPr>
          <w:rFonts w:ascii="Arial" w:hAnsi="Arial" w:cs="Arial"/>
          <w:sz w:val="22"/>
          <w:szCs w:val="22"/>
        </w:rPr>
      </w:pPr>
    </w:p>
    <w:p w14:paraId="52041020" w14:textId="157C86AD" w:rsidR="008563BD" w:rsidRPr="008563BD" w:rsidRDefault="008563BD" w:rsidP="008563BD">
      <w:pPr>
        <w:rPr>
          <w:rFonts w:ascii="Arial" w:hAnsi="Arial" w:cs="Arial"/>
          <w:b/>
          <w:sz w:val="22"/>
          <w:szCs w:val="22"/>
        </w:rPr>
      </w:pPr>
      <w:r w:rsidRPr="008563BD">
        <w:rPr>
          <w:rFonts w:ascii="Arial" w:hAnsi="Arial" w:cs="Arial"/>
          <w:b/>
          <w:sz w:val="22"/>
          <w:szCs w:val="22"/>
        </w:rPr>
        <w:t xml:space="preserve">RSA Data elements for VR Program </w:t>
      </w:r>
      <w:r w:rsidR="003539F2">
        <w:rPr>
          <w:rFonts w:ascii="Arial" w:hAnsi="Arial" w:cs="Arial"/>
          <w:b/>
          <w:sz w:val="22"/>
          <w:szCs w:val="22"/>
        </w:rPr>
        <w:t>that are potentially satisfied by NSCH:</w:t>
      </w:r>
    </w:p>
    <w:p w14:paraId="00EB7937" w14:textId="711519CE" w:rsidR="008563BD" w:rsidRDefault="008563BD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83: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Enrolled in Postsecondary or Graduate Education</w:t>
      </w:r>
    </w:p>
    <w:p w14:paraId="6495E16F" w14:textId="4D5D0B54" w:rsidR="008563BD" w:rsidRDefault="008563BD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84: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Enrolled in Postsecondary Education</w:t>
      </w:r>
    </w:p>
    <w:p w14:paraId="64F650D7" w14:textId="66AEF0CA" w:rsidR="008563BD" w:rsidRDefault="008563BD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87: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Date attained Associate degree</w:t>
      </w:r>
    </w:p>
    <w:p w14:paraId="58883487" w14:textId="52CCBF42" w:rsidR="008563BD" w:rsidRDefault="008563BD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88: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Date attained Bachelor's degree</w:t>
      </w:r>
    </w:p>
    <w:p w14:paraId="7C53F282" w14:textId="6B476B46" w:rsidR="008563BD" w:rsidRDefault="008563BD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89: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Date attained Master's degree</w:t>
      </w:r>
    </w:p>
    <w:p w14:paraId="3B8B72C4" w14:textId="6FBC807C" w:rsidR="008563BD" w:rsidRDefault="00A5180E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90:</w:t>
      </w:r>
      <w:r>
        <w:rPr>
          <w:rFonts w:ascii="Arial" w:eastAsia="Times New Roman" w:hAnsi="Arial" w:cs="Arial"/>
          <w:sz w:val="22"/>
          <w:szCs w:val="22"/>
        </w:rPr>
        <w:tab/>
      </w:r>
      <w:r w:rsidR="008563BD">
        <w:rPr>
          <w:rFonts w:ascii="Arial" w:eastAsia="Times New Roman" w:hAnsi="Arial" w:cs="Arial"/>
          <w:sz w:val="22"/>
          <w:szCs w:val="22"/>
        </w:rPr>
        <w:t>Date attained Graduate degree</w:t>
      </w:r>
    </w:p>
    <w:p w14:paraId="0033E6A7" w14:textId="008EAC84" w:rsidR="008563BD" w:rsidRPr="00A5180E" w:rsidRDefault="008563BD" w:rsidP="00A5180E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92: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Enrolled in a Career or Technical program leadin</w:t>
      </w:r>
      <w:r w:rsidR="00A5180E">
        <w:rPr>
          <w:rFonts w:ascii="Arial" w:eastAsia="Times New Roman" w:hAnsi="Arial" w:cs="Arial"/>
          <w:sz w:val="22"/>
          <w:szCs w:val="22"/>
        </w:rPr>
        <w:t xml:space="preserve">g to recognized postsecondary </w:t>
      </w:r>
      <w:r w:rsidRPr="00A5180E">
        <w:rPr>
          <w:rFonts w:ascii="Arial" w:eastAsia="Times New Roman" w:hAnsi="Arial" w:cs="Arial"/>
          <w:sz w:val="22"/>
          <w:szCs w:val="22"/>
        </w:rPr>
        <w:t xml:space="preserve">credential </w:t>
      </w:r>
    </w:p>
    <w:p w14:paraId="622454BB" w14:textId="0E059EF8" w:rsidR="008563BD" w:rsidRDefault="008563BD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93: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Date attained Vocational/Technical certificate</w:t>
      </w:r>
    </w:p>
    <w:p w14:paraId="41D86443" w14:textId="77777777" w:rsidR="00A5180E" w:rsidRDefault="008563BD" w:rsidP="00A5180E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343: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Date of Most Recent Measurable Skill Gain: Educational Functioning Level</w:t>
      </w:r>
    </w:p>
    <w:p w14:paraId="77FB158E" w14:textId="2764A8B8" w:rsidR="008563BD" w:rsidRPr="00A5180E" w:rsidRDefault="008563BD" w:rsidP="00A5180E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 w:rsidRPr="00A5180E">
        <w:rPr>
          <w:rFonts w:ascii="Arial" w:eastAsia="Times New Roman" w:hAnsi="Arial" w:cs="Arial"/>
          <w:sz w:val="22"/>
          <w:szCs w:val="22"/>
        </w:rPr>
        <w:t>376:</w:t>
      </w:r>
      <w:r w:rsidR="00A5180E" w:rsidRPr="00A5180E">
        <w:rPr>
          <w:rFonts w:ascii="Arial" w:eastAsia="Times New Roman" w:hAnsi="Arial" w:cs="Arial"/>
          <w:sz w:val="22"/>
          <w:szCs w:val="22"/>
        </w:rPr>
        <w:tab/>
      </w:r>
      <w:r w:rsidRPr="00A5180E">
        <w:rPr>
          <w:rFonts w:ascii="Arial" w:eastAsia="Times New Roman" w:hAnsi="Arial" w:cs="Arial"/>
          <w:sz w:val="22"/>
          <w:szCs w:val="22"/>
        </w:rPr>
        <w:t xml:space="preserve">Date Enrolled in Post-Exit Education or Training Program Leading to </w:t>
      </w:r>
      <w:r w:rsidR="00A5180E">
        <w:rPr>
          <w:rFonts w:ascii="Arial" w:eastAsia="Times New Roman" w:hAnsi="Arial" w:cs="Arial"/>
          <w:sz w:val="22"/>
          <w:szCs w:val="22"/>
        </w:rPr>
        <w:t xml:space="preserve">Recognized </w:t>
      </w:r>
      <w:bookmarkStart w:id="0" w:name="_GoBack"/>
      <w:bookmarkEnd w:id="0"/>
      <w:r w:rsidRPr="00A5180E">
        <w:rPr>
          <w:rFonts w:ascii="Arial" w:eastAsia="Times New Roman" w:hAnsi="Arial" w:cs="Arial"/>
          <w:sz w:val="22"/>
          <w:szCs w:val="22"/>
        </w:rPr>
        <w:t>Postsecondary Credential</w:t>
      </w:r>
    </w:p>
    <w:p w14:paraId="7676D8E7" w14:textId="65D366FF" w:rsidR="008563BD" w:rsidRDefault="008563BD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377: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Date of Attainment of Post-Exit Recognized Credential</w:t>
      </w:r>
    </w:p>
    <w:p w14:paraId="486BFA8C" w14:textId="74A03FB9" w:rsidR="008563BD" w:rsidRDefault="008563BD" w:rsidP="008563BD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378:</w:t>
      </w:r>
      <w:r w:rsidR="00A5180E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Type of Recognized Credential Attained Post Exit</w:t>
      </w:r>
    </w:p>
    <w:p w14:paraId="7177A499" w14:textId="77777777" w:rsidR="008563BD" w:rsidRDefault="008563BD" w:rsidP="008563BD">
      <w:pPr>
        <w:rPr>
          <w:rFonts w:ascii="Arial" w:hAnsi="Arial" w:cs="Arial"/>
          <w:sz w:val="22"/>
          <w:szCs w:val="22"/>
        </w:rPr>
      </w:pPr>
    </w:p>
    <w:p w14:paraId="15F27653" w14:textId="77777777" w:rsidR="008563BD" w:rsidRPr="008563BD" w:rsidRDefault="008563BD" w:rsidP="008563BD">
      <w:pPr>
        <w:keepNext/>
        <w:spacing w:before="40"/>
        <w:rPr>
          <w:rFonts w:ascii="Arial" w:hAnsi="Arial" w:cs="Arial"/>
          <w:b/>
          <w:color w:val="365F91"/>
          <w:sz w:val="22"/>
          <w:szCs w:val="22"/>
        </w:rPr>
      </w:pPr>
      <w:r w:rsidRPr="008563BD">
        <w:rPr>
          <w:rFonts w:ascii="Arial" w:hAnsi="Arial" w:cs="Arial"/>
          <w:b/>
          <w:sz w:val="22"/>
          <w:szCs w:val="22"/>
        </w:rPr>
        <w:t>WIOA Performance Impact</w:t>
      </w:r>
    </w:p>
    <w:p w14:paraId="74F54F28" w14:textId="77777777" w:rsidR="008563BD" w:rsidRDefault="008563BD" w:rsidP="008563BD">
      <w:pPr>
        <w:keepNext/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43F60"/>
          <w:sz w:val="22"/>
          <w:szCs w:val="22"/>
        </w:rPr>
        <w:t>Credential Attainment Rate</w:t>
      </w:r>
    </w:p>
    <w:p w14:paraId="01EAB14A" w14:textId="35EFA677" w:rsidR="008563BD" w:rsidRDefault="008563BD" w:rsidP="00856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Student Tracker can assist in the collection of </w:t>
      </w:r>
      <w:r w:rsidR="003539F2">
        <w:rPr>
          <w:rFonts w:ascii="Arial" w:hAnsi="Arial" w:cs="Arial"/>
          <w:sz w:val="22"/>
          <w:szCs w:val="22"/>
        </w:rPr>
        <w:t xml:space="preserve">credentials, </w:t>
      </w:r>
      <w:r>
        <w:rPr>
          <w:rFonts w:ascii="Arial" w:hAnsi="Arial" w:cs="Arial"/>
          <w:sz w:val="22"/>
          <w:szCs w:val="22"/>
        </w:rPr>
        <w:t>type of credential and the d</w:t>
      </w:r>
      <w:r w:rsidR="00C13EC2">
        <w:rPr>
          <w:rFonts w:ascii="Arial" w:hAnsi="Arial" w:cs="Arial"/>
          <w:sz w:val="22"/>
          <w:szCs w:val="22"/>
        </w:rPr>
        <w:t>ate the credential was earned. </w:t>
      </w:r>
      <w:r>
        <w:rPr>
          <w:rFonts w:ascii="Arial" w:hAnsi="Arial" w:cs="Arial"/>
          <w:sz w:val="22"/>
          <w:szCs w:val="22"/>
        </w:rPr>
        <w:t>When past participants do not report their credential to the career planner or counselor</w:t>
      </w:r>
      <w:r w:rsidR="003539F2">
        <w:rPr>
          <w:rFonts w:ascii="Arial" w:hAnsi="Arial" w:cs="Arial"/>
          <w:sz w:val="22"/>
          <w:szCs w:val="22"/>
        </w:rPr>
        <w:t xml:space="preserve"> following exit</w:t>
      </w:r>
      <w:r>
        <w:rPr>
          <w:rFonts w:ascii="Arial" w:hAnsi="Arial" w:cs="Arial"/>
          <w:sz w:val="22"/>
          <w:szCs w:val="22"/>
        </w:rPr>
        <w:t xml:space="preserve">, the credential </w:t>
      </w:r>
      <w:r w:rsidR="003539F2"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>be found through the Student Tracker service.</w:t>
      </w:r>
    </w:p>
    <w:p w14:paraId="23A00BD2" w14:textId="77777777" w:rsidR="008563BD" w:rsidRDefault="008563BD" w:rsidP="008563BD">
      <w:pPr>
        <w:rPr>
          <w:rFonts w:ascii="Arial" w:hAnsi="Arial" w:cs="Arial"/>
          <w:sz w:val="22"/>
          <w:szCs w:val="22"/>
        </w:rPr>
      </w:pPr>
    </w:p>
    <w:p w14:paraId="4DF24A03" w14:textId="77777777" w:rsidR="008563BD" w:rsidRDefault="008563BD" w:rsidP="008563BD">
      <w:pPr>
        <w:keepNext/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43F60"/>
          <w:sz w:val="22"/>
          <w:szCs w:val="22"/>
        </w:rPr>
        <w:t>Measurable Skill Gains</w:t>
      </w:r>
    </w:p>
    <w:p w14:paraId="630E33F2" w14:textId="048EB59E" w:rsidR="008563BD" w:rsidRDefault="008563BD" w:rsidP="00856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Tracker can ass</w:t>
      </w:r>
      <w:r w:rsidR="00C13EC2">
        <w:rPr>
          <w:rFonts w:ascii="Arial" w:hAnsi="Arial" w:cs="Arial"/>
          <w:sz w:val="22"/>
          <w:szCs w:val="22"/>
        </w:rPr>
        <w:t>ist in the collection of MSGs. </w:t>
      </w:r>
      <w:r>
        <w:rPr>
          <w:rFonts w:ascii="Arial" w:hAnsi="Arial" w:cs="Arial"/>
          <w:sz w:val="22"/>
          <w:szCs w:val="22"/>
        </w:rPr>
        <w:t xml:space="preserve">The most recent </w:t>
      </w:r>
      <w:proofErr w:type="spellStart"/>
      <w:r>
        <w:rPr>
          <w:rFonts w:ascii="Arial" w:hAnsi="Arial" w:cs="Arial"/>
          <w:sz w:val="22"/>
          <w:szCs w:val="22"/>
        </w:rPr>
        <w:t>EFL</w:t>
      </w:r>
      <w:proofErr w:type="spellEnd"/>
      <w:r>
        <w:rPr>
          <w:rFonts w:ascii="Arial" w:hAnsi="Arial" w:cs="Arial"/>
          <w:sz w:val="22"/>
          <w:szCs w:val="22"/>
        </w:rPr>
        <w:t xml:space="preserve"> gain can be demonstrated by showing a participant who exit</w:t>
      </w:r>
      <w:r w:rsidR="004C22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from a program below the postsecondary level </w:t>
      </w:r>
      <w:r w:rsidR="004C2225">
        <w:rPr>
          <w:rFonts w:ascii="Arial" w:hAnsi="Arial" w:cs="Arial"/>
          <w:sz w:val="22"/>
          <w:szCs w:val="22"/>
        </w:rPr>
        <w:t xml:space="preserve">becomes </w:t>
      </w:r>
      <w:r>
        <w:rPr>
          <w:rFonts w:ascii="Arial" w:hAnsi="Arial" w:cs="Arial"/>
          <w:sz w:val="22"/>
          <w:szCs w:val="22"/>
        </w:rPr>
        <w:t>enroll</w:t>
      </w:r>
      <w:r w:rsidR="004C2225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in postsecondary education or training during the program year.</w:t>
      </w:r>
    </w:p>
    <w:p w14:paraId="32EBC978" w14:textId="77777777" w:rsidR="008563BD" w:rsidRDefault="008563BD" w:rsidP="008563BD">
      <w:pPr>
        <w:rPr>
          <w:rFonts w:ascii="Arial" w:hAnsi="Arial" w:cs="Arial"/>
          <w:sz w:val="22"/>
          <w:szCs w:val="22"/>
        </w:rPr>
      </w:pPr>
    </w:p>
    <w:p w14:paraId="1A9CD26B" w14:textId="7F6473AE" w:rsidR="008563BD" w:rsidRPr="008563BD" w:rsidRDefault="008563BD" w:rsidP="008563BD">
      <w:pPr>
        <w:rPr>
          <w:rFonts w:ascii="Arial" w:hAnsi="Arial" w:cs="Arial"/>
          <w:b/>
          <w:sz w:val="22"/>
          <w:szCs w:val="22"/>
        </w:rPr>
      </w:pPr>
      <w:r w:rsidRPr="008563BD">
        <w:rPr>
          <w:rFonts w:ascii="Arial" w:hAnsi="Arial" w:cs="Arial"/>
          <w:b/>
          <w:sz w:val="22"/>
          <w:szCs w:val="22"/>
        </w:rPr>
        <w:t xml:space="preserve">Items </w:t>
      </w:r>
      <w:r w:rsidR="00195B1E">
        <w:rPr>
          <w:rFonts w:ascii="Arial" w:hAnsi="Arial" w:cs="Arial"/>
          <w:b/>
          <w:sz w:val="22"/>
          <w:szCs w:val="22"/>
        </w:rPr>
        <w:t xml:space="preserve">DWD is now considering: </w:t>
      </w:r>
    </w:p>
    <w:p w14:paraId="0D4113D6" w14:textId="77777777" w:rsidR="008563BD" w:rsidRDefault="008563BD" w:rsidP="008563BD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Are there other PIRL/RSA 911 elements that can be satisfied through the NSCH?</w:t>
      </w:r>
    </w:p>
    <w:p w14:paraId="14A2BEBA" w14:textId="4BB6E354" w:rsidR="008563BD" w:rsidRDefault="008563BD" w:rsidP="008563BD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Are the </w:t>
      </w:r>
      <w:r w:rsidR="003539F2">
        <w:rPr>
          <w:rFonts w:ascii="Arial" w:eastAsia="Times New Roman" w:hAnsi="Arial" w:cs="Arial"/>
          <w:sz w:val="22"/>
          <w:szCs w:val="22"/>
        </w:rPr>
        <w:t>MSG,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C2225">
        <w:rPr>
          <w:rFonts w:ascii="Arial" w:eastAsia="Times New Roman" w:hAnsi="Arial" w:cs="Arial"/>
          <w:sz w:val="22"/>
          <w:szCs w:val="22"/>
        </w:rPr>
        <w:t>EFL gain</w:t>
      </w:r>
      <w:r w:rsidR="003539F2">
        <w:rPr>
          <w:rFonts w:ascii="Arial" w:eastAsia="Times New Roman" w:hAnsi="Arial" w:cs="Arial"/>
          <w:sz w:val="22"/>
          <w:szCs w:val="22"/>
        </w:rPr>
        <w:t>,</w:t>
      </w:r>
      <w:r w:rsidR="004C222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verifications practical due to the lack of time available between the end of the program year and when the annual reports are due?  </w:t>
      </w:r>
    </w:p>
    <w:p w14:paraId="427BB213" w14:textId="0DC66B96" w:rsidR="008563BD" w:rsidRDefault="008563BD" w:rsidP="008563BD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How will </w:t>
      </w:r>
      <w:r w:rsidR="004C2225">
        <w:rPr>
          <w:rFonts w:ascii="Arial" w:eastAsia="Times New Roman" w:hAnsi="Arial" w:cs="Arial"/>
          <w:sz w:val="22"/>
          <w:szCs w:val="22"/>
        </w:rPr>
        <w:t>DWD</w:t>
      </w:r>
      <w:r w:rsidR="003539F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programs coordinate batch processes to ensure the 20,000 record</w:t>
      </w:r>
      <w:r w:rsidR="004C2225">
        <w:rPr>
          <w:rFonts w:ascii="Arial" w:eastAsia="Times New Roman" w:hAnsi="Arial" w:cs="Arial"/>
          <w:sz w:val="22"/>
          <w:szCs w:val="22"/>
        </w:rPr>
        <w:t xml:space="preserve"> limit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C2225">
        <w:rPr>
          <w:rFonts w:ascii="Arial" w:eastAsia="Times New Roman" w:hAnsi="Arial" w:cs="Arial"/>
          <w:sz w:val="22"/>
          <w:szCs w:val="22"/>
        </w:rPr>
        <w:t>is</w:t>
      </w:r>
      <w:r>
        <w:rPr>
          <w:rFonts w:ascii="Arial" w:eastAsia="Times New Roman" w:hAnsi="Arial" w:cs="Arial"/>
          <w:sz w:val="22"/>
          <w:szCs w:val="22"/>
        </w:rPr>
        <w:t xml:space="preserve"> not exceeded? </w:t>
      </w:r>
    </w:p>
    <w:p w14:paraId="1E6B47D7" w14:textId="101A028E" w:rsidR="008563BD" w:rsidRDefault="008563BD" w:rsidP="008563BD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programs will need to filter to only submit records that "</w:t>
      </w:r>
      <w:r w:rsidR="004C2225">
        <w:rPr>
          <w:rFonts w:ascii="Arial" w:eastAsia="Times New Roman" w:hAnsi="Arial" w:cs="Arial"/>
          <w:sz w:val="22"/>
          <w:szCs w:val="22"/>
        </w:rPr>
        <w:t>require</w:t>
      </w:r>
      <w:r>
        <w:rPr>
          <w:rFonts w:ascii="Arial" w:eastAsia="Times New Roman" w:hAnsi="Arial" w:cs="Arial"/>
          <w:sz w:val="22"/>
          <w:szCs w:val="22"/>
        </w:rPr>
        <w:t xml:space="preserve">" verification.  </w:t>
      </w:r>
    </w:p>
    <w:p w14:paraId="14AFBAC8" w14:textId="717B76FF" w:rsidR="00357662" w:rsidRDefault="008563BD" w:rsidP="001939CC">
      <w:pPr>
        <w:numPr>
          <w:ilvl w:val="0"/>
          <w:numId w:val="3"/>
        </w:numPr>
        <w:contextualSpacing/>
      </w:pPr>
      <w:r w:rsidRPr="004C2225">
        <w:rPr>
          <w:rFonts w:ascii="Arial" w:eastAsia="Times New Roman" w:hAnsi="Arial" w:cs="Arial"/>
          <w:sz w:val="22"/>
          <w:szCs w:val="22"/>
        </w:rPr>
        <w:t xml:space="preserve">How often </w:t>
      </w:r>
      <w:r w:rsidR="004C2225" w:rsidRPr="004C2225">
        <w:rPr>
          <w:rFonts w:ascii="Arial" w:eastAsia="Times New Roman" w:hAnsi="Arial" w:cs="Arial"/>
          <w:sz w:val="22"/>
          <w:szCs w:val="22"/>
        </w:rPr>
        <w:t>will the state</w:t>
      </w:r>
      <w:r w:rsidR="0041550F">
        <w:rPr>
          <w:rFonts w:ascii="Arial" w:eastAsia="Times New Roman" w:hAnsi="Arial" w:cs="Arial"/>
          <w:sz w:val="22"/>
          <w:szCs w:val="22"/>
        </w:rPr>
        <w:t xml:space="preserve"> s</w:t>
      </w:r>
      <w:r w:rsidR="004C2225">
        <w:rPr>
          <w:rFonts w:ascii="Arial" w:eastAsia="Times New Roman" w:hAnsi="Arial" w:cs="Arial"/>
          <w:sz w:val="22"/>
          <w:szCs w:val="22"/>
        </w:rPr>
        <w:t>ubmit batch files</w:t>
      </w:r>
      <w:r w:rsidR="0041550F">
        <w:rPr>
          <w:rFonts w:ascii="Arial" w:eastAsia="Times New Roman" w:hAnsi="Arial" w:cs="Arial"/>
          <w:sz w:val="22"/>
          <w:szCs w:val="22"/>
        </w:rPr>
        <w:t xml:space="preserve"> </w:t>
      </w:r>
      <w:r w:rsidRPr="004C2225">
        <w:rPr>
          <w:rFonts w:ascii="Arial" w:eastAsia="Times New Roman" w:hAnsi="Arial" w:cs="Arial"/>
          <w:sz w:val="22"/>
          <w:szCs w:val="22"/>
        </w:rPr>
        <w:t xml:space="preserve">to Student Tracker?  </w:t>
      </w:r>
    </w:p>
    <w:sectPr w:rsidR="00357662" w:rsidSect="00856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57B"/>
    <w:multiLevelType w:val="hybridMultilevel"/>
    <w:tmpl w:val="0AD622BC"/>
    <w:lvl w:ilvl="0" w:tplc="0DA4B952">
      <w:start w:val="1"/>
      <w:numFmt w:val="bullet"/>
      <w:lvlText w:val=""/>
      <w:lvlJc w:val="left"/>
      <w:pPr>
        <w:ind w:left="1543" w:hanging="361"/>
      </w:pPr>
      <w:rPr>
        <w:rFonts w:ascii="Symbol" w:eastAsia="Symbol" w:hAnsi="Symbol" w:hint="default"/>
        <w:sz w:val="24"/>
        <w:szCs w:val="24"/>
      </w:rPr>
    </w:lvl>
    <w:lvl w:ilvl="1" w:tplc="289A0D66">
      <w:start w:val="1"/>
      <w:numFmt w:val="bullet"/>
      <w:lvlText w:val="•"/>
      <w:lvlJc w:val="left"/>
      <w:pPr>
        <w:ind w:left="2346" w:hanging="361"/>
      </w:pPr>
    </w:lvl>
    <w:lvl w:ilvl="2" w:tplc="3CD87370">
      <w:start w:val="1"/>
      <w:numFmt w:val="bullet"/>
      <w:lvlText w:val="•"/>
      <w:lvlJc w:val="left"/>
      <w:pPr>
        <w:ind w:left="3150" w:hanging="361"/>
      </w:pPr>
    </w:lvl>
    <w:lvl w:ilvl="3" w:tplc="0652E7FE">
      <w:start w:val="1"/>
      <w:numFmt w:val="bullet"/>
      <w:lvlText w:val="•"/>
      <w:lvlJc w:val="left"/>
      <w:pPr>
        <w:ind w:left="3954" w:hanging="361"/>
      </w:pPr>
    </w:lvl>
    <w:lvl w:ilvl="4" w:tplc="AAECB7C0">
      <w:start w:val="1"/>
      <w:numFmt w:val="bullet"/>
      <w:lvlText w:val="•"/>
      <w:lvlJc w:val="left"/>
      <w:pPr>
        <w:ind w:left="4757" w:hanging="361"/>
      </w:pPr>
    </w:lvl>
    <w:lvl w:ilvl="5" w:tplc="D40C8282">
      <w:start w:val="1"/>
      <w:numFmt w:val="bullet"/>
      <w:lvlText w:val="•"/>
      <w:lvlJc w:val="left"/>
      <w:pPr>
        <w:ind w:left="5561" w:hanging="361"/>
      </w:pPr>
    </w:lvl>
    <w:lvl w:ilvl="6" w:tplc="3BD02C9E">
      <w:start w:val="1"/>
      <w:numFmt w:val="bullet"/>
      <w:lvlText w:val="•"/>
      <w:lvlJc w:val="left"/>
      <w:pPr>
        <w:ind w:left="6365" w:hanging="361"/>
      </w:pPr>
    </w:lvl>
    <w:lvl w:ilvl="7" w:tplc="1664767A">
      <w:start w:val="1"/>
      <w:numFmt w:val="bullet"/>
      <w:lvlText w:val="•"/>
      <w:lvlJc w:val="left"/>
      <w:pPr>
        <w:ind w:left="7168" w:hanging="361"/>
      </w:pPr>
    </w:lvl>
    <w:lvl w:ilvl="8" w:tplc="C19ACBC0">
      <w:start w:val="1"/>
      <w:numFmt w:val="bullet"/>
      <w:lvlText w:val="•"/>
      <w:lvlJc w:val="left"/>
      <w:pPr>
        <w:ind w:left="7972" w:hanging="361"/>
      </w:pPr>
    </w:lvl>
  </w:abstractNum>
  <w:abstractNum w:abstractNumId="1" w15:restartNumberingAfterBreak="0">
    <w:nsid w:val="1F105D99"/>
    <w:multiLevelType w:val="hybridMultilevel"/>
    <w:tmpl w:val="00AC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477FE"/>
    <w:multiLevelType w:val="hybridMultilevel"/>
    <w:tmpl w:val="219A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BD"/>
    <w:rsid w:val="00195B1E"/>
    <w:rsid w:val="003539F2"/>
    <w:rsid w:val="00357662"/>
    <w:rsid w:val="0041550F"/>
    <w:rsid w:val="00456234"/>
    <w:rsid w:val="00465FD4"/>
    <w:rsid w:val="004C2225"/>
    <w:rsid w:val="004C48E1"/>
    <w:rsid w:val="004E497B"/>
    <w:rsid w:val="008563BD"/>
    <w:rsid w:val="00972E8E"/>
    <w:rsid w:val="00A230E8"/>
    <w:rsid w:val="00A5180E"/>
    <w:rsid w:val="00B72E15"/>
    <w:rsid w:val="00C13EC2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F571"/>
  <w15:chartTrackingRefBased/>
  <w15:docId w15:val="{290CE1D2-1CE2-412F-8C6A-3AF7481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BD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25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25"/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Allison L</dc:creator>
  <cp:keywords/>
  <dc:description/>
  <cp:lastModifiedBy>Christa Nieminen</cp:lastModifiedBy>
  <cp:revision>4</cp:revision>
  <dcterms:created xsi:type="dcterms:W3CDTF">2017-08-30T16:34:00Z</dcterms:created>
  <dcterms:modified xsi:type="dcterms:W3CDTF">2017-09-22T14:37:00Z</dcterms:modified>
</cp:coreProperties>
</file>