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296"/>
        <w:gridCol w:w="1908"/>
        <w:gridCol w:w="3168"/>
        <w:gridCol w:w="684"/>
        <w:gridCol w:w="1188"/>
        <w:gridCol w:w="252"/>
        <w:gridCol w:w="2196"/>
        <w:gridCol w:w="108"/>
      </w:tblGrid>
      <w:tr w:rsidR="008D08E4" w:rsidTr="008D08E4">
        <w:trPr>
          <w:gridBefore w:val="1"/>
          <w:wBefore w:w="108" w:type="dxa"/>
          <w:cantSplit/>
        </w:trPr>
        <w:tc>
          <w:tcPr>
            <w:tcW w:w="1296" w:type="dxa"/>
            <w:tcBorders>
              <w:bottom w:val="single" w:sz="6" w:space="0" w:color="auto"/>
            </w:tcBorders>
          </w:tcPr>
          <w:p w:rsidR="008D08E4" w:rsidRDefault="008D08E4" w:rsidP="005819AD">
            <w:pPr>
              <w:spacing w:before="120" w:after="120" w:line="240" w:lineRule="atLeast"/>
            </w:pPr>
            <w:r>
              <w:rPr>
                <w:b/>
              </w:rPr>
              <w:t>Subject: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D08E4" w:rsidRDefault="008D08E4" w:rsidP="005819AD">
            <w:pPr>
              <w:spacing w:before="120"/>
            </w:pPr>
            <w:bookmarkStart w:id="0" w:name="Subject"/>
            <w:bookmarkEnd w:id="0"/>
            <w:r>
              <w:t xml:space="preserve">Part 2. Supported Employment Intensive Skills Training and Support 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D08E4" w:rsidRDefault="008D08E4" w:rsidP="005819AD">
            <w:pPr>
              <w:spacing w:before="120" w:line="240" w:lineRule="atLeast"/>
            </w:pPr>
            <w:r>
              <w:rPr>
                <w:b/>
              </w:rPr>
              <w:t>Originator: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</w:tcPr>
          <w:p w:rsidR="008D08E4" w:rsidRDefault="008D08E4" w:rsidP="008D08E4">
            <w:pPr>
              <w:numPr>
                <w:ilvl w:val="0"/>
                <w:numId w:val="1"/>
              </w:numPr>
              <w:spacing w:before="0"/>
            </w:pPr>
            <w:bookmarkStart w:id="1" w:name="originator"/>
            <w:bookmarkEnd w:id="1"/>
            <w:proofErr w:type="spellStart"/>
            <w:r>
              <w:t>Teng</w:t>
            </w:r>
            <w:proofErr w:type="spellEnd"/>
            <w:r>
              <w:t xml:space="preserve"> (Simms) /x64825</w:t>
            </w:r>
          </w:p>
          <w:p w:rsidR="008D08E4" w:rsidRDefault="008D08E4" w:rsidP="005819AD">
            <w:pPr>
              <w:spacing w:before="0"/>
            </w:pPr>
          </w:p>
        </w:tc>
      </w:tr>
      <w:tr w:rsidR="008D08E4" w:rsidTr="008D08E4">
        <w:trPr>
          <w:gridAfter w:val="1"/>
          <w:wAfter w:w="108" w:type="dxa"/>
          <w:cantSplit/>
        </w:trPr>
        <w:tc>
          <w:tcPr>
            <w:tcW w:w="3312" w:type="dxa"/>
            <w:gridSpan w:val="3"/>
            <w:tcBorders>
              <w:top w:val="single" w:sz="6" w:space="0" w:color="auto"/>
            </w:tcBorders>
          </w:tcPr>
          <w:p w:rsidR="008D08E4" w:rsidRDefault="008D08E4" w:rsidP="005819AD">
            <w:pPr>
              <w:spacing w:before="120"/>
              <w:ind w:left="576" w:hanging="576"/>
            </w:pPr>
            <w:r>
              <w:t>To:</w:t>
            </w:r>
            <w:r>
              <w:tab/>
            </w:r>
            <w:bookmarkStart w:id="2" w:name="icf_to"/>
            <w:bookmarkEnd w:id="2"/>
            <w:r>
              <w:t>BA’s, SSO</w:t>
            </w:r>
          </w:p>
        </w:tc>
        <w:tc>
          <w:tcPr>
            <w:tcW w:w="3168" w:type="dxa"/>
            <w:tcBorders>
              <w:top w:val="single" w:sz="6" w:space="0" w:color="auto"/>
            </w:tcBorders>
          </w:tcPr>
          <w:p w:rsidR="008D08E4" w:rsidRDefault="008D08E4" w:rsidP="005819AD">
            <w:pPr>
              <w:spacing w:before="120"/>
              <w:ind w:left="576" w:hanging="576"/>
            </w:pPr>
            <w:r>
              <w:t>From:</w:t>
            </w:r>
            <w:bookmarkStart w:id="3" w:name="icf_from"/>
            <w:bookmarkEnd w:id="3"/>
            <w:r>
              <w:t xml:space="preserve">  VRA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</w:tcPr>
          <w:p w:rsidR="008D08E4" w:rsidRDefault="008D08E4" w:rsidP="005819AD">
            <w:pPr>
              <w:spacing w:before="120"/>
              <w:ind w:left="576" w:hanging="576"/>
            </w:pPr>
            <w:r>
              <w:t>Date:</w:t>
            </w:r>
            <w:r>
              <w:tab/>
            </w:r>
            <w:bookmarkStart w:id="4" w:name="icf_date"/>
            <w:bookmarkEnd w:id="4"/>
            <w:r>
              <w:t>7/24/17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</w:tcBorders>
          </w:tcPr>
          <w:p w:rsidR="008D08E4" w:rsidRDefault="008D08E4" w:rsidP="005819AD">
            <w:pPr>
              <w:spacing w:before="120" w:line="240" w:lineRule="atLeast"/>
              <w:jc w:val="right"/>
            </w:pPr>
            <w:r>
              <w:t>Memo No. 1</w:t>
            </w:r>
          </w:p>
        </w:tc>
      </w:tr>
    </w:tbl>
    <w:p w:rsidR="008D08E4" w:rsidRPr="00E07454" w:rsidRDefault="008D08E4" w:rsidP="008D08E4">
      <w:pPr>
        <w:ind w:left="720"/>
        <w:rPr>
          <w:rFonts w:ascii="Courier New" w:hAnsi="Courier New" w:cs="Courier New"/>
          <w:szCs w:val="24"/>
        </w:rPr>
      </w:pPr>
      <w:r w:rsidRPr="00E07454">
        <w:rPr>
          <w:rFonts w:ascii="Courier New" w:hAnsi="Courier New" w:cs="Courier New"/>
          <w:szCs w:val="24"/>
        </w:rPr>
        <w:t>Supported Employment (SE) is a “place and train” model, which is a two part process.</w:t>
      </w:r>
      <w:r>
        <w:rPr>
          <w:rFonts w:ascii="Courier New" w:hAnsi="Courier New" w:cs="Courier New"/>
          <w:szCs w:val="24"/>
        </w:rPr>
        <w:t xml:space="preserve"> Up until competitive integrated employment has occurred the client is receiving VR services authored through the Individual Plan for Employment (IPE). SE services become accessible once:</w:t>
      </w:r>
    </w:p>
    <w:p w:rsidR="008D08E4" w:rsidRPr="00F225FF" w:rsidRDefault="008D08E4" w:rsidP="008D08E4">
      <w:pPr>
        <w:numPr>
          <w:ilvl w:val="0"/>
          <w:numId w:val="3"/>
        </w:num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szCs w:val="24"/>
        </w:rPr>
        <w:t xml:space="preserve">A client with a Most Significant Disability (MSD) is placed in competitive integrated employment (CIE). </w:t>
      </w:r>
      <w:r w:rsidRPr="00B37AA3">
        <w:rPr>
          <w:rFonts w:ascii="Courier New" w:hAnsi="Courier New" w:cs="Courier New"/>
          <w:i/>
          <w:szCs w:val="24"/>
        </w:rPr>
        <w:t>WIOA/RSA allows for SE positions to occu</w:t>
      </w:r>
      <w:r>
        <w:rPr>
          <w:rFonts w:ascii="Courier New" w:hAnsi="Courier New" w:cs="Courier New"/>
          <w:i/>
          <w:szCs w:val="24"/>
        </w:rPr>
        <w:t xml:space="preserve">r in minimum or </w:t>
      </w:r>
      <w:r w:rsidRPr="00B37AA3">
        <w:rPr>
          <w:rFonts w:ascii="Courier New" w:hAnsi="Courier New" w:cs="Courier New"/>
          <w:i/>
          <w:szCs w:val="24"/>
        </w:rPr>
        <w:t>sub-minimum wages assuming 511 and other DOL conditions are met.</w:t>
      </w:r>
      <w:r w:rsidRPr="00B37AA3">
        <w:t xml:space="preserve"> </w:t>
      </w:r>
      <w:r>
        <w:rPr>
          <w:rFonts w:ascii="Courier New" w:hAnsi="Courier New" w:cs="Courier New"/>
          <w:i/>
          <w:szCs w:val="24"/>
        </w:rPr>
        <w:t xml:space="preserve">However all SE worksite must </w:t>
      </w:r>
      <w:r w:rsidRPr="00F225FF">
        <w:rPr>
          <w:rFonts w:ascii="Courier New" w:hAnsi="Courier New" w:cs="Courier New"/>
          <w:i/>
          <w:szCs w:val="24"/>
        </w:rPr>
        <w:t xml:space="preserve">be in an integrated setting and the SE position must ultimately result in meeting all CIE criteria. </w:t>
      </w:r>
    </w:p>
    <w:p w:rsidR="008D08E4" w:rsidRPr="00B37AA3" w:rsidRDefault="008D08E4" w:rsidP="008D08E4">
      <w:pPr>
        <w:numPr>
          <w:ilvl w:val="0"/>
          <w:numId w:val="3"/>
        </w:numPr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szCs w:val="24"/>
        </w:rPr>
        <w:t>Extended services are the longer-term, on</w:t>
      </w:r>
      <w:r w:rsidRPr="00B37AA3">
        <w:rPr>
          <w:rFonts w:ascii="Courier New" w:hAnsi="Courier New" w:cs="Courier New"/>
          <w:szCs w:val="24"/>
        </w:rPr>
        <w:t>going services, designed to assist individuals after SE services are complete</w:t>
      </w:r>
      <w:r>
        <w:rPr>
          <w:rFonts w:ascii="Courier New" w:hAnsi="Courier New" w:cs="Courier New"/>
          <w:szCs w:val="24"/>
        </w:rPr>
        <w:t xml:space="preserve">. </w:t>
      </w:r>
      <w:r w:rsidRPr="00B37AA3">
        <w:rPr>
          <w:rFonts w:ascii="Courier New" w:hAnsi="Courier New" w:cs="Courier New"/>
          <w:i/>
          <w:szCs w:val="24"/>
        </w:rPr>
        <w:t>Please reference the ICF SE definitions and practice under WIOA.</w:t>
      </w:r>
    </w:p>
    <w:p w:rsidR="008D08E4" w:rsidRPr="00E07454" w:rsidRDefault="008D08E4" w:rsidP="008D08E4">
      <w:pPr>
        <w:ind w:left="720"/>
        <w:rPr>
          <w:rFonts w:ascii="Courier New" w:hAnsi="Courier New" w:cs="Courier New"/>
          <w:b/>
          <w:szCs w:val="24"/>
          <w:u w:val="single"/>
        </w:rPr>
      </w:pPr>
      <w:r>
        <w:rPr>
          <w:rFonts w:ascii="Courier New" w:hAnsi="Courier New" w:cs="Courier New"/>
          <w:b/>
          <w:szCs w:val="24"/>
          <w:u w:val="single"/>
        </w:rPr>
        <w:t xml:space="preserve">SE Process overview  </w:t>
      </w:r>
    </w:p>
    <w:p w:rsidR="008D08E4" w:rsidRDefault="008D08E4" w:rsidP="008D08E4">
      <w:pPr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41554B">
        <w:rPr>
          <w:rFonts w:ascii="Courier New" w:hAnsi="Courier New" w:cs="Courier New"/>
          <w:szCs w:val="24"/>
        </w:rPr>
        <w:t>VR</w:t>
      </w:r>
      <w:r>
        <w:rPr>
          <w:rFonts w:ascii="Courier New" w:hAnsi="Courier New" w:cs="Courier New"/>
          <w:szCs w:val="24"/>
        </w:rPr>
        <w:t xml:space="preserve">C receives </w:t>
      </w:r>
      <w:r w:rsidRPr="0041554B">
        <w:rPr>
          <w:rFonts w:ascii="Courier New" w:hAnsi="Courier New" w:cs="Courier New"/>
          <w:szCs w:val="24"/>
        </w:rPr>
        <w:t xml:space="preserve">referral, determines eligibility, and develops an IPE that identifies the need for SE services </w:t>
      </w:r>
      <w:r w:rsidRPr="00B37AA3">
        <w:rPr>
          <w:rFonts w:ascii="Courier New" w:hAnsi="Courier New" w:cs="Courier New"/>
          <w:szCs w:val="24"/>
        </w:rPr>
        <w:t>and the resources needed to fund those services</w:t>
      </w:r>
      <w:r>
        <w:rPr>
          <w:rFonts w:ascii="Courier New" w:hAnsi="Courier New" w:cs="Courier New"/>
          <w:szCs w:val="24"/>
        </w:rPr>
        <w:t>.</w:t>
      </w:r>
    </w:p>
    <w:p w:rsidR="008D08E4" w:rsidRPr="00705AE6" w:rsidRDefault="008D08E4" w:rsidP="008D08E4">
      <w:pPr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705AE6">
        <w:rPr>
          <w:rFonts w:ascii="Courier New" w:hAnsi="Courier New" w:cs="Courier New"/>
          <w:szCs w:val="24"/>
        </w:rPr>
        <w:t xml:space="preserve">VRC </w:t>
      </w:r>
      <w:r>
        <w:rPr>
          <w:rFonts w:ascii="Courier New" w:hAnsi="Courier New" w:cs="Courier New"/>
          <w:szCs w:val="24"/>
        </w:rPr>
        <w:t>and client</w:t>
      </w:r>
      <w:r w:rsidRPr="00705AE6">
        <w:rPr>
          <w:rFonts w:ascii="Courier New" w:hAnsi="Courier New" w:cs="Courier New"/>
          <w:szCs w:val="24"/>
        </w:rPr>
        <w:t xml:space="preserve"> identify an appropriate provider </w:t>
      </w:r>
      <w:r>
        <w:rPr>
          <w:rFonts w:ascii="Courier New" w:hAnsi="Courier New" w:cs="Courier New"/>
          <w:szCs w:val="24"/>
        </w:rPr>
        <w:t xml:space="preserve">through either one or both of the following: </w:t>
      </w:r>
    </w:p>
    <w:p w:rsidR="008D08E4" w:rsidRPr="0041554B" w:rsidRDefault="008D08E4" w:rsidP="008D08E4">
      <w:pPr>
        <w:numPr>
          <w:ilvl w:val="1"/>
          <w:numId w:val="2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41554B">
        <w:rPr>
          <w:rFonts w:ascii="Courier New" w:hAnsi="Courier New" w:cs="Courier New"/>
          <w:szCs w:val="24"/>
        </w:rPr>
        <w:t>External Community Rehabilitation Program (CRP)</w:t>
      </w:r>
    </w:p>
    <w:p w:rsidR="008D08E4" w:rsidRPr="00705AE6" w:rsidRDefault="008D08E4" w:rsidP="008D08E4">
      <w:pPr>
        <w:numPr>
          <w:ilvl w:val="1"/>
          <w:numId w:val="2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41554B">
        <w:rPr>
          <w:rFonts w:ascii="Courier New" w:hAnsi="Courier New" w:cs="Courier New"/>
          <w:szCs w:val="24"/>
        </w:rPr>
        <w:t xml:space="preserve">Internal VR staff – </w:t>
      </w:r>
      <w:r>
        <w:rPr>
          <w:rFonts w:ascii="Courier New" w:hAnsi="Courier New" w:cs="Courier New"/>
          <w:szCs w:val="24"/>
        </w:rPr>
        <w:t xml:space="preserve">employment specialist, community services specialist or VR counselor </w:t>
      </w:r>
    </w:p>
    <w:p w:rsidR="008D08E4" w:rsidRPr="0041554B" w:rsidRDefault="008D08E4" w:rsidP="008D08E4">
      <w:pPr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41554B">
        <w:rPr>
          <w:rFonts w:ascii="Courier New" w:hAnsi="Courier New" w:cs="Courier New"/>
          <w:szCs w:val="24"/>
        </w:rPr>
        <w:t>Referral is made along with authorization for services</w:t>
      </w:r>
    </w:p>
    <w:p w:rsidR="008D08E4" w:rsidRDefault="008D08E4" w:rsidP="008D08E4">
      <w:pPr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i/>
          <w:szCs w:val="24"/>
        </w:rPr>
      </w:pPr>
      <w:r w:rsidRPr="0041554B">
        <w:rPr>
          <w:rFonts w:ascii="Courier New" w:hAnsi="Courier New" w:cs="Courier New"/>
          <w:szCs w:val="24"/>
        </w:rPr>
        <w:t xml:space="preserve">Job development, job placement, job coaching/training services are provided and billed to the VRC along with progress reports.  During this time, the VRC should remain actively involved in the case and oversee </w:t>
      </w:r>
      <w:r>
        <w:rPr>
          <w:rFonts w:ascii="Courier New" w:hAnsi="Courier New" w:cs="Courier New"/>
          <w:szCs w:val="24"/>
        </w:rPr>
        <w:t>the quality of service provisions</w:t>
      </w:r>
      <w:r w:rsidRPr="0041554B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 </w:t>
      </w:r>
      <w:r w:rsidRPr="00B37AA3">
        <w:rPr>
          <w:rFonts w:ascii="Courier New" w:hAnsi="Courier New" w:cs="Courier New"/>
          <w:i/>
          <w:szCs w:val="24"/>
        </w:rPr>
        <w:t xml:space="preserve">Please refer to the </w:t>
      </w:r>
      <w:r>
        <w:rPr>
          <w:rFonts w:ascii="Courier New" w:hAnsi="Courier New" w:cs="Courier New"/>
          <w:i/>
          <w:szCs w:val="24"/>
        </w:rPr>
        <w:t>SE Program</w:t>
      </w:r>
      <w:r w:rsidRPr="00B37AA3">
        <w:rPr>
          <w:rFonts w:ascii="Courier New" w:hAnsi="Courier New" w:cs="Courier New"/>
          <w:i/>
          <w:szCs w:val="24"/>
        </w:rPr>
        <w:t xml:space="preserve"> checklist. </w:t>
      </w:r>
    </w:p>
    <w:p w:rsidR="008D08E4" w:rsidRPr="00FC258A" w:rsidRDefault="008D08E4" w:rsidP="00FC258A">
      <w:pPr>
        <w:tabs>
          <w:tab w:val="left" w:pos="720"/>
        </w:tabs>
        <w:ind w:left="720"/>
        <w:rPr>
          <w:rFonts w:ascii="Courier New" w:hAnsi="Courier New" w:cs="Courier New"/>
          <w:b/>
          <w:szCs w:val="24"/>
          <w:u w:val="single"/>
        </w:rPr>
      </w:pPr>
      <w:r w:rsidRPr="00FC258A">
        <w:rPr>
          <w:rFonts w:ascii="Courier New" w:hAnsi="Courier New" w:cs="Courier New"/>
          <w:b/>
          <w:szCs w:val="24"/>
          <w:u w:val="single"/>
        </w:rPr>
        <w:lastRenderedPageBreak/>
        <w:t>Intensive Skills and Training</w:t>
      </w:r>
    </w:p>
    <w:p w:rsidR="008D08E4" w:rsidRPr="008D08E4" w:rsidRDefault="008D08E4" w:rsidP="00FC258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8D08E4">
        <w:rPr>
          <w:rFonts w:ascii="Courier New" w:hAnsi="Courier New" w:cs="Courier New"/>
          <w:szCs w:val="24"/>
        </w:rPr>
        <w:t xml:space="preserve">Intensive skills and training is determined by the duration and frequency of supports needed once the initial SE placement has occurred. VRC can use either a CRP, Employment Specialist (ESS) or Community Services Specialist (CSS) to make a placement, however it is the VRC’s responsibility to continue to monitor, authorize services and track achievement of IPE.  </w:t>
      </w:r>
    </w:p>
    <w:p w:rsidR="008D08E4" w:rsidRPr="008D08E4" w:rsidRDefault="008D08E4" w:rsidP="00FC258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8D08E4">
        <w:rPr>
          <w:rFonts w:ascii="Courier New" w:hAnsi="Courier New" w:cs="Courier New"/>
          <w:szCs w:val="24"/>
        </w:rPr>
        <w:t>SE services are paid for by VR for up to 24 months (with possible extension as needed) or until job stabilization is achieved.</w:t>
      </w:r>
    </w:p>
    <w:p w:rsidR="008D08E4" w:rsidRPr="008D08E4" w:rsidRDefault="008D08E4" w:rsidP="00FC258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8D08E4">
        <w:rPr>
          <w:rFonts w:ascii="Courier New" w:hAnsi="Courier New" w:cs="Courier New"/>
          <w:szCs w:val="24"/>
        </w:rPr>
        <w:t xml:space="preserve">Services are typically provided on the job, but may be provided off-site (at the request of the individual). </w:t>
      </w:r>
    </w:p>
    <w:p w:rsidR="008D08E4" w:rsidRPr="008D08E4" w:rsidRDefault="008D08E4" w:rsidP="00FC258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ourier New" w:hAnsi="Courier New" w:cs="Courier New"/>
          <w:szCs w:val="24"/>
        </w:rPr>
      </w:pPr>
      <w:r w:rsidRPr="008D08E4">
        <w:rPr>
          <w:rFonts w:ascii="Courier New" w:hAnsi="Courier New" w:cs="Courier New"/>
          <w:szCs w:val="24"/>
        </w:rPr>
        <w:t xml:space="preserve">Most SE cases will be </w:t>
      </w:r>
      <w:r w:rsidRPr="008D08E4">
        <w:rPr>
          <w:rFonts w:ascii="Courier New" w:hAnsi="Courier New" w:cs="Courier New"/>
          <w:bCs/>
          <w:szCs w:val="24"/>
        </w:rPr>
        <w:t xml:space="preserve">referred to a CRP or other vendor for job placement and training. The VRC continues to have responsibility to oversee services and track achievement of the plan.  </w:t>
      </w:r>
    </w:p>
    <w:p w:rsidR="008D08E4" w:rsidRPr="00FC258A" w:rsidRDefault="008D08E4" w:rsidP="00FC258A">
      <w:pPr>
        <w:tabs>
          <w:tab w:val="left" w:pos="720"/>
        </w:tabs>
        <w:ind w:left="720"/>
        <w:rPr>
          <w:rFonts w:ascii="Courier New" w:hAnsi="Courier New" w:cs="Courier New"/>
          <w:szCs w:val="24"/>
        </w:rPr>
      </w:pPr>
      <w:r w:rsidRPr="00FC258A">
        <w:rPr>
          <w:rFonts w:ascii="Courier New" w:hAnsi="Courier New" w:cs="Courier New"/>
          <w:szCs w:val="24"/>
        </w:rPr>
        <w:t>BA’s/Supervisors:  Distribute and review with staff for clarity and consistency in implementation of procedures.</w:t>
      </w:r>
    </w:p>
    <w:p w:rsidR="008D08E4" w:rsidRPr="00833533" w:rsidRDefault="008D08E4" w:rsidP="00FC258A">
      <w:pPr>
        <w:tabs>
          <w:tab w:val="left" w:pos="720"/>
          <w:tab w:val="left" w:pos="1440"/>
        </w:tabs>
        <w:ind w:left="720"/>
      </w:pPr>
      <w:r w:rsidRPr="00FC258A">
        <w:rPr>
          <w:rFonts w:ascii="Courier New" w:hAnsi="Courier New" w:cs="Courier New"/>
          <w:szCs w:val="24"/>
        </w:rPr>
        <w:t>File in VR Services Supplement Manual – create new tab entitled “Part 2. Supported Employment Intensive Training and Supports”.</w:t>
      </w:r>
      <w:r w:rsidRPr="00833533">
        <w:tab/>
      </w:r>
    </w:p>
    <w:p w:rsidR="008D08E4" w:rsidRDefault="008D08E4" w:rsidP="00FC258A">
      <w:pPr>
        <w:pStyle w:val="Body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Supplemental ICFs to SE </w:t>
      </w:r>
    </w:p>
    <w:p w:rsidR="008D08E4" w:rsidRDefault="008D08E4" w:rsidP="00FC258A">
      <w:pPr>
        <w:pStyle w:val="Body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Supported Employment definitions and practice under Workforce Innovation and Opportunity Act (WIOA) </w:t>
      </w:r>
    </w:p>
    <w:p w:rsidR="008D08E4" w:rsidRDefault="008D08E4" w:rsidP="00FC258A">
      <w:pPr>
        <w:pStyle w:val="Body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 1. SE Eligibility and Planning </w:t>
      </w:r>
    </w:p>
    <w:p w:rsidR="008D08E4" w:rsidRDefault="008D08E4" w:rsidP="00FC258A">
      <w:pPr>
        <w:pStyle w:val="Body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 3. SE Extended Services and Case Closure </w:t>
      </w:r>
    </w:p>
    <w:p w:rsidR="008D08E4" w:rsidRDefault="008D08E4" w:rsidP="00FC258A">
      <w:pPr>
        <w:pStyle w:val="Body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Program Checklist and Case Example</w:t>
      </w:r>
    </w:p>
    <w:p w:rsidR="008D08E4" w:rsidRDefault="008D08E4" w:rsidP="00FC258A">
      <w:pPr>
        <w:tabs>
          <w:tab w:val="left" w:pos="720"/>
        </w:tabs>
        <w:ind w:left="1080"/>
        <w:rPr>
          <w:rFonts w:ascii="Courier New" w:hAnsi="Courier New" w:cs="Courier New"/>
          <w:szCs w:val="24"/>
        </w:rPr>
      </w:pPr>
    </w:p>
    <w:p w:rsidR="00466216" w:rsidRDefault="00466216">
      <w:bookmarkStart w:id="5" w:name="_GoBack"/>
      <w:bookmarkEnd w:id="5"/>
    </w:p>
    <w:sectPr w:rsidR="0046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406"/>
    <w:multiLevelType w:val="hybridMultilevel"/>
    <w:tmpl w:val="6CC8B1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428B9"/>
    <w:multiLevelType w:val="hybridMultilevel"/>
    <w:tmpl w:val="D99E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758F8"/>
    <w:multiLevelType w:val="hybridMultilevel"/>
    <w:tmpl w:val="190C3710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5631"/>
    <w:multiLevelType w:val="hybridMultilevel"/>
    <w:tmpl w:val="ADE0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110A0"/>
    <w:multiLevelType w:val="hybridMultilevel"/>
    <w:tmpl w:val="E29AD2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4"/>
    <w:rsid w:val="00466216"/>
    <w:rsid w:val="00833533"/>
    <w:rsid w:val="008D08E4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7220E-FB5F-402D-9513-5A3C42F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D08E4"/>
    <w:pPr>
      <w:spacing w:line="240" w:lineRule="atLeast"/>
      <w:ind w:left="576" w:right="576"/>
    </w:pPr>
  </w:style>
  <w:style w:type="paragraph" w:customStyle="1" w:styleId="Default">
    <w:name w:val="Default"/>
    <w:rsid w:val="008D08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8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Hale</dc:creator>
  <cp:keywords/>
  <dc:description/>
  <cp:lastModifiedBy>Peggy Hale</cp:lastModifiedBy>
  <cp:revision>3</cp:revision>
  <dcterms:created xsi:type="dcterms:W3CDTF">2017-08-17T14:53:00Z</dcterms:created>
  <dcterms:modified xsi:type="dcterms:W3CDTF">2017-08-17T15:06:00Z</dcterms:modified>
</cp:coreProperties>
</file>