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1296"/>
        <w:gridCol w:w="1908"/>
        <w:gridCol w:w="3168"/>
        <w:gridCol w:w="684"/>
        <w:gridCol w:w="1188"/>
        <w:gridCol w:w="252"/>
        <w:gridCol w:w="2196"/>
        <w:gridCol w:w="108"/>
      </w:tblGrid>
      <w:tr w:rsidR="009560B7" w:rsidTr="009560B7">
        <w:trPr>
          <w:gridBefore w:val="1"/>
          <w:wBefore w:w="108" w:type="dxa"/>
          <w:cantSplit/>
        </w:trPr>
        <w:tc>
          <w:tcPr>
            <w:tcW w:w="1296" w:type="dxa"/>
            <w:tcBorders>
              <w:bottom w:val="single" w:sz="6" w:space="0" w:color="auto"/>
            </w:tcBorders>
          </w:tcPr>
          <w:p w:rsidR="009560B7" w:rsidRDefault="009560B7" w:rsidP="00D938FA">
            <w:pPr>
              <w:spacing w:before="120" w:after="120" w:line="240" w:lineRule="atLeast"/>
            </w:pPr>
            <w:r>
              <w:rPr>
                <w:b/>
              </w:rPr>
              <w:t>Subject:</w:t>
            </w:r>
          </w:p>
        </w:tc>
        <w:tc>
          <w:tcPr>
            <w:tcW w:w="5760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9560B7" w:rsidRDefault="009560B7" w:rsidP="00D938FA">
            <w:pPr>
              <w:spacing w:before="120"/>
            </w:pPr>
            <w:bookmarkStart w:id="0" w:name="Subject"/>
            <w:bookmarkEnd w:id="0"/>
            <w:r>
              <w:t xml:space="preserve">Part 1. Supported Employment Eligibility and Planning 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9560B7" w:rsidRDefault="000F7BCB" w:rsidP="000F7BCB">
            <w:pPr>
              <w:spacing w:before="120" w:line="240" w:lineRule="atLeast"/>
            </w:pPr>
            <w:r>
              <w:t xml:space="preserve">Originator  M N </w:t>
            </w:r>
            <w:proofErr w:type="spellStart"/>
            <w:r>
              <w:t>Teng</w:t>
            </w:r>
            <w:proofErr w:type="spellEnd"/>
            <w:r>
              <w:t xml:space="preserve">  (Simms) /x64825</w:t>
            </w:r>
          </w:p>
        </w:tc>
        <w:tc>
          <w:tcPr>
            <w:tcW w:w="2304" w:type="dxa"/>
            <w:gridSpan w:val="2"/>
            <w:tcBorders>
              <w:bottom w:val="single" w:sz="6" w:space="0" w:color="auto"/>
            </w:tcBorders>
          </w:tcPr>
          <w:p w:rsidR="009560B7" w:rsidRDefault="009560B7" w:rsidP="00D938FA">
            <w:bookmarkStart w:id="1" w:name="originator"/>
            <w:bookmarkEnd w:id="1"/>
          </w:p>
        </w:tc>
      </w:tr>
      <w:tr w:rsidR="009560B7" w:rsidTr="009560B7">
        <w:trPr>
          <w:gridAfter w:val="1"/>
          <w:wAfter w:w="108" w:type="dxa"/>
          <w:cantSplit/>
        </w:trPr>
        <w:tc>
          <w:tcPr>
            <w:tcW w:w="3312" w:type="dxa"/>
            <w:gridSpan w:val="3"/>
            <w:tcBorders>
              <w:top w:val="single" w:sz="6" w:space="0" w:color="auto"/>
            </w:tcBorders>
          </w:tcPr>
          <w:p w:rsidR="009560B7" w:rsidRDefault="009560B7" w:rsidP="00D938FA">
            <w:pPr>
              <w:spacing w:before="120"/>
              <w:ind w:left="576" w:hanging="576"/>
            </w:pPr>
            <w:r>
              <w:t>To:</w:t>
            </w:r>
            <w:r>
              <w:tab/>
            </w:r>
            <w:bookmarkStart w:id="2" w:name="icf_to"/>
            <w:bookmarkEnd w:id="2"/>
            <w:r>
              <w:t>BA’s, SSO</w:t>
            </w:r>
          </w:p>
        </w:tc>
        <w:tc>
          <w:tcPr>
            <w:tcW w:w="3168" w:type="dxa"/>
            <w:tcBorders>
              <w:top w:val="single" w:sz="6" w:space="0" w:color="auto"/>
            </w:tcBorders>
          </w:tcPr>
          <w:p w:rsidR="009560B7" w:rsidRDefault="009560B7" w:rsidP="00D938FA">
            <w:pPr>
              <w:spacing w:before="120"/>
              <w:ind w:left="576" w:hanging="576"/>
            </w:pPr>
            <w:r>
              <w:t>From:</w:t>
            </w:r>
            <w:bookmarkStart w:id="3" w:name="icf_from"/>
            <w:bookmarkEnd w:id="3"/>
            <w:r>
              <w:t xml:space="preserve">  VRA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</w:tcBorders>
          </w:tcPr>
          <w:p w:rsidR="009560B7" w:rsidRDefault="009560B7" w:rsidP="00D938FA">
            <w:pPr>
              <w:spacing w:before="120"/>
              <w:ind w:left="576" w:hanging="576"/>
            </w:pPr>
            <w:r>
              <w:t>Date:</w:t>
            </w:r>
            <w:r>
              <w:tab/>
            </w:r>
            <w:bookmarkStart w:id="4" w:name="icf_date"/>
            <w:bookmarkEnd w:id="4"/>
            <w:r>
              <w:t>7/24/17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</w:tcBorders>
          </w:tcPr>
          <w:p w:rsidR="009560B7" w:rsidRDefault="009560B7" w:rsidP="00D938FA">
            <w:pPr>
              <w:spacing w:before="120" w:line="240" w:lineRule="atLeast"/>
              <w:jc w:val="right"/>
            </w:pPr>
            <w:r>
              <w:t>Memo No. 1</w:t>
            </w:r>
          </w:p>
        </w:tc>
      </w:tr>
    </w:tbl>
    <w:p w:rsidR="009560B7" w:rsidRDefault="009560B7" w:rsidP="009560B7">
      <w:pPr>
        <w:pStyle w:val="Default"/>
        <w:rPr>
          <w:b/>
          <w:color w:val="auto"/>
          <w:u w:val="single"/>
        </w:rPr>
      </w:pPr>
      <w:bookmarkStart w:id="5" w:name="_GoBack"/>
      <w:bookmarkEnd w:id="5"/>
    </w:p>
    <w:p w:rsidR="002E77F6" w:rsidRDefault="009560B7" w:rsidP="009560B7">
      <w:pPr>
        <w:pStyle w:val="Heading1"/>
        <w:rPr>
          <w:rFonts w:ascii="Courier New" w:hAnsi="Courier New" w:cs="Courier New"/>
          <w:u w:val="single"/>
        </w:rPr>
      </w:pPr>
      <w:r w:rsidRPr="00BB77C3">
        <w:rPr>
          <w:rFonts w:ascii="Courier New" w:hAnsi="Courier New" w:cs="Courier New"/>
          <w:u w:val="single"/>
        </w:rPr>
        <w:t xml:space="preserve">Supported Employment (SE) </w:t>
      </w:r>
      <w:r>
        <w:rPr>
          <w:rFonts w:ascii="Courier New" w:hAnsi="Courier New" w:cs="Courier New"/>
          <w:u w:val="single"/>
        </w:rPr>
        <w:t>Eligibility Processes</w:t>
      </w:r>
    </w:p>
    <w:p w:rsidR="009560B7" w:rsidRDefault="009560B7" w:rsidP="009560B7">
      <w:pPr>
        <w:pStyle w:val="Heading1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 xml:space="preserve"> </w:t>
      </w:r>
    </w:p>
    <w:p w:rsidR="009560B7" w:rsidRPr="002E77F6" w:rsidRDefault="009560B7" w:rsidP="009560B7">
      <w:pPr>
        <w:pStyle w:val="Body"/>
        <w:rPr>
          <w:rFonts w:ascii="Courier New" w:eastAsia="Calibri" w:hAnsi="Courier New" w:cs="Courier New"/>
          <w:b/>
        </w:rPr>
      </w:pPr>
      <w:r w:rsidRPr="002E77F6">
        <w:rPr>
          <w:rFonts w:ascii="Courier New" w:eastAsia="Calibri" w:hAnsi="Courier New" w:cs="Courier New"/>
          <w:b/>
        </w:rPr>
        <w:t xml:space="preserve">A VR Counselor will: </w:t>
      </w:r>
    </w:p>
    <w:p w:rsidR="009560B7" w:rsidRPr="00BA024B" w:rsidRDefault="009560B7" w:rsidP="009560B7">
      <w:pPr>
        <w:pStyle w:val="Body"/>
        <w:numPr>
          <w:ilvl w:val="0"/>
          <w:numId w:val="2"/>
        </w:numPr>
        <w:rPr>
          <w:rFonts w:ascii="Courier New" w:eastAsia="Calibri" w:hAnsi="Courier New" w:cs="Courier New"/>
        </w:rPr>
      </w:pPr>
      <w:r w:rsidRPr="00BA024B">
        <w:rPr>
          <w:rFonts w:ascii="Courier New" w:eastAsia="Calibri" w:hAnsi="Courier New" w:cs="Courier New"/>
        </w:rPr>
        <w:t xml:space="preserve">Receive a referral for application from a long-term support provider i.e., Adult Mental Health Division (AMHD), Developmental Disabilities Division (DDD), </w:t>
      </w:r>
    </w:p>
    <w:p w:rsidR="009560B7" w:rsidRPr="00BA024B" w:rsidRDefault="009560B7" w:rsidP="009560B7">
      <w:pPr>
        <w:pStyle w:val="Body"/>
        <w:ind w:left="936"/>
        <w:rPr>
          <w:rFonts w:ascii="Courier New" w:eastAsia="Calibri" w:hAnsi="Courier New" w:cs="Courier New"/>
        </w:rPr>
      </w:pPr>
      <w:r w:rsidRPr="00BA024B">
        <w:rPr>
          <w:rFonts w:ascii="Courier New" w:eastAsia="Calibri" w:hAnsi="Courier New" w:cs="Courier New"/>
        </w:rPr>
        <w:t>Or;</w:t>
      </w:r>
    </w:p>
    <w:p w:rsidR="002E77F6" w:rsidRPr="002E77F6" w:rsidRDefault="009560B7" w:rsidP="009560B7">
      <w:pPr>
        <w:pStyle w:val="Body"/>
        <w:numPr>
          <w:ilvl w:val="0"/>
          <w:numId w:val="2"/>
        </w:numPr>
        <w:rPr>
          <w:rFonts w:ascii="Courier New" w:eastAsia="Calibri" w:hAnsi="Courier New" w:cs="Courier New"/>
        </w:rPr>
      </w:pPr>
      <w:r w:rsidRPr="00BA024B">
        <w:rPr>
          <w:rFonts w:ascii="Courier New" w:eastAsia="Calibri" w:hAnsi="Courier New" w:cs="Courier New"/>
        </w:rPr>
        <w:t xml:space="preserve">Determine after initial intake, the individual with a disability meets the definition for Supported Employment. </w:t>
      </w:r>
      <w:r w:rsidRPr="00BA024B">
        <w:rPr>
          <w:rFonts w:ascii="Courier New" w:eastAsia="Calibri" w:hAnsi="Courier New" w:cs="Courier New"/>
          <w:i/>
        </w:rPr>
        <w:t>(refer to ICF Supported E</w:t>
      </w:r>
      <w:r>
        <w:rPr>
          <w:rFonts w:ascii="Courier New" w:eastAsia="Calibri" w:hAnsi="Courier New" w:cs="Courier New"/>
          <w:i/>
        </w:rPr>
        <w:t>mploymen</w:t>
      </w:r>
      <w:r w:rsidRPr="00BA024B">
        <w:rPr>
          <w:rFonts w:ascii="Courier New" w:eastAsia="Calibri" w:hAnsi="Courier New" w:cs="Courier New"/>
          <w:i/>
        </w:rPr>
        <w:t>t definitions and practice under Workforce Innovation and Opportunity Act (WIOA))</w:t>
      </w:r>
    </w:p>
    <w:p w:rsidR="009560B7" w:rsidRDefault="009560B7" w:rsidP="002E77F6">
      <w:pPr>
        <w:pStyle w:val="Body"/>
        <w:rPr>
          <w:rFonts w:ascii="Courier New" w:eastAsia="Calibri" w:hAnsi="Courier New" w:cs="Courier New"/>
        </w:rPr>
      </w:pPr>
      <w:r w:rsidRPr="00BA024B">
        <w:rPr>
          <w:rFonts w:ascii="Courier New" w:eastAsia="Calibri" w:hAnsi="Courier New" w:cs="Courier New"/>
          <w:i/>
        </w:rPr>
        <w:t xml:space="preserve"> </w:t>
      </w:r>
    </w:p>
    <w:p w:rsidR="009560B7" w:rsidRPr="002E77F6" w:rsidRDefault="009560B7" w:rsidP="009560B7">
      <w:pPr>
        <w:pStyle w:val="Body"/>
        <w:rPr>
          <w:rFonts w:ascii="Courier New" w:eastAsia="Calibri" w:hAnsi="Courier New" w:cs="Courier New"/>
          <w:b/>
        </w:rPr>
      </w:pPr>
      <w:r w:rsidRPr="002E77F6">
        <w:rPr>
          <w:rFonts w:ascii="Courier New" w:eastAsia="Calibri" w:hAnsi="Courier New" w:cs="Courier New"/>
          <w:b/>
        </w:rPr>
        <w:t xml:space="preserve">Eligibility for VR’s SE Program is determined by meeting the following criteria: </w:t>
      </w:r>
    </w:p>
    <w:p w:rsidR="002E77F6" w:rsidRDefault="009560B7" w:rsidP="002E77F6">
      <w:pPr>
        <w:pStyle w:val="Body"/>
        <w:numPr>
          <w:ilvl w:val="2"/>
          <w:numId w:val="6"/>
        </w:numPr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Require three or more substantial vocational rehabilitation services due to limited functional capacities and are classified as Most Significantly Disabled (MSD).</w:t>
      </w:r>
    </w:p>
    <w:p w:rsidR="009560B7" w:rsidRDefault="009560B7" w:rsidP="002E77F6">
      <w:pPr>
        <w:pStyle w:val="Body"/>
        <w:ind w:left="1296" w:firstLine="144"/>
        <w:rPr>
          <w:rFonts w:ascii="Courier New" w:eastAsia="Calibri" w:hAnsi="Courier New" w:cs="Courier New"/>
        </w:rPr>
      </w:pPr>
    </w:p>
    <w:p w:rsidR="009560B7" w:rsidRDefault="009560B7" w:rsidP="002E77F6">
      <w:pPr>
        <w:pStyle w:val="Body"/>
        <w:numPr>
          <w:ilvl w:val="2"/>
          <w:numId w:val="6"/>
        </w:numPr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Required Extended Services and Ongoing Supports in order to meet the outcome of competitive integrated employment. </w:t>
      </w:r>
    </w:p>
    <w:p w:rsidR="002E77F6" w:rsidRDefault="002E77F6" w:rsidP="002E77F6">
      <w:pPr>
        <w:pStyle w:val="Body"/>
        <w:ind w:left="1296"/>
        <w:rPr>
          <w:rFonts w:ascii="Courier New" w:eastAsia="Calibri" w:hAnsi="Courier New" w:cs="Courier New"/>
        </w:rPr>
      </w:pPr>
    </w:p>
    <w:p w:rsidR="009560B7" w:rsidRDefault="009560B7" w:rsidP="002E77F6">
      <w:pPr>
        <w:pStyle w:val="Body"/>
        <w:numPr>
          <w:ilvl w:val="2"/>
          <w:numId w:val="6"/>
        </w:numPr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C</w:t>
      </w:r>
      <w:r w:rsidRPr="00EF127C">
        <w:rPr>
          <w:rFonts w:ascii="Courier New" w:eastAsia="Calibri" w:hAnsi="Courier New" w:cs="Courier New"/>
        </w:rPr>
        <w:t>o</w:t>
      </w:r>
      <w:r>
        <w:rPr>
          <w:rFonts w:ascii="Courier New" w:eastAsia="Calibri" w:hAnsi="Courier New" w:cs="Courier New"/>
        </w:rPr>
        <w:t xml:space="preserve">mpetitive integrated employment (CIE) </w:t>
      </w:r>
      <w:r w:rsidRPr="00EF127C">
        <w:rPr>
          <w:rFonts w:ascii="Courier New" w:eastAsia="Calibri" w:hAnsi="Courier New" w:cs="Courier New"/>
        </w:rPr>
        <w:t>has not historically occurred; or has been interrupted or intermittent as a result of a most significant disability; and because of the nature and scope of the disability</w:t>
      </w:r>
      <w:r>
        <w:rPr>
          <w:rFonts w:ascii="Courier New" w:eastAsia="Calibri" w:hAnsi="Courier New" w:cs="Courier New"/>
        </w:rPr>
        <w:t>.</w:t>
      </w:r>
    </w:p>
    <w:p w:rsidR="002E77F6" w:rsidRDefault="002E77F6" w:rsidP="002E77F6">
      <w:pPr>
        <w:pStyle w:val="Body"/>
        <w:ind w:left="1296"/>
        <w:rPr>
          <w:rFonts w:ascii="Courier New" w:eastAsia="Calibri" w:hAnsi="Courier New" w:cs="Courier New"/>
        </w:rPr>
      </w:pPr>
    </w:p>
    <w:p w:rsidR="002E77F6" w:rsidRDefault="009560B7" w:rsidP="002E77F6">
      <w:pPr>
        <w:pStyle w:val="Body"/>
        <w:numPr>
          <w:ilvl w:val="2"/>
          <w:numId w:val="6"/>
        </w:numPr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Require job coaching or ongoing support services that may last up to 24 months after placement on a competitive integrated worksite.</w:t>
      </w:r>
    </w:p>
    <w:p w:rsidR="002E77F6" w:rsidRDefault="002E77F6" w:rsidP="002E77F6">
      <w:pPr>
        <w:pStyle w:val="Body"/>
        <w:ind w:left="1296" w:firstLine="144"/>
        <w:rPr>
          <w:rFonts w:ascii="Courier New" w:eastAsia="Calibri" w:hAnsi="Courier New" w:cs="Courier New"/>
        </w:rPr>
      </w:pPr>
    </w:p>
    <w:p w:rsidR="00C10A37" w:rsidRPr="00C10A37" w:rsidRDefault="000E73F6" w:rsidP="00C10A37">
      <w:pPr>
        <w:pStyle w:val="Body"/>
        <w:numPr>
          <w:ilvl w:val="2"/>
          <w:numId w:val="6"/>
        </w:numPr>
        <w:tabs>
          <w:tab w:val="left" w:pos="1260"/>
          <w:tab w:val="left" w:pos="2250"/>
        </w:tabs>
        <w:ind w:left="2250"/>
        <w:rPr>
          <w:rFonts w:ascii="Courier New" w:eastAsia="Calibri" w:hAnsi="Courier New" w:cs="Courier New"/>
          <w:b/>
          <w:u w:val="single"/>
        </w:rPr>
      </w:pPr>
      <w:r w:rsidRPr="00C10A37">
        <w:rPr>
          <w:rFonts w:ascii="Courier New" w:eastAsia="Calibri" w:hAnsi="Courier New" w:cs="Courier New"/>
        </w:rPr>
        <w:t>A</w:t>
      </w:r>
      <w:r w:rsidR="002E77F6" w:rsidRPr="00C10A37">
        <w:rPr>
          <w:rFonts w:ascii="Courier New" w:eastAsia="Calibri" w:hAnsi="Courier New" w:cs="Courier New"/>
        </w:rPr>
        <w:t xml:space="preserve"> </w:t>
      </w:r>
      <w:r w:rsidR="009560B7" w:rsidRPr="00C10A37">
        <w:rPr>
          <w:rFonts w:ascii="Courier New" w:eastAsia="Calibri" w:hAnsi="Courier New" w:cs="Courier New"/>
        </w:rPr>
        <w:t>youth with a disability may receive SE services for the purposes of providing extended services on a longer-term (48 mo. /until 25 yrs. old) basis.</w:t>
      </w:r>
    </w:p>
    <w:p w:rsidR="00C10A37" w:rsidRDefault="00C10A37" w:rsidP="00C10A37">
      <w:pPr>
        <w:pStyle w:val="ListParagraph"/>
        <w:rPr>
          <w:rFonts w:ascii="Courier New" w:eastAsia="Calibri" w:hAnsi="Courier New" w:cs="Courier New"/>
          <w:b/>
          <w:color w:val="2E74B5" w:themeColor="accent1" w:themeShade="BF"/>
          <w:u w:val="single"/>
        </w:rPr>
      </w:pPr>
    </w:p>
    <w:p w:rsidR="009560B7" w:rsidRPr="00C10A37" w:rsidRDefault="009560B7" w:rsidP="003D6058">
      <w:pPr>
        <w:pStyle w:val="Body"/>
        <w:tabs>
          <w:tab w:val="left" w:pos="1260"/>
        </w:tabs>
        <w:ind w:left="216"/>
        <w:rPr>
          <w:rFonts w:ascii="Courier New" w:eastAsia="Calibri" w:hAnsi="Courier New" w:cs="Courier New"/>
          <w:b/>
          <w:u w:val="single"/>
        </w:rPr>
      </w:pPr>
      <w:r w:rsidRPr="00C10A37">
        <w:rPr>
          <w:rFonts w:ascii="Courier New" w:eastAsia="Calibri" w:hAnsi="Courier New" w:cs="Courier New"/>
          <w:b/>
          <w:color w:val="2E74B5" w:themeColor="accent1" w:themeShade="BF"/>
          <w:u w:val="single"/>
        </w:rPr>
        <w:t>Eligibility considerations</w:t>
      </w:r>
    </w:p>
    <w:p w:rsidR="009560B7" w:rsidRPr="00CF58A5" w:rsidRDefault="009560B7" w:rsidP="009560B7">
      <w:pPr>
        <w:pStyle w:val="Body2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The </w:t>
      </w:r>
      <w:r w:rsidRPr="00CF58A5">
        <w:rPr>
          <w:rFonts w:ascii="Courier New" w:eastAsia="Calibri" w:hAnsi="Courier New" w:cs="Courier New"/>
        </w:rPr>
        <w:t>VR counselor needs to address the following considerations</w:t>
      </w:r>
      <w:r>
        <w:rPr>
          <w:rFonts w:ascii="Courier New" w:eastAsia="Calibri" w:hAnsi="Courier New" w:cs="Courier New"/>
        </w:rPr>
        <w:t xml:space="preserve"> prior to </w:t>
      </w:r>
      <w:r w:rsidRPr="00CF58A5">
        <w:rPr>
          <w:rFonts w:ascii="Courier New" w:eastAsia="Calibri" w:hAnsi="Courier New" w:cs="Courier New"/>
        </w:rPr>
        <w:t xml:space="preserve">making a </w:t>
      </w:r>
      <w:r>
        <w:rPr>
          <w:rFonts w:ascii="Courier New" w:eastAsia="Calibri" w:hAnsi="Courier New" w:cs="Courier New"/>
        </w:rPr>
        <w:t xml:space="preserve">SE case </w:t>
      </w:r>
      <w:r w:rsidRPr="00CF58A5">
        <w:rPr>
          <w:rFonts w:ascii="Courier New" w:eastAsia="Calibri" w:hAnsi="Courier New" w:cs="Courier New"/>
        </w:rPr>
        <w:t xml:space="preserve">determination: </w:t>
      </w:r>
    </w:p>
    <w:p w:rsidR="009560B7" w:rsidRPr="00CF58A5" w:rsidRDefault="009560B7" w:rsidP="009560B7">
      <w:pPr>
        <w:pStyle w:val="Body2"/>
        <w:numPr>
          <w:ilvl w:val="0"/>
          <w:numId w:val="4"/>
        </w:numPr>
        <w:rPr>
          <w:rFonts w:ascii="Courier New" w:eastAsia="Calibri" w:hAnsi="Courier New" w:cs="Courier New"/>
        </w:rPr>
      </w:pPr>
      <w:r w:rsidRPr="00CF58A5">
        <w:rPr>
          <w:rFonts w:ascii="Courier New" w:eastAsia="Calibri" w:hAnsi="Courier New" w:cs="Courier New"/>
        </w:rPr>
        <w:t xml:space="preserve">What </w:t>
      </w:r>
      <w:r>
        <w:rPr>
          <w:rFonts w:ascii="Courier New" w:eastAsia="Calibri" w:hAnsi="Courier New" w:cs="Courier New"/>
        </w:rPr>
        <w:t>timelines</w:t>
      </w:r>
      <w:r w:rsidRPr="00CF58A5">
        <w:rPr>
          <w:rFonts w:ascii="Courier New" w:eastAsia="Calibri" w:hAnsi="Courier New" w:cs="Courier New"/>
        </w:rPr>
        <w:t xml:space="preserve"> can be written into the Individual Plan for Employment (IPE) to ensure SE services </w:t>
      </w:r>
      <w:r>
        <w:rPr>
          <w:rFonts w:ascii="Courier New" w:eastAsia="Calibri" w:hAnsi="Courier New" w:cs="Courier New"/>
        </w:rPr>
        <w:t xml:space="preserve">are </w:t>
      </w:r>
      <w:r w:rsidRPr="00D7172F">
        <w:rPr>
          <w:rFonts w:ascii="Courier New" w:eastAsia="Calibri" w:hAnsi="Courier New" w:cs="Courier New"/>
        </w:rPr>
        <w:t>COMPLETED within the 24 month period or when job stabilization occurs, whichever com</w:t>
      </w:r>
      <w:r>
        <w:rPr>
          <w:rFonts w:ascii="Courier New" w:eastAsia="Calibri" w:hAnsi="Courier New" w:cs="Courier New"/>
        </w:rPr>
        <w:t>es first?</w:t>
      </w:r>
      <w:r w:rsidR="000E73F6">
        <w:rPr>
          <w:rFonts w:ascii="Courier New" w:eastAsia="Calibri" w:hAnsi="Courier New" w:cs="Courier New"/>
        </w:rPr>
        <w:t xml:space="preserve"> </w:t>
      </w:r>
      <w:r w:rsidRPr="00CF58A5">
        <w:rPr>
          <w:rFonts w:ascii="Courier New" w:eastAsia="Calibri" w:hAnsi="Courier New" w:cs="Courier New"/>
        </w:rPr>
        <w:t xml:space="preserve"> </w:t>
      </w:r>
    </w:p>
    <w:p w:rsidR="009560B7" w:rsidRPr="00CF58A5" w:rsidRDefault="009560B7" w:rsidP="009560B7">
      <w:pPr>
        <w:pStyle w:val="Body2"/>
        <w:numPr>
          <w:ilvl w:val="0"/>
          <w:numId w:val="4"/>
        </w:numPr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What type of extended services will be provided </w:t>
      </w:r>
      <w:r w:rsidRPr="00D7172F">
        <w:rPr>
          <w:rFonts w:ascii="Courier New" w:eastAsia="Calibri" w:hAnsi="Courier New" w:cs="Courier New"/>
        </w:rPr>
        <w:t>and how w</w:t>
      </w:r>
      <w:r>
        <w:rPr>
          <w:rFonts w:ascii="Courier New" w:eastAsia="Calibri" w:hAnsi="Courier New" w:cs="Courier New"/>
        </w:rPr>
        <w:t>ill those services be paid for?</w:t>
      </w:r>
      <w:r w:rsidRPr="00D7172F">
        <w:rPr>
          <w:rFonts w:ascii="Courier New" w:eastAsia="Calibri" w:hAnsi="Courier New" w:cs="Courier New"/>
        </w:rPr>
        <w:t xml:space="preserve">  </w:t>
      </w:r>
      <w:r>
        <w:rPr>
          <w:rFonts w:ascii="Courier New" w:eastAsia="Calibri" w:hAnsi="Courier New" w:cs="Courier New"/>
        </w:rPr>
        <w:t xml:space="preserve">A youth receiving SE services may access extended services through VR for a period up to 48 months and/or the age of 25, whichever comes first. </w:t>
      </w:r>
    </w:p>
    <w:p w:rsidR="009560B7" w:rsidRPr="00CF58A5" w:rsidRDefault="009560B7" w:rsidP="009560B7">
      <w:pPr>
        <w:pStyle w:val="Body2"/>
        <w:numPr>
          <w:ilvl w:val="0"/>
          <w:numId w:val="4"/>
        </w:numPr>
        <w:rPr>
          <w:rFonts w:ascii="Courier New" w:eastAsia="Calibri" w:hAnsi="Courier New" w:cs="Courier New"/>
        </w:rPr>
      </w:pPr>
      <w:r w:rsidRPr="00D7172F">
        <w:rPr>
          <w:rFonts w:ascii="Courier New" w:eastAsia="Calibri" w:hAnsi="Courier New" w:cs="Courier New"/>
        </w:rPr>
        <w:t>Would a successful CIE outcome, including self-employment, customized or supported employment outcomes, based on the individual’s abilities, interests, skills and capacities be likely</w:t>
      </w:r>
      <w:r>
        <w:rPr>
          <w:rFonts w:ascii="Courier New" w:eastAsia="Calibri" w:hAnsi="Courier New" w:cs="Courier New"/>
        </w:rPr>
        <w:t>?</w:t>
      </w:r>
      <w:r w:rsidRPr="00CF58A5">
        <w:rPr>
          <w:rFonts w:ascii="Courier New" w:eastAsia="Calibri" w:hAnsi="Courier New" w:cs="Courier New"/>
        </w:rPr>
        <w:t xml:space="preserve"> </w:t>
      </w:r>
    </w:p>
    <w:p w:rsidR="009560B7" w:rsidRPr="00C96036" w:rsidRDefault="009560B7" w:rsidP="009560B7">
      <w:pPr>
        <w:pStyle w:val="Body2"/>
        <w:ind w:left="1935"/>
        <w:rPr>
          <w:rFonts w:ascii="Courier New" w:eastAsia="Calibri" w:hAnsi="Courier New" w:cs="Courier New"/>
        </w:rPr>
      </w:pPr>
    </w:p>
    <w:p w:rsidR="009560B7" w:rsidRPr="002E77F6" w:rsidRDefault="009560B7" w:rsidP="009560B7">
      <w:pPr>
        <w:pStyle w:val="Heading2"/>
        <w:spacing w:before="0"/>
        <w:ind w:left="576"/>
        <w:rPr>
          <w:rFonts w:ascii="Courier New" w:eastAsia="Calibri" w:hAnsi="Courier New" w:cs="Courier New"/>
          <w:b/>
          <w:u w:val="single"/>
        </w:rPr>
      </w:pPr>
      <w:r w:rsidRPr="002E77F6">
        <w:rPr>
          <w:rFonts w:ascii="Courier New" w:eastAsia="Calibri" w:hAnsi="Courier New" w:cs="Courier New"/>
          <w:b/>
          <w:u w:val="single"/>
        </w:rPr>
        <w:t xml:space="preserve">Individual Plan for Employment (IPE)  </w:t>
      </w:r>
    </w:p>
    <w:p w:rsidR="009560B7" w:rsidRDefault="009560B7" w:rsidP="009560B7">
      <w:pPr>
        <w:pStyle w:val="Body2"/>
        <w:rPr>
          <w:rFonts w:ascii="Courier New" w:hAnsi="Courier New" w:cs="Courier New"/>
        </w:rPr>
      </w:pPr>
      <w:r w:rsidRPr="0057784D">
        <w:rPr>
          <w:rFonts w:ascii="Courier New" w:hAnsi="Courier New" w:cs="Courier New"/>
        </w:rPr>
        <w:t xml:space="preserve">Development of the IPE for </w:t>
      </w:r>
      <w:r>
        <w:rPr>
          <w:rFonts w:ascii="Courier New" w:hAnsi="Courier New" w:cs="Courier New"/>
        </w:rPr>
        <w:t>SE</w:t>
      </w:r>
      <w:r w:rsidRPr="0057784D">
        <w:rPr>
          <w:rFonts w:ascii="Courier New" w:hAnsi="Courier New" w:cs="Courier New"/>
        </w:rPr>
        <w:t xml:space="preserve"> requires the</w:t>
      </w:r>
      <w:r>
        <w:rPr>
          <w:rFonts w:ascii="Courier New" w:hAnsi="Courier New" w:cs="Courier New"/>
        </w:rPr>
        <w:t xml:space="preserve"> VR Counselor to</w:t>
      </w:r>
      <w:r w:rsidRPr="0057784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identify</w:t>
      </w:r>
      <w:r w:rsidRPr="0057784D">
        <w:rPr>
          <w:rFonts w:ascii="Courier New" w:hAnsi="Courier New" w:cs="Courier New"/>
        </w:rPr>
        <w:t xml:space="preserve"> extended services to be provided</w:t>
      </w:r>
      <w:r>
        <w:rPr>
          <w:rFonts w:ascii="Courier New" w:hAnsi="Courier New" w:cs="Courier New"/>
        </w:rPr>
        <w:t xml:space="preserve"> following job placement in a competitive integrated employment setting. L</w:t>
      </w:r>
      <w:r w:rsidRPr="0057784D">
        <w:rPr>
          <w:rFonts w:ascii="Courier New" w:hAnsi="Courier New" w:cs="Courier New"/>
        </w:rPr>
        <w:t xml:space="preserve">ong-term service providers or ongoing supports can be </w:t>
      </w:r>
      <w:r>
        <w:rPr>
          <w:rFonts w:ascii="Courier New" w:hAnsi="Courier New" w:cs="Courier New"/>
        </w:rPr>
        <w:t xml:space="preserve">included in </w:t>
      </w:r>
      <w:r w:rsidRPr="0057784D">
        <w:rPr>
          <w:rFonts w:ascii="Courier New" w:hAnsi="Courier New" w:cs="Courier New"/>
        </w:rPr>
        <w:t xml:space="preserve">the development of the plan for natural supports.  </w:t>
      </w:r>
    </w:p>
    <w:p w:rsidR="009560B7" w:rsidRDefault="009560B7" w:rsidP="009560B7">
      <w:pPr>
        <w:pStyle w:val="Body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To ensure a successful competitive integrated employment outcome plan is to author the plan with identified supports present, along with the client during the development of the IPE. </w:t>
      </w:r>
    </w:p>
    <w:p w:rsidR="009560B7" w:rsidRPr="00DC5177" w:rsidRDefault="009560B7" w:rsidP="009560B7">
      <w:pPr>
        <w:pStyle w:val="Body2"/>
        <w:rPr>
          <w:rFonts w:ascii="Courier New" w:eastAsia="Calibri" w:hAnsi="Courier New" w:cs="Courier New"/>
        </w:rPr>
      </w:pPr>
      <w:r>
        <w:rPr>
          <w:rFonts w:ascii="Courier New" w:hAnsi="Courier New" w:cs="Courier New"/>
        </w:rPr>
        <w:t xml:space="preserve">An SE IPE must contain the following components: </w:t>
      </w:r>
    </w:p>
    <w:p w:rsidR="009560B7" w:rsidRDefault="009560B7" w:rsidP="009560B7">
      <w:pPr>
        <w:pStyle w:val="Body2"/>
        <w:numPr>
          <w:ilvl w:val="0"/>
          <w:numId w:val="5"/>
        </w:numPr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Long-term support providers or natural supports that are not paid for or provided by VR. </w:t>
      </w:r>
    </w:p>
    <w:p w:rsidR="009560B7" w:rsidRDefault="009560B7" w:rsidP="009560B7">
      <w:pPr>
        <w:pStyle w:val="Body2"/>
        <w:numPr>
          <w:ilvl w:val="0"/>
          <w:numId w:val="5"/>
        </w:numPr>
        <w:rPr>
          <w:rFonts w:ascii="Courier New" w:eastAsia="Calibri" w:hAnsi="Courier New" w:cs="Courier New"/>
        </w:rPr>
      </w:pPr>
      <w:r w:rsidRPr="00651D47">
        <w:rPr>
          <w:rFonts w:ascii="Courier New" w:eastAsia="Calibri" w:hAnsi="Courier New" w:cs="Courier New"/>
        </w:rPr>
        <w:t xml:space="preserve">Criteria for evaluation of progress towards </w:t>
      </w:r>
      <w:r>
        <w:rPr>
          <w:rFonts w:ascii="Courier New" w:eastAsia="Calibri" w:hAnsi="Courier New" w:cs="Courier New"/>
        </w:rPr>
        <w:t xml:space="preserve">competitive integrated employment </w:t>
      </w:r>
    </w:p>
    <w:p w:rsidR="009560B7" w:rsidRDefault="009560B7" w:rsidP="009560B7">
      <w:pPr>
        <w:pStyle w:val="Body2"/>
        <w:numPr>
          <w:ilvl w:val="0"/>
          <w:numId w:val="5"/>
        </w:numPr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Identify 3 or more substantial </w:t>
      </w:r>
      <w:r w:rsidRPr="00651D47">
        <w:rPr>
          <w:rFonts w:ascii="Courier New" w:eastAsia="Calibri" w:hAnsi="Courier New" w:cs="Courier New"/>
        </w:rPr>
        <w:t>rehabilitation services</w:t>
      </w:r>
      <w:r>
        <w:rPr>
          <w:rFonts w:ascii="Courier New" w:eastAsia="Calibri" w:hAnsi="Courier New" w:cs="Courier New"/>
        </w:rPr>
        <w:t xml:space="preserve"> which include intensive skills training and support</w:t>
      </w:r>
      <w:r w:rsidRPr="00651D47">
        <w:rPr>
          <w:rFonts w:ascii="Courier New" w:eastAsia="Calibri" w:hAnsi="Courier New" w:cs="Courier New"/>
        </w:rPr>
        <w:t>;</w:t>
      </w:r>
    </w:p>
    <w:p w:rsidR="009560B7" w:rsidRDefault="009560B7" w:rsidP="009560B7">
      <w:pPr>
        <w:pStyle w:val="Body2"/>
        <w:numPr>
          <w:ilvl w:val="0"/>
          <w:numId w:val="5"/>
        </w:numPr>
        <w:rPr>
          <w:rFonts w:ascii="Courier New" w:eastAsia="Calibri" w:hAnsi="Courier New" w:cs="Courier New"/>
        </w:rPr>
      </w:pPr>
      <w:r w:rsidRPr="004D3774">
        <w:rPr>
          <w:rFonts w:ascii="Courier New" w:eastAsia="Calibri" w:hAnsi="Courier New" w:cs="Courier New"/>
        </w:rPr>
        <w:t>Projected timelines for initiation and duration of services;</w:t>
      </w:r>
    </w:p>
    <w:p w:rsidR="009560B7" w:rsidRDefault="009560B7" w:rsidP="009560B7">
      <w:pPr>
        <w:pStyle w:val="Body2"/>
        <w:numPr>
          <w:ilvl w:val="0"/>
          <w:numId w:val="5"/>
        </w:numPr>
        <w:rPr>
          <w:rFonts w:ascii="Courier New" w:eastAsia="Calibri" w:hAnsi="Courier New" w:cs="Courier New"/>
        </w:rPr>
      </w:pPr>
      <w:r w:rsidRPr="004D3774">
        <w:rPr>
          <w:rFonts w:ascii="Courier New" w:eastAsia="Calibri" w:hAnsi="Courier New" w:cs="Courier New"/>
        </w:rPr>
        <w:t>Schedule for periodic reviews and evaluations;</w:t>
      </w:r>
    </w:p>
    <w:p w:rsidR="009560B7" w:rsidRDefault="009560B7" w:rsidP="009560B7">
      <w:pPr>
        <w:pStyle w:val="Body2"/>
        <w:numPr>
          <w:ilvl w:val="0"/>
          <w:numId w:val="5"/>
        </w:numPr>
        <w:rPr>
          <w:rFonts w:ascii="Courier New" w:eastAsia="Calibri" w:hAnsi="Courier New" w:cs="Courier New"/>
        </w:rPr>
      </w:pPr>
      <w:r w:rsidRPr="00141030">
        <w:rPr>
          <w:rFonts w:ascii="Courier New" w:eastAsia="Calibri" w:hAnsi="Courier New" w:cs="Courier New"/>
        </w:rPr>
        <w:t>Identify service providers and methods for procurement;</w:t>
      </w:r>
    </w:p>
    <w:p w:rsidR="009560B7" w:rsidRDefault="009560B7" w:rsidP="009560B7">
      <w:pPr>
        <w:pStyle w:val="Body2"/>
        <w:numPr>
          <w:ilvl w:val="0"/>
          <w:numId w:val="5"/>
        </w:numPr>
        <w:rPr>
          <w:rFonts w:ascii="Courier New" w:eastAsia="Calibri" w:hAnsi="Courier New" w:cs="Courier New"/>
        </w:rPr>
      </w:pPr>
      <w:r w:rsidRPr="00141030">
        <w:rPr>
          <w:rFonts w:ascii="Courier New" w:eastAsia="Calibri" w:hAnsi="Courier New" w:cs="Courier New"/>
        </w:rPr>
        <w:t>Responsibilities of the individual;</w:t>
      </w:r>
    </w:p>
    <w:p w:rsidR="009560B7" w:rsidRDefault="009560B7" w:rsidP="009560B7">
      <w:pPr>
        <w:pStyle w:val="Body2"/>
        <w:numPr>
          <w:ilvl w:val="0"/>
          <w:numId w:val="5"/>
        </w:numPr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lastRenderedPageBreak/>
        <w:t xml:space="preserve">Need, strategies and timelines </w:t>
      </w:r>
      <w:r w:rsidRPr="00141030">
        <w:rPr>
          <w:rFonts w:ascii="Courier New" w:eastAsia="Calibri" w:hAnsi="Courier New" w:cs="Courier New"/>
        </w:rPr>
        <w:t>for post-employment services, and</w:t>
      </w:r>
    </w:p>
    <w:p w:rsidR="009560B7" w:rsidRDefault="009560B7" w:rsidP="009560B7">
      <w:pPr>
        <w:pStyle w:val="Body2"/>
        <w:numPr>
          <w:ilvl w:val="0"/>
          <w:numId w:val="5"/>
        </w:numPr>
        <w:rPr>
          <w:rFonts w:ascii="Courier New" w:eastAsia="Calibri" w:hAnsi="Courier New" w:cs="Courier New"/>
        </w:rPr>
      </w:pPr>
      <w:r w:rsidRPr="00141030">
        <w:rPr>
          <w:rFonts w:ascii="Courier New" w:eastAsia="Calibri" w:hAnsi="Courier New" w:cs="Courier New"/>
        </w:rPr>
        <w:t>Need</w:t>
      </w:r>
      <w:r>
        <w:rPr>
          <w:rFonts w:ascii="Courier New" w:eastAsia="Calibri" w:hAnsi="Courier New" w:cs="Courier New"/>
        </w:rPr>
        <w:t>, strategies and timelines</w:t>
      </w:r>
      <w:r w:rsidRPr="00141030">
        <w:rPr>
          <w:rFonts w:ascii="Courier New" w:eastAsia="Calibri" w:hAnsi="Courier New" w:cs="Courier New"/>
        </w:rPr>
        <w:t xml:space="preserve"> for </w:t>
      </w:r>
      <w:r>
        <w:rPr>
          <w:rFonts w:ascii="Courier New" w:eastAsia="Calibri" w:hAnsi="Courier New" w:cs="Courier New"/>
        </w:rPr>
        <w:t xml:space="preserve">extended </w:t>
      </w:r>
      <w:r w:rsidRPr="00141030">
        <w:rPr>
          <w:rFonts w:ascii="Courier New" w:eastAsia="Calibri" w:hAnsi="Courier New" w:cs="Courier New"/>
        </w:rPr>
        <w:t>services</w:t>
      </w:r>
    </w:p>
    <w:p w:rsidR="009560B7" w:rsidRPr="00DC5177" w:rsidRDefault="009560B7" w:rsidP="009560B7">
      <w:pPr>
        <w:pStyle w:val="Body2"/>
        <w:ind w:left="1872"/>
        <w:rPr>
          <w:rFonts w:ascii="Courier New" w:eastAsia="Calibri" w:hAnsi="Courier New" w:cs="Courier New"/>
        </w:rPr>
      </w:pPr>
    </w:p>
    <w:p w:rsidR="000E73F6" w:rsidRDefault="009560B7" w:rsidP="000E73F6">
      <w:pPr>
        <w:pStyle w:val="Body2"/>
        <w:ind w:left="576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Once the counselor has made an SE case determination, the IPE goes into effect when it’s signed and dated by the client and VR counselor. IPEs should be re-evaluated and discussed with client on an annual basis.</w:t>
      </w:r>
    </w:p>
    <w:p w:rsidR="000E73F6" w:rsidRDefault="000E73F6" w:rsidP="000E73F6">
      <w:pPr>
        <w:pStyle w:val="Body2"/>
        <w:ind w:left="576"/>
        <w:rPr>
          <w:rFonts w:ascii="Courier New" w:eastAsia="Calibri" w:hAnsi="Courier New" w:cs="Courier New"/>
        </w:rPr>
      </w:pPr>
    </w:p>
    <w:p w:rsidR="009560B7" w:rsidRDefault="009560B7" w:rsidP="000E73F6">
      <w:pPr>
        <w:pStyle w:val="Body2"/>
        <w:ind w:left="576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BA’s/Supervisors:  Distribute and review with staff for clarity and consistency in implementation of procedures.</w:t>
      </w:r>
    </w:p>
    <w:p w:rsidR="003D6058" w:rsidRDefault="002E77F6" w:rsidP="003D6058">
      <w:pPr>
        <w:tabs>
          <w:tab w:val="left" w:pos="540"/>
          <w:tab w:val="left" w:pos="720"/>
        </w:tabs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ab/>
      </w:r>
      <w:r w:rsidR="009560B7">
        <w:rPr>
          <w:rFonts w:ascii="Courier New" w:hAnsi="Courier New" w:cs="Courier New"/>
          <w:szCs w:val="24"/>
        </w:rPr>
        <w:t xml:space="preserve">File in VR Services Supplement Manual – create new tab </w:t>
      </w:r>
      <w:r>
        <w:rPr>
          <w:rFonts w:ascii="Courier New" w:hAnsi="Courier New" w:cs="Courier New"/>
          <w:szCs w:val="24"/>
        </w:rPr>
        <w:tab/>
      </w:r>
      <w:r w:rsidR="009560B7">
        <w:rPr>
          <w:rFonts w:ascii="Courier New" w:hAnsi="Courier New" w:cs="Courier New"/>
          <w:szCs w:val="24"/>
        </w:rPr>
        <w:t xml:space="preserve">entitled “Part 1. Supported Employment Eligibility and </w:t>
      </w:r>
      <w:r>
        <w:rPr>
          <w:rFonts w:ascii="Courier New" w:hAnsi="Courier New" w:cs="Courier New"/>
          <w:szCs w:val="24"/>
        </w:rPr>
        <w:tab/>
      </w:r>
      <w:r w:rsidR="009560B7">
        <w:rPr>
          <w:rFonts w:ascii="Courier New" w:hAnsi="Courier New" w:cs="Courier New"/>
          <w:szCs w:val="24"/>
        </w:rPr>
        <w:t>Planning”.</w:t>
      </w:r>
      <w:r w:rsidR="003D6058">
        <w:rPr>
          <w:rFonts w:ascii="Courier New" w:hAnsi="Courier New" w:cs="Courier New"/>
          <w:szCs w:val="24"/>
        </w:rPr>
        <w:tab/>
      </w:r>
    </w:p>
    <w:p w:rsidR="009560B7" w:rsidRDefault="003D6058" w:rsidP="003D6058">
      <w:pPr>
        <w:tabs>
          <w:tab w:val="left" w:pos="540"/>
          <w:tab w:val="left" w:pos="720"/>
        </w:tabs>
        <w:rPr>
          <w:rFonts w:ascii="Courier New" w:hAnsi="Courier New" w:cs="Courier New"/>
        </w:rPr>
      </w:pPr>
      <w:r>
        <w:rPr>
          <w:rFonts w:ascii="Courier New" w:hAnsi="Courier New" w:cs="Courier New"/>
          <w:szCs w:val="24"/>
        </w:rPr>
        <w:tab/>
      </w:r>
      <w:r w:rsidR="009560B7">
        <w:rPr>
          <w:rFonts w:ascii="Courier New" w:hAnsi="Courier New" w:cs="Courier New"/>
        </w:rPr>
        <w:t xml:space="preserve">Supplemental ICFs to SE </w:t>
      </w:r>
    </w:p>
    <w:p w:rsidR="009560B7" w:rsidRDefault="009560B7" w:rsidP="009560B7">
      <w:pPr>
        <w:pStyle w:val="Body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Supported Employment definitions and practice under Workforce Innovation and Opportunity Act (WIOA) </w:t>
      </w:r>
    </w:p>
    <w:p w:rsidR="009560B7" w:rsidRDefault="009560B7" w:rsidP="009560B7">
      <w:pPr>
        <w:pStyle w:val="Body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Part 2. SE Intensive Skills Training and Support</w:t>
      </w:r>
    </w:p>
    <w:p w:rsidR="009560B7" w:rsidRDefault="009560B7" w:rsidP="009560B7">
      <w:pPr>
        <w:pStyle w:val="Body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Part 3. SE Extended Services and Case Closure</w:t>
      </w:r>
    </w:p>
    <w:p w:rsidR="009560B7" w:rsidRDefault="009560B7" w:rsidP="003D6058">
      <w:pPr>
        <w:pStyle w:val="Body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</w:rPr>
        <w:t>SE Program Checklist and Case Example</w:t>
      </w:r>
      <w:r w:rsidR="003D6058">
        <w:rPr>
          <w:rFonts w:ascii="Courier New" w:hAnsi="Courier New" w:cs="Courier New"/>
        </w:rPr>
        <w:t>.</w:t>
      </w:r>
    </w:p>
    <w:p w:rsidR="007710CF" w:rsidRDefault="007710CF"/>
    <w:sectPr w:rsidR="00771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60455"/>
    <w:multiLevelType w:val="hybridMultilevel"/>
    <w:tmpl w:val="9E8AB812"/>
    <w:lvl w:ilvl="0" w:tplc="B21A1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73875"/>
    <w:multiLevelType w:val="hybridMultilevel"/>
    <w:tmpl w:val="300A7EF2"/>
    <w:lvl w:ilvl="0" w:tplc="04090011">
      <w:start w:val="1"/>
      <w:numFmt w:val="decimal"/>
      <w:lvlText w:val="%1)"/>
      <w:lvlJc w:val="left"/>
      <w:pPr>
        <w:ind w:left="1935" w:hanging="360"/>
      </w:p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2" w15:restartNumberingAfterBreak="0">
    <w:nsid w:val="39B758F8"/>
    <w:multiLevelType w:val="hybridMultilevel"/>
    <w:tmpl w:val="190C3710"/>
    <w:lvl w:ilvl="0" w:tplc="0409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B1BDB"/>
    <w:multiLevelType w:val="hybridMultilevel"/>
    <w:tmpl w:val="FF8C381E"/>
    <w:lvl w:ilvl="0" w:tplc="B21A1572">
      <w:start w:val="1"/>
      <w:numFmt w:val="bullet"/>
      <w:suff w:val="nothing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6CA11F04"/>
    <w:multiLevelType w:val="hybridMultilevel"/>
    <w:tmpl w:val="4E743BD0"/>
    <w:lvl w:ilvl="0" w:tplc="E84668CA">
      <w:start w:val="1"/>
      <w:numFmt w:val="lowerLetter"/>
      <w:lvlText w:val="(%1)"/>
      <w:lvlJc w:val="left"/>
      <w:pPr>
        <w:ind w:left="93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7ABB2EA9"/>
    <w:multiLevelType w:val="hybridMultilevel"/>
    <w:tmpl w:val="DD8AADCA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B7"/>
    <w:rsid w:val="000E73F6"/>
    <w:rsid w:val="000F7BCB"/>
    <w:rsid w:val="002E77F6"/>
    <w:rsid w:val="003D6058"/>
    <w:rsid w:val="007710CF"/>
    <w:rsid w:val="00797D61"/>
    <w:rsid w:val="009560B7"/>
    <w:rsid w:val="00C10A37"/>
    <w:rsid w:val="00CE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A01A6-8FE6-496C-BDA9-60EBE5CE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B7"/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Body"/>
    <w:next w:val="Body"/>
    <w:link w:val="Heading1Char"/>
    <w:qFormat/>
    <w:rsid w:val="009560B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60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60B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">
    <w:name w:val="Body"/>
    <w:basedOn w:val="Normal"/>
    <w:rsid w:val="009560B7"/>
    <w:pPr>
      <w:spacing w:line="240" w:lineRule="atLeast"/>
      <w:ind w:left="576" w:right="576"/>
    </w:pPr>
  </w:style>
  <w:style w:type="paragraph" w:customStyle="1" w:styleId="Default">
    <w:name w:val="Default"/>
    <w:rsid w:val="009560B7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60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2">
    <w:name w:val="Body 2"/>
    <w:basedOn w:val="Body"/>
    <w:rsid w:val="009560B7"/>
    <w:pPr>
      <w:ind w:left="1152"/>
    </w:pPr>
  </w:style>
  <w:style w:type="paragraph" w:styleId="ListParagraph">
    <w:name w:val="List Paragraph"/>
    <w:basedOn w:val="Normal"/>
    <w:uiPriority w:val="34"/>
    <w:qFormat/>
    <w:rsid w:val="009560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Hale</dc:creator>
  <cp:keywords/>
  <dc:description/>
  <cp:lastModifiedBy>Peggy Hale</cp:lastModifiedBy>
  <cp:revision>2</cp:revision>
  <dcterms:created xsi:type="dcterms:W3CDTF">2017-08-17T16:05:00Z</dcterms:created>
  <dcterms:modified xsi:type="dcterms:W3CDTF">2017-08-17T16:05:00Z</dcterms:modified>
</cp:coreProperties>
</file>