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9B" w:rsidRPr="00CB6975" w:rsidRDefault="00191700" w:rsidP="00CB6975">
      <w:pPr>
        <w:pStyle w:val="Heading1"/>
        <w:jc w:val="center"/>
        <w:rPr>
          <w:rFonts w:ascii="Arial" w:hAnsi="Arial" w:cs="Arial"/>
          <w:b/>
          <w:color w:val="auto"/>
          <w:sz w:val="28"/>
          <w:szCs w:val="28"/>
        </w:rPr>
      </w:pPr>
      <w:r w:rsidRPr="00CB6975">
        <w:rPr>
          <w:rFonts w:ascii="Arial" w:hAnsi="Arial" w:cs="Arial"/>
          <w:b/>
          <w:color w:val="auto"/>
          <w:sz w:val="28"/>
          <w:szCs w:val="28"/>
        </w:rPr>
        <w:t xml:space="preserve">Tool Kit: </w:t>
      </w:r>
      <w:r w:rsidR="00D27896" w:rsidRPr="00CB6975">
        <w:rPr>
          <w:rFonts w:ascii="Arial" w:hAnsi="Arial" w:cs="Arial"/>
          <w:b/>
          <w:color w:val="auto"/>
          <w:sz w:val="28"/>
          <w:szCs w:val="28"/>
        </w:rPr>
        <w:t>The Memorandum of Understanding</w:t>
      </w:r>
      <w:r w:rsidR="00D27896" w:rsidRPr="00CB6975">
        <w:rPr>
          <w:rFonts w:ascii="Arial" w:hAnsi="Arial" w:cs="Arial"/>
          <w:b/>
          <w:color w:val="auto"/>
          <w:sz w:val="28"/>
          <w:szCs w:val="28"/>
        </w:rPr>
        <w:br/>
      </w:r>
      <w:r w:rsidRPr="00CB6975">
        <w:rPr>
          <w:rFonts w:ascii="Arial" w:hAnsi="Arial" w:cs="Arial"/>
          <w:b/>
          <w:color w:val="auto"/>
          <w:sz w:val="28"/>
          <w:szCs w:val="28"/>
        </w:rPr>
        <w:t>with the Local Workforce Development Board</w:t>
      </w:r>
    </w:p>
    <w:p w:rsidR="00191700" w:rsidRDefault="00191700" w:rsidP="00191700">
      <w:pPr>
        <w:jc w:val="center"/>
        <w:rPr>
          <w:rFonts w:ascii="Arial" w:hAnsi="Arial" w:cs="Arial"/>
          <w:b/>
          <w:sz w:val="28"/>
          <w:szCs w:val="28"/>
        </w:rPr>
      </w:pPr>
    </w:p>
    <w:p w:rsidR="00191700" w:rsidRPr="00CB6975" w:rsidRDefault="00191700" w:rsidP="00CB6975">
      <w:pPr>
        <w:pStyle w:val="Heading2"/>
        <w:rPr>
          <w:rFonts w:ascii="Arial" w:hAnsi="Arial" w:cs="Arial"/>
          <w:b/>
          <w:color w:val="auto"/>
          <w:sz w:val="24"/>
          <w:szCs w:val="24"/>
        </w:rPr>
      </w:pPr>
      <w:r w:rsidRPr="00CB6975">
        <w:rPr>
          <w:rFonts w:ascii="Arial" w:hAnsi="Arial" w:cs="Arial"/>
          <w:b/>
          <w:color w:val="auto"/>
          <w:sz w:val="24"/>
          <w:szCs w:val="24"/>
        </w:rPr>
        <w:t>Purpose:</w:t>
      </w:r>
    </w:p>
    <w:p w:rsidR="00191700" w:rsidRDefault="00DD50A0" w:rsidP="00191700">
      <w:pPr>
        <w:rPr>
          <w:rFonts w:ascii="Arial" w:hAnsi="Arial" w:cs="Arial"/>
          <w:sz w:val="24"/>
          <w:szCs w:val="24"/>
        </w:rPr>
      </w:pPr>
      <w:r>
        <w:rPr>
          <w:rFonts w:ascii="Arial" w:hAnsi="Arial" w:cs="Arial"/>
          <w:sz w:val="24"/>
          <w:szCs w:val="24"/>
        </w:rPr>
        <w:t xml:space="preserve">This tool kit was developed at the request of State Vocational Rehabilitation Agency Directors in meetings facilitated by </w:t>
      </w:r>
      <w:proofErr w:type="spellStart"/>
      <w:r>
        <w:rPr>
          <w:rFonts w:ascii="Arial" w:hAnsi="Arial" w:cs="Arial"/>
          <w:sz w:val="24"/>
          <w:szCs w:val="24"/>
        </w:rPr>
        <w:t>CSAVR</w:t>
      </w:r>
      <w:proofErr w:type="spellEnd"/>
      <w:r w:rsidR="00D47A21">
        <w:rPr>
          <w:rFonts w:ascii="Arial" w:hAnsi="Arial" w:cs="Arial"/>
          <w:sz w:val="24"/>
          <w:szCs w:val="24"/>
        </w:rPr>
        <w:t xml:space="preserve"> during the summer and fall of 2016</w:t>
      </w:r>
      <w:r>
        <w:rPr>
          <w:rFonts w:ascii="Arial" w:hAnsi="Arial" w:cs="Arial"/>
          <w:sz w:val="24"/>
          <w:szCs w:val="24"/>
        </w:rPr>
        <w:t xml:space="preserve">.  </w:t>
      </w:r>
      <w:r w:rsidR="00D47A21">
        <w:rPr>
          <w:rFonts w:ascii="Arial" w:hAnsi="Arial" w:cs="Arial"/>
          <w:sz w:val="24"/>
          <w:szCs w:val="24"/>
        </w:rPr>
        <w:t>G</w:t>
      </w:r>
      <w:r>
        <w:rPr>
          <w:rFonts w:ascii="Arial" w:hAnsi="Arial" w:cs="Arial"/>
          <w:sz w:val="24"/>
          <w:szCs w:val="24"/>
        </w:rPr>
        <w:t>uidance to Local Workforce Boar</w:t>
      </w:r>
      <w:r w:rsidR="005830D4">
        <w:rPr>
          <w:rFonts w:ascii="Arial" w:hAnsi="Arial" w:cs="Arial"/>
          <w:sz w:val="24"/>
          <w:szCs w:val="24"/>
        </w:rPr>
        <w:t>ds in these agreements parallel</w:t>
      </w:r>
      <w:r>
        <w:rPr>
          <w:rFonts w:ascii="Arial" w:hAnsi="Arial" w:cs="Arial"/>
          <w:sz w:val="24"/>
          <w:szCs w:val="24"/>
        </w:rPr>
        <w:t xml:space="preserve"> </w:t>
      </w:r>
      <w:proofErr w:type="spellStart"/>
      <w:r>
        <w:rPr>
          <w:rFonts w:ascii="Arial" w:hAnsi="Arial" w:cs="Arial"/>
          <w:sz w:val="24"/>
          <w:szCs w:val="24"/>
        </w:rPr>
        <w:t>SVRA</w:t>
      </w:r>
      <w:proofErr w:type="spellEnd"/>
      <w:r>
        <w:rPr>
          <w:rFonts w:ascii="Arial" w:hAnsi="Arial" w:cs="Arial"/>
          <w:sz w:val="24"/>
          <w:szCs w:val="24"/>
        </w:rPr>
        <w:t xml:space="preserve"> Director interest in similar guidance for </w:t>
      </w:r>
      <w:proofErr w:type="spellStart"/>
      <w:r>
        <w:rPr>
          <w:rFonts w:ascii="Arial" w:hAnsi="Arial" w:cs="Arial"/>
          <w:sz w:val="24"/>
          <w:szCs w:val="24"/>
        </w:rPr>
        <w:t>MOU’s</w:t>
      </w:r>
      <w:proofErr w:type="spellEnd"/>
      <w:r>
        <w:rPr>
          <w:rFonts w:ascii="Arial" w:hAnsi="Arial" w:cs="Arial"/>
          <w:sz w:val="24"/>
          <w:szCs w:val="24"/>
        </w:rPr>
        <w:t xml:space="preserve"> with State Medicaid/Mental Health/Intellectual Disability and Developmental Disability Organizations and with Education Agencies.  </w:t>
      </w:r>
    </w:p>
    <w:p w:rsidR="00076460" w:rsidRDefault="00076460" w:rsidP="00076460">
      <w:pPr>
        <w:rPr>
          <w:rFonts w:ascii="Arial" w:hAnsi="Arial" w:cs="Arial"/>
          <w:iCs/>
          <w:sz w:val="24"/>
          <w:szCs w:val="24"/>
        </w:rPr>
      </w:pPr>
      <w:r>
        <w:rPr>
          <w:rFonts w:ascii="Arial" w:hAnsi="Arial" w:cs="Arial"/>
          <w:iCs/>
          <w:sz w:val="24"/>
          <w:szCs w:val="24"/>
        </w:rPr>
        <w:t xml:space="preserve">The </w:t>
      </w:r>
      <w:r w:rsidR="007403FE">
        <w:rPr>
          <w:rFonts w:ascii="Arial" w:hAnsi="Arial" w:cs="Arial"/>
          <w:iCs/>
          <w:sz w:val="24"/>
          <w:szCs w:val="24"/>
        </w:rPr>
        <w:t>Local Workforce Development Board</w:t>
      </w:r>
      <w:r w:rsidR="00D47A21">
        <w:rPr>
          <w:rFonts w:ascii="Arial" w:hAnsi="Arial" w:cs="Arial"/>
          <w:iCs/>
          <w:sz w:val="24"/>
          <w:szCs w:val="24"/>
        </w:rPr>
        <w:t xml:space="preserve"> is</w:t>
      </w:r>
      <w:r w:rsidR="007403FE">
        <w:rPr>
          <w:rFonts w:ascii="Arial" w:hAnsi="Arial" w:cs="Arial"/>
          <w:iCs/>
          <w:sz w:val="24"/>
          <w:szCs w:val="24"/>
        </w:rPr>
        <w:t xml:space="preserve"> </w:t>
      </w:r>
      <w:r w:rsidR="00444F2E">
        <w:rPr>
          <w:rFonts w:ascii="Arial" w:hAnsi="Arial" w:cs="Arial"/>
          <w:iCs/>
          <w:sz w:val="24"/>
          <w:szCs w:val="24"/>
        </w:rPr>
        <w:t xml:space="preserve">required </w:t>
      </w:r>
      <w:r w:rsidR="007403FE">
        <w:rPr>
          <w:rFonts w:ascii="Arial" w:hAnsi="Arial" w:cs="Arial"/>
          <w:iCs/>
          <w:sz w:val="24"/>
          <w:szCs w:val="24"/>
        </w:rPr>
        <w:t>to establish an agreement or agreements with the Core and Required Partner Agencies that operate within the region and through the American Job Center</w:t>
      </w:r>
      <w:r w:rsidR="00D27896">
        <w:rPr>
          <w:rFonts w:ascii="Arial" w:hAnsi="Arial" w:cs="Arial"/>
          <w:iCs/>
          <w:sz w:val="24"/>
          <w:szCs w:val="24"/>
        </w:rPr>
        <w:t xml:space="preserve">s. </w:t>
      </w:r>
      <w:r w:rsidR="005830D4">
        <w:rPr>
          <w:rFonts w:ascii="Arial" w:hAnsi="Arial" w:cs="Arial"/>
          <w:iCs/>
          <w:sz w:val="24"/>
          <w:szCs w:val="24"/>
        </w:rPr>
        <w:t xml:space="preserve">These </w:t>
      </w:r>
      <w:r w:rsidR="002427C8">
        <w:rPr>
          <w:rFonts w:ascii="Arial" w:hAnsi="Arial" w:cs="Arial"/>
          <w:iCs/>
          <w:sz w:val="24"/>
          <w:szCs w:val="24"/>
        </w:rPr>
        <w:t>agreement</w:t>
      </w:r>
      <w:r w:rsidR="005830D4">
        <w:rPr>
          <w:rFonts w:ascii="Arial" w:hAnsi="Arial" w:cs="Arial"/>
          <w:iCs/>
          <w:sz w:val="24"/>
          <w:szCs w:val="24"/>
        </w:rPr>
        <w:t>s</w:t>
      </w:r>
      <w:r w:rsidR="002427C8">
        <w:rPr>
          <w:rFonts w:ascii="Arial" w:hAnsi="Arial" w:cs="Arial"/>
          <w:iCs/>
          <w:sz w:val="24"/>
          <w:szCs w:val="24"/>
        </w:rPr>
        <w:t xml:space="preserve"> </w:t>
      </w:r>
      <w:r w:rsidR="005830D4">
        <w:rPr>
          <w:rFonts w:ascii="Arial" w:hAnsi="Arial" w:cs="Arial"/>
          <w:iCs/>
          <w:sz w:val="24"/>
          <w:szCs w:val="24"/>
        </w:rPr>
        <w:t>reflect</w:t>
      </w:r>
      <w:r w:rsidR="007403FE">
        <w:rPr>
          <w:rFonts w:ascii="Arial" w:hAnsi="Arial" w:cs="Arial"/>
          <w:iCs/>
          <w:sz w:val="24"/>
          <w:szCs w:val="24"/>
        </w:rPr>
        <w:t xml:space="preserve"> the integrity of local direction </w:t>
      </w:r>
      <w:r w:rsidR="002427C8">
        <w:rPr>
          <w:rFonts w:ascii="Arial" w:hAnsi="Arial" w:cs="Arial"/>
          <w:iCs/>
          <w:sz w:val="24"/>
          <w:szCs w:val="24"/>
        </w:rPr>
        <w:t>of a</w:t>
      </w:r>
      <w:r w:rsidR="00D47A21">
        <w:rPr>
          <w:rFonts w:ascii="Arial" w:hAnsi="Arial" w:cs="Arial"/>
          <w:iCs/>
          <w:sz w:val="24"/>
          <w:szCs w:val="24"/>
        </w:rPr>
        <w:t xml:space="preserve"> region’s Career P</w:t>
      </w:r>
      <w:r w:rsidR="007403FE">
        <w:rPr>
          <w:rFonts w:ascii="Arial" w:hAnsi="Arial" w:cs="Arial"/>
          <w:iCs/>
          <w:sz w:val="24"/>
          <w:szCs w:val="24"/>
        </w:rPr>
        <w:t xml:space="preserve">athway model </w:t>
      </w:r>
      <w:r w:rsidR="002427C8">
        <w:rPr>
          <w:rFonts w:ascii="Arial" w:hAnsi="Arial" w:cs="Arial"/>
          <w:iCs/>
          <w:sz w:val="24"/>
          <w:szCs w:val="24"/>
        </w:rPr>
        <w:t>in response</w:t>
      </w:r>
      <w:r w:rsidR="007403FE">
        <w:rPr>
          <w:rFonts w:ascii="Arial" w:hAnsi="Arial" w:cs="Arial"/>
          <w:iCs/>
          <w:sz w:val="24"/>
          <w:szCs w:val="24"/>
        </w:rPr>
        <w:t xml:space="preserve"> to the </w:t>
      </w:r>
      <w:r w:rsidR="002427C8">
        <w:rPr>
          <w:rFonts w:ascii="Arial" w:hAnsi="Arial" w:cs="Arial"/>
          <w:iCs/>
          <w:sz w:val="24"/>
          <w:szCs w:val="24"/>
        </w:rPr>
        <w:t xml:space="preserve">needs of area </w:t>
      </w:r>
      <w:r w:rsidR="00D27896">
        <w:rPr>
          <w:rFonts w:ascii="Arial" w:hAnsi="Arial" w:cs="Arial"/>
          <w:iCs/>
          <w:sz w:val="24"/>
          <w:szCs w:val="24"/>
        </w:rPr>
        <w:t xml:space="preserve">Business Sector Groups. </w:t>
      </w:r>
      <w:r w:rsidR="007403FE">
        <w:rPr>
          <w:rFonts w:ascii="Arial" w:hAnsi="Arial" w:cs="Arial"/>
          <w:iCs/>
          <w:sz w:val="24"/>
          <w:szCs w:val="24"/>
        </w:rPr>
        <w:t>It is important to remember that each Local Workforce Development Board (</w:t>
      </w:r>
      <w:proofErr w:type="spellStart"/>
      <w:r w:rsidR="007403FE">
        <w:rPr>
          <w:rFonts w:ascii="Arial" w:hAnsi="Arial" w:cs="Arial"/>
          <w:iCs/>
          <w:sz w:val="24"/>
          <w:szCs w:val="24"/>
        </w:rPr>
        <w:t>LWDB</w:t>
      </w:r>
      <w:proofErr w:type="spellEnd"/>
      <w:r w:rsidR="007403FE">
        <w:rPr>
          <w:rFonts w:ascii="Arial" w:hAnsi="Arial" w:cs="Arial"/>
          <w:iCs/>
          <w:sz w:val="24"/>
          <w:szCs w:val="24"/>
        </w:rPr>
        <w:t xml:space="preserve">) can add additional partner agencies as recognized </w:t>
      </w:r>
      <w:r w:rsidR="00D47A21">
        <w:rPr>
          <w:rFonts w:ascii="Arial" w:hAnsi="Arial" w:cs="Arial"/>
          <w:iCs/>
          <w:sz w:val="24"/>
          <w:szCs w:val="24"/>
        </w:rPr>
        <w:t>to be</w:t>
      </w:r>
      <w:r w:rsidR="007403FE">
        <w:rPr>
          <w:rFonts w:ascii="Arial" w:hAnsi="Arial" w:cs="Arial"/>
          <w:iCs/>
          <w:sz w:val="24"/>
          <w:szCs w:val="24"/>
        </w:rPr>
        <w:t xml:space="preserve"> </w:t>
      </w:r>
      <w:r w:rsidR="005830D4">
        <w:rPr>
          <w:rFonts w:ascii="Arial" w:hAnsi="Arial" w:cs="Arial"/>
          <w:iCs/>
          <w:sz w:val="24"/>
          <w:szCs w:val="24"/>
        </w:rPr>
        <w:t>necessary</w:t>
      </w:r>
      <w:r w:rsidR="007403FE">
        <w:rPr>
          <w:rFonts w:ascii="Arial" w:hAnsi="Arial" w:cs="Arial"/>
          <w:iCs/>
          <w:sz w:val="24"/>
          <w:szCs w:val="24"/>
        </w:rPr>
        <w:t xml:space="preserve"> in creating a Career Pathway system that is </w:t>
      </w:r>
      <w:r w:rsidR="002427C8">
        <w:rPr>
          <w:rFonts w:ascii="Arial" w:hAnsi="Arial" w:cs="Arial"/>
          <w:iCs/>
          <w:sz w:val="24"/>
          <w:szCs w:val="24"/>
        </w:rPr>
        <w:t>equally</w:t>
      </w:r>
      <w:r w:rsidR="007403FE">
        <w:rPr>
          <w:rFonts w:ascii="Arial" w:hAnsi="Arial" w:cs="Arial"/>
          <w:iCs/>
          <w:sz w:val="24"/>
          <w:szCs w:val="24"/>
        </w:rPr>
        <w:t xml:space="preserve"> responsive to all members of the community as is possible.</w:t>
      </w:r>
    </w:p>
    <w:p w:rsidR="007403FE" w:rsidRPr="00076460" w:rsidRDefault="002427C8" w:rsidP="00076460">
      <w:pPr>
        <w:rPr>
          <w:rFonts w:ascii="Arial" w:hAnsi="Arial" w:cs="Arial"/>
          <w:iCs/>
          <w:sz w:val="24"/>
          <w:szCs w:val="24"/>
        </w:rPr>
      </w:pPr>
      <w:r>
        <w:rPr>
          <w:rFonts w:ascii="Arial" w:hAnsi="Arial" w:cs="Arial"/>
          <w:iCs/>
          <w:sz w:val="24"/>
          <w:szCs w:val="24"/>
        </w:rPr>
        <w:t xml:space="preserve">With the </w:t>
      </w:r>
      <w:proofErr w:type="spellStart"/>
      <w:r>
        <w:rPr>
          <w:rFonts w:ascii="Arial" w:hAnsi="Arial" w:cs="Arial"/>
          <w:iCs/>
          <w:sz w:val="24"/>
          <w:szCs w:val="24"/>
        </w:rPr>
        <w:t>LWDB</w:t>
      </w:r>
      <w:proofErr w:type="spellEnd"/>
      <w:r>
        <w:rPr>
          <w:rFonts w:ascii="Arial" w:hAnsi="Arial" w:cs="Arial"/>
          <w:iCs/>
          <w:sz w:val="24"/>
          <w:szCs w:val="24"/>
        </w:rPr>
        <w:t>, the Core, Required</w:t>
      </w:r>
      <w:r w:rsidR="00D27896">
        <w:rPr>
          <w:rFonts w:ascii="Arial" w:hAnsi="Arial" w:cs="Arial"/>
          <w:iCs/>
          <w:sz w:val="24"/>
          <w:szCs w:val="24"/>
        </w:rPr>
        <w:t>,</w:t>
      </w:r>
      <w:r>
        <w:rPr>
          <w:rFonts w:ascii="Arial" w:hAnsi="Arial" w:cs="Arial"/>
          <w:iCs/>
          <w:sz w:val="24"/>
          <w:szCs w:val="24"/>
        </w:rPr>
        <w:t xml:space="preserve"> and other partner agencies articulate a service system in the </w:t>
      </w:r>
      <w:proofErr w:type="spellStart"/>
      <w:r>
        <w:rPr>
          <w:rFonts w:ascii="Arial" w:hAnsi="Arial" w:cs="Arial"/>
          <w:iCs/>
          <w:sz w:val="24"/>
          <w:szCs w:val="24"/>
        </w:rPr>
        <w:t>MOU</w:t>
      </w:r>
      <w:proofErr w:type="spellEnd"/>
      <w:r>
        <w:rPr>
          <w:rFonts w:ascii="Arial" w:hAnsi="Arial" w:cs="Arial"/>
          <w:iCs/>
          <w:sz w:val="24"/>
          <w:szCs w:val="24"/>
        </w:rPr>
        <w:t xml:space="preserve"> that </w:t>
      </w:r>
      <w:r w:rsidR="005830D4">
        <w:rPr>
          <w:rFonts w:ascii="Arial" w:hAnsi="Arial" w:cs="Arial"/>
          <w:iCs/>
          <w:sz w:val="24"/>
          <w:szCs w:val="24"/>
        </w:rPr>
        <w:t>meets the vision</w:t>
      </w:r>
      <w:r>
        <w:rPr>
          <w:rFonts w:ascii="Arial" w:hAnsi="Arial" w:cs="Arial"/>
          <w:iCs/>
          <w:sz w:val="24"/>
          <w:szCs w:val="24"/>
        </w:rPr>
        <w:t xml:space="preserve"> noted on Page 3 for </w:t>
      </w:r>
      <w:proofErr w:type="spellStart"/>
      <w:r>
        <w:rPr>
          <w:rFonts w:ascii="Arial" w:hAnsi="Arial" w:cs="Arial"/>
          <w:iCs/>
          <w:sz w:val="24"/>
          <w:szCs w:val="24"/>
        </w:rPr>
        <w:t>RSA</w:t>
      </w:r>
      <w:proofErr w:type="spellEnd"/>
      <w:r>
        <w:rPr>
          <w:rFonts w:ascii="Arial" w:hAnsi="Arial" w:cs="Arial"/>
          <w:iCs/>
          <w:sz w:val="24"/>
          <w:szCs w:val="24"/>
        </w:rPr>
        <w:t xml:space="preserve"> TAC-15-01:</w:t>
      </w:r>
    </w:p>
    <w:p w:rsidR="00076460" w:rsidRPr="00DD50A0" w:rsidRDefault="00076460" w:rsidP="00191700">
      <w:pPr>
        <w:rPr>
          <w:rFonts w:ascii="Arial" w:hAnsi="Arial" w:cs="Arial"/>
          <w:sz w:val="24"/>
          <w:szCs w:val="24"/>
        </w:rPr>
      </w:pPr>
      <w:r>
        <w:rPr>
          <w:rFonts w:ascii="Arial" w:hAnsi="Arial" w:cs="Arial"/>
          <w:i/>
          <w:iCs/>
          <w:sz w:val="24"/>
          <w:szCs w:val="24"/>
        </w:rPr>
        <w:t>“</w:t>
      </w:r>
      <w:r w:rsidRPr="00076460">
        <w:rPr>
          <w:rFonts w:ascii="Arial" w:hAnsi="Arial" w:cs="Arial"/>
          <w:i/>
          <w:iCs/>
          <w:sz w:val="24"/>
          <w:szCs w:val="24"/>
        </w:rPr>
        <w:t xml:space="preserve">Under </w:t>
      </w:r>
      <w:proofErr w:type="spellStart"/>
      <w:r w:rsidRPr="00076460">
        <w:rPr>
          <w:rFonts w:ascii="Arial" w:hAnsi="Arial" w:cs="Arial"/>
          <w:i/>
          <w:iCs/>
          <w:sz w:val="24"/>
          <w:szCs w:val="24"/>
        </w:rPr>
        <w:t>WIOA</w:t>
      </w:r>
      <w:proofErr w:type="spellEnd"/>
      <w:r w:rsidRPr="00076460">
        <w:rPr>
          <w:rFonts w:ascii="Arial" w:hAnsi="Arial" w:cs="Arial"/>
          <w:i/>
          <w:iCs/>
          <w:sz w:val="24"/>
          <w:szCs w:val="24"/>
        </w:rPr>
        <w:t xml:space="preserve">, partner programs and entities that are jointly responsible for workforce and economic development, educational, and other human resource programs collaborate to create a seamless customer-focused one-stop delivery system that </w:t>
      </w:r>
      <w:r w:rsidRPr="00076460">
        <w:rPr>
          <w:rFonts w:ascii="Arial" w:hAnsi="Arial" w:cs="Arial"/>
          <w:bCs/>
          <w:i/>
          <w:iCs/>
          <w:sz w:val="24"/>
          <w:szCs w:val="24"/>
        </w:rPr>
        <w:t xml:space="preserve">integrates service delivery </w:t>
      </w:r>
      <w:r w:rsidRPr="00076460">
        <w:rPr>
          <w:rFonts w:ascii="Arial" w:hAnsi="Arial" w:cs="Arial"/>
          <w:i/>
          <w:iCs/>
          <w:sz w:val="24"/>
          <w:szCs w:val="24"/>
        </w:rPr>
        <w:t>across all programs and enhances access to the programs’ services.”</w:t>
      </w:r>
    </w:p>
    <w:p w:rsidR="00191700" w:rsidRPr="00CB6975" w:rsidRDefault="00191700" w:rsidP="00CB6975">
      <w:pPr>
        <w:pStyle w:val="Heading2"/>
        <w:rPr>
          <w:rFonts w:ascii="Arial" w:hAnsi="Arial" w:cs="Arial"/>
          <w:b/>
          <w:color w:val="auto"/>
          <w:sz w:val="24"/>
          <w:szCs w:val="24"/>
        </w:rPr>
      </w:pPr>
      <w:r w:rsidRPr="00CB6975">
        <w:rPr>
          <w:rFonts w:ascii="Arial" w:hAnsi="Arial" w:cs="Arial"/>
          <w:b/>
          <w:color w:val="auto"/>
          <w:sz w:val="24"/>
          <w:szCs w:val="24"/>
        </w:rPr>
        <w:t>Background:</w:t>
      </w:r>
    </w:p>
    <w:p w:rsidR="00191700" w:rsidRDefault="00191700" w:rsidP="00D47A21">
      <w:pPr>
        <w:tabs>
          <w:tab w:val="left" w:pos="6060"/>
        </w:tabs>
        <w:rPr>
          <w:rFonts w:ascii="Arial" w:hAnsi="Arial" w:cs="Arial"/>
          <w:sz w:val="24"/>
          <w:szCs w:val="24"/>
          <w:u w:val="single"/>
        </w:rPr>
      </w:pPr>
      <w:r>
        <w:rPr>
          <w:rFonts w:ascii="Arial" w:hAnsi="Arial" w:cs="Arial"/>
          <w:sz w:val="24"/>
          <w:szCs w:val="24"/>
          <w:u w:val="single"/>
        </w:rPr>
        <w:t>Role of the Local Workforce Development Board</w:t>
      </w:r>
    </w:p>
    <w:p w:rsidR="00444F2E" w:rsidRDefault="00D47A21" w:rsidP="00D47A21">
      <w:pPr>
        <w:tabs>
          <w:tab w:val="left" w:pos="6060"/>
        </w:tabs>
        <w:rPr>
          <w:rFonts w:ascii="Arial" w:hAnsi="Arial" w:cs="Arial"/>
          <w:sz w:val="24"/>
          <w:szCs w:val="24"/>
        </w:rPr>
      </w:pPr>
      <w:r>
        <w:rPr>
          <w:rFonts w:ascii="Arial" w:hAnsi="Arial" w:cs="Arial"/>
          <w:sz w:val="24"/>
          <w:szCs w:val="24"/>
        </w:rPr>
        <w:t xml:space="preserve">The Governance Structure for the collaborative workforce in each state is established in Title I of </w:t>
      </w:r>
      <w:proofErr w:type="spellStart"/>
      <w:r>
        <w:rPr>
          <w:rFonts w:ascii="Arial" w:hAnsi="Arial" w:cs="Arial"/>
          <w:sz w:val="24"/>
          <w:szCs w:val="24"/>
        </w:rPr>
        <w:t>WIOA</w:t>
      </w:r>
      <w:proofErr w:type="spellEnd"/>
      <w:r>
        <w:rPr>
          <w:rFonts w:ascii="Arial" w:hAnsi="Arial" w:cs="Arial"/>
          <w:sz w:val="24"/>
          <w:szCs w:val="24"/>
        </w:rPr>
        <w:t>, along with the establishment of several service programs.</w:t>
      </w:r>
      <w:r w:rsidR="00D27896">
        <w:rPr>
          <w:rFonts w:ascii="Arial" w:hAnsi="Arial" w:cs="Arial"/>
          <w:sz w:val="24"/>
          <w:szCs w:val="24"/>
        </w:rPr>
        <w:t xml:space="preserve"> </w:t>
      </w:r>
      <w:r w:rsidR="00444F2E">
        <w:rPr>
          <w:rFonts w:ascii="Arial" w:hAnsi="Arial" w:cs="Arial"/>
          <w:sz w:val="24"/>
          <w:szCs w:val="24"/>
        </w:rPr>
        <w:t xml:space="preserve">The role of the </w:t>
      </w:r>
      <w:proofErr w:type="spellStart"/>
      <w:r w:rsidR="00444F2E">
        <w:rPr>
          <w:rFonts w:ascii="Arial" w:hAnsi="Arial" w:cs="Arial"/>
          <w:sz w:val="24"/>
          <w:szCs w:val="24"/>
        </w:rPr>
        <w:t>LWDB</w:t>
      </w:r>
      <w:proofErr w:type="spellEnd"/>
      <w:r w:rsidR="00444F2E">
        <w:rPr>
          <w:rFonts w:ascii="Arial" w:hAnsi="Arial" w:cs="Arial"/>
          <w:sz w:val="24"/>
          <w:szCs w:val="24"/>
        </w:rPr>
        <w:t xml:space="preserve"> as established in </w:t>
      </w:r>
      <w:r w:rsidR="00444F2E" w:rsidRPr="00444F2E">
        <w:rPr>
          <w:bCs/>
          <w:sz w:val="24"/>
          <w:szCs w:val="24"/>
        </w:rPr>
        <w:t>§ 679.300</w:t>
      </w:r>
      <w:r w:rsidR="00444F2E" w:rsidRPr="003D0D8C">
        <w:rPr>
          <w:b/>
          <w:bCs/>
        </w:rPr>
        <w:t xml:space="preserve"> </w:t>
      </w:r>
      <w:r w:rsidR="00444F2E">
        <w:rPr>
          <w:rFonts w:ascii="Arial" w:hAnsi="Arial" w:cs="Arial"/>
          <w:sz w:val="24"/>
          <w:szCs w:val="24"/>
        </w:rPr>
        <w:t>of the regulations is to:</w:t>
      </w:r>
    </w:p>
    <w:p w:rsidR="00444F2E" w:rsidRDefault="00444F2E" w:rsidP="00444F2E">
      <w:pPr>
        <w:autoSpaceDE w:val="0"/>
        <w:autoSpaceDN w:val="0"/>
        <w:adjustRightInd w:val="0"/>
        <w:spacing w:after="0" w:line="240" w:lineRule="auto"/>
        <w:ind w:left="720"/>
      </w:pPr>
      <w:r w:rsidRPr="00444F2E">
        <w:t>(1) Provide strategic and operational oversight in collaboration with the required and additional partners and workforce stakeholders to help develop a comprehensive and high-quality workforce development system in the local area and larger planning region;</w:t>
      </w:r>
    </w:p>
    <w:p w:rsidR="00D27896" w:rsidRPr="00444F2E" w:rsidRDefault="00D27896" w:rsidP="00444F2E">
      <w:pPr>
        <w:autoSpaceDE w:val="0"/>
        <w:autoSpaceDN w:val="0"/>
        <w:adjustRightInd w:val="0"/>
        <w:spacing w:after="0" w:line="240" w:lineRule="auto"/>
        <w:ind w:left="720"/>
      </w:pPr>
    </w:p>
    <w:p w:rsidR="00D27896" w:rsidRDefault="00444F2E" w:rsidP="00D27896">
      <w:pPr>
        <w:autoSpaceDE w:val="0"/>
        <w:autoSpaceDN w:val="0"/>
        <w:adjustRightInd w:val="0"/>
        <w:spacing w:after="0" w:line="240" w:lineRule="auto"/>
        <w:ind w:left="720"/>
      </w:pPr>
      <w:r w:rsidRPr="00444F2E">
        <w:t>(2) Assist in the achievement of the State’s strategic and operational vision and goals as outlined in the Unified State Plan or Combined State Plan; and</w:t>
      </w:r>
    </w:p>
    <w:p w:rsidR="00D27896" w:rsidRDefault="00D27896" w:rsidP="00D27896">
      <w:pPr>
        <w:autoSpaceDE w:val="0"/>
        <w:autoSpaceDN w:val="0"/>
        <w:adjustRightInd w:val="0"/>
        <w:spacing w:after="0" w:line="240" w:lineRule="auto"/>
        <w:ind w:left="720"/>
      </w:pPr>
    </w:p>
    <w:p w:rsidR="00444F2E" w:rsidRPr="00D27896" w:rsidRDefault="00444F2E" w:rsidP="00D27896">
      <w:pPr>
        <w:autoSpaceDE w:val="0"/>
        <w:autoSpaceDN w:val="0"/>
        <w:adjustRightInd w:val="0"/>
        <w:spacing w:after="0" w:line="240" w:lineRule="auto"/>
        <w:ind w:left="720"/>
      </w:pPr>
      <w:r w:rsidRPr="00D27896">
        <w:t>(3) Maximize and continue to improve the quality of services, customer satisfaction, effectiveness of the services provided.</w:t>
      </w:r>
    </w:p>
    <w:p w:rsidR="00444F2E" w:rsidRPr="00D47A21" w:rsidRDefault="00444F2E" w:rsidP="00D47A21">
      <w:pPr>
        <w:tabs>
          <w:tab w:val="left" w:pos="6060"/>
        </w:tabs>
        <w:rPr>
          <w:rFonts w:ascii="Arial" w:hAnsi="Arial" w:cs="Arial"/>
          <w:sz w:val="24"/>
          <w:szCs w:val="24"/>
        </w:rPr>
      </w:pPr>
    </w:p>
    <w:p w:rsidR="00191700" w:rsidRDefault="00191700" w:rsidP="00191700">
      <w:pPr>
        <w:rPr>
          <w:rFonts w:ascii="Arial" w:hAnsi="Arial" w:cs="Arial"/>
          <w:sz w:val="24"/>
          <w:szCs w:val="24"/>
          <w:u w:val="single"/>
        </w:rPr>
      </w:pPr>
      <w:r>
        <w:rPr>
          <w:rFonts w:ascii="Arial" w:hAnsi="Arial" w:cs="Arial"/>
          <w:sz w:val="24"/>
          <w:szCs w:val="24"/>
          <w:u w:val="single"/>
        </w:rPr>
        <w:lastRenderedPageBreak/>
        <w:t>Who are the Core and Required Partner Agencies?</w:t>
      </w:r>
    </w:p>
    <w:p w:rsidR="00EF73DC" w:rsidRDefault="00EF73DC" w:rsidP="00191700">
      <w:pPr>
        <w:rPr>
          <w:rFonts w:ascii="Arial" w:hAnsi="Arial" w:cs="Arial"/>
          <w:sz w:val="24"/>
          <w:szCs w:val="24"/>
        </w:rPr>
      </w:pPr>
      <w:r>
        <w:rPr>
          <w:rFonts w:ascii="Arial" w:hAnsi="Arial" w:cs="Arial"/>
          <w:sz w:val="24"/>
          <w:szCs w:val="24"/>
        </w:rPr>
        <w:t xml:space="preserve">Many interpret the guidance in </w:t>
      </w:r>
      <w:proofErr w:type="spellStart"/>
      <w:r>
        <w:rPr>
          <w:rFonts w:ascii="Arial" w:hAnsi="Arial" w:cs="Arial"/>
          <w:sz w:val="24"/>
          <w:szCs w:val="24"/>
        </w:rPr>
        <w:t>WIOA</w:t>
      </w:r>
      <w:proofErr w:type="spellEnd"/>
      <w:r>
        <w:rPr>
          <w:rFonts w:ascii="Arial" w:hAnsi="Arial" w:cs="Arial"/>
          <w:sz w:val="24"/>
          <w:szCs w:val="24"/>
        </w:rPr>
        <w:t xml:space="preserve"> (and </w:t>
      </w:r>
      <w:proofErr w:type="spellStart"/>
      <w:r>
        <w:rPr>
          <w:rFonts w:ascii="Arial" w:hAnsi="Arial" w:cs="Arial"/>
          <w:sz w:val="24"/>
          <w:szCs w:val="24"/>
        </w:rPr>
        <w:t>WIA</w:t>
      </w:r>
      <w:proofErr w:type="spellEnd"/>
      <w:r>
        <w:rPr>
          <w:rFonts w:ascii="Arial" w:hAnsi="Arial" w:cs="Arial"/>
          <w:sz w:val="24"/>
          <w:szCs w:val="24"/>
        </w:rPr>
        <w:t xml:space="preserve"> before it) to establish a workforce system that includes </w:t>
      </w:r>
      <w:r w:rsidR="001C557D">
        <w:rPr>
          <w:rFonts w:ascii="Arial" w:hAnsi="Arial" w:cs="Arial"/>
          <w:sz w:val="24"/>
          <w:szCs w:val="24"/>
        </w:rPr>
        <w:t xml:space="preserve">the </w:t>
      </w:r>
      <w:r w:rsidR="00D27896">
        <w:rPr>
          <w:rFonts w:ascii="Arial" w:hAnsi="Arial" w:cs="Arial"/>
          <w:sz w:val="24"/>
          <w:szCs w:val="24"/>
        </w:rPr>
        <w:t>“labor”</w:t>
      </w:r>
      <w:r>
        <w:rPr>
          <w:rFonts w:ascii="Arial" w:hAnsi="Arial" w:cs="Arial"/>
          <w:sz w:val="24"/>
          <w:szCs w:val="24"/>
        </w:rPr>
        <w:t xml:space="preserve"> programs</w:t>
      </w:r>
      <w:r w:rsidR="001C557D">
        <w:rPr>
          <w:rFonts w:ascii="Arial" w:hAnsi="Arial" w:cs="Arial"/>
          <w:sz w:val="24"/>
          <w:szCs w:val="24"/>
        </w:rPr>
        <w:t>. T</w:t>
      </w:r>
      <w:r w:rsidR="00D27896">
        <w:rPr>
          <w:rFonts w:ascii="Arial" w:hAnsi="Arial" w:cs="Arial"/>
          <w:sz w:val="24"/>
          <w:szCs w:val="24"/>
        </w:rPr>
        <w:t xml:space="preserve">he other required agencies are “partners” to that workforce system. </w:t>
      </w:r>
      <w:r>
        <w:rPr>
          <w:rFonts w:ascii="Arial" w:hAnsi="Arial" w:cs="Arial"/>
          <w:sz w:val="24"/>
          <w:szCs w:val="24"/>
        </w:rPr>
        <w:t xml:space="preserve">This is a subtle deviation from the vision described in </w:t>
      </w:r>
      <w:proofErr w:type="spellStart"/>
      <w:r>
        <w:rPr>
          <w:rFonts w:ascii="Arial" w:hAnsi="Arial" w:cs="Arial"/>
          <w:sz w:val="24"/>
          <w:szCs w:val="24"/>
        </w:rPr>
        <w:t>RSA</w:t>
      </w:r>
      <w:proofErr w:type="spellEnd"/>
      <w:r>
        <w:rPr>
          <w:rFonts w:ascii="Arial" w:hAnsi="Arial" w:cs="Arial"/>
          <w:sz w:val="24"/>
          <w:szCs w:val="24"/>
        </w:rPr>
        <w:t xml:space="preserve"> TAC-15-01 (and other similar guidance pr</w:t>
      </w:r>
      <w:r w:rsidR="00D27896">
        <w:rPr>
          <w:rFonts w:ascii="Arial" w:hAnsi="Arial" w:cs="Arial"/>
          <w:sz w:val="24"/>
          <w:szCs w:val="24"/>
        </w:rPr>
        <w:t xml:space="preserve">ovided through DOL and </w:t>
      </w:r>
      <w:proofErr w:type="spellStart"/>
      <w:r w:rsidR="00D27896">
        <w:rPr>
          <w:rFonts w:ascii="Arial" w:hAnsi="Arial" w:cs="Arial"/>
          <w:sz w:val="24"/>
          <w:szCs w:val="24"/>
        </w:rPr>
        <w:t>OCTAE</w:t>
      </w:r>
      <w:proofErr w:type="spellEnd"/>
      <w:r w:rsidR="00D27896">
        <w:rPr>
          <w:rFonts w:ascii="Arial" w:hAnsi="Arial" w:cs="Arial"/>
          <w:sz w:val="24"/>
          <w:szCs w:val="24"/>
        </w:rPr>
        <w:t xml:space="preserve">). </w:t>
      </w:r>
      <w:r>
        <w:rPr>
          <w:rFonts w:ascii="Arial" w:hAnsi="Arial" w:cs="Arial"/>
          <w:sz w:val="24"/>
          <w:szCs w:val="24"/>
        </w:rPr>
        <w:t>In this vision, the combination of the expertise in all core, required</w:t>
      </w:r>
      <w:r w:rsidR="00D27896">
        <w:rPr>
          <w:rFonts w:ascii="Arial" w:hAnsi="Arial" w:cs="Arial"/>
          <w:sz w:val="24"/>
          <w:szCs w:val="24"/>
        </w:rPr>
        <w:t>,</w:t>
      </w:r>
      <w:r>
        <w:rPr>
          <w:rFonts w:ascii="Arial" w:hAnsi="Arial" w:cs="Arial"/>
          <w:sz w:val="24"/>
          <w:szCs w:val="24"/>
        </w:rPr>
        <w:t xml:space="preserve"> and additional </w:t>
      </w:r>
      <w:r w:rsidR="00444F2E">
        <w:rPr>
          <w:rFonts w:ascii="Arial" w:hAnsi="Arial" w:cs="Arial"/>
          <w:sz w:val="24"/>
          <w:szCs w:val="24"/>
        </w:rPr>
        <w:t xml:space="preserve">partners </w:t>
      </w:r>
      <w:r w:rsidR="00D27896" w:rsidRPr="00D27896">
        <w:rPr>
          <w:rFonts w:ascii="Arial" w:hAnsi="Arial" w:cs="Arial"/>
          <w:sz w:val="24"/>
          <w:szCs w:val="24"/>
        </w:rPr>
        <w:t>is</w:t>
      </w:r>
      <w:r w:rsidR="00D27896">
        <w:rPr>
          <w:rFonts w:ascii="Arial" w:hAnsi="Arial" w:cs="Arial"/>
          <w:sz w:val="24"/>
          <w:szCs w:val="24"/>
        </w:rPr>
        <w:t xml:space="preserve"> the workforce system. </w:t>
      </w:r>
      <w:r>
        <w:rPr>
          <w:rFonts w:ascii="Arial" w:hAnsi="Arial" w:cs="Arial"/>
          <w:sz w:val="24"/>
          <w:szCs w:val="24"/>
        </w:rPr>
        <w:t xml:space="preserve">The AJC does not </w:t>
      </w:r>
      <w:r w:rsidR="00D27896">
        <w:rPr>
          <w:rFonts w:ascii="Arial" w:hAnsi="Arial" w:cs="Arial"/>
          <w:sz w:val="24"/>
          <w:szCs w:val="24"/>
        </w:rPr>
        <w:t>make referrals to the VR agency</w:t>
      </w:r>
      <w:r>
        <w:rPr>
          <w:rFonts w:ascii="Arial" w:hAnsi="Arial" w:cs="Arial"/>
          <w:sz w:val="24"/>
          <w:szCs w:val="24"/>
        </w:rPr>
        <w:t xml:space="preserve"> because the VR agency is a part of the AJC.</w:t>
      </w:r>
      <w:r w:rsidR="001C557D">
        <w:rPr>
          <w:rFonts w:ascii="Arial" w:hAnsi="Arial" w:cs="Arial"/>
          <w:sz w:val="24"/>
          <w:szCs w:val="24"/>
        </w:rPr>
        <w:t xml:space="preserve"> Other Core and Required Partner agencies make referrals to the VR agency</w:t>
      </w:r>
      <w:r w:rsidR="005830D4">
        <w:rPr>
          <w:rFonts w:ascii="Arial" w:hAnsi="Arial" w:cs="Arial"/>
          <w:sz w:val="24"/>
          <w:szCs w:val="24"/>
        </w:rPr>
        <w:t>, within the AJC system</w:t>
      </w:r>
      <w:r w:rsidR="001C557D">
        <w:rPr>
          <w:rFonts w:ascii="Arial" w:hAnsi="Arial" w:cs="Arial"/>
          <w:sz w:val="24"/>
          <w:szCs w:val="24"/>
        </w:rPr>
        <w:t xml:space="preserve">.  </w:t>
      </w:r>
    </w:p>
    <w:p w:rsidR="00EF73DC" w:rsidRPr="00EF73DC" w:rsidRDefault="00EF73DC" w:rsidP="00191700">
      <w:pPr>
        <w:rPr>
          <w:rFonts w:ascii="Arial" w:hAnsi="Arial" w:cs="Arial"/>
          <w:sz w:val="24"/>
          <w:szCs w:val="24"/>
        </w:rPr>
      </w:pPr>
    </w:p>
    <w:p w:rsidR="00191700" w:rsidRDefault="00D15158" w:rsidP="00191700">
      <w:pPr>
        <w:rPr>
          <w:rFonts w:ascii="Arial" w:hAnsi="Arial" w:cs="Arial"/>
          <w:sz w:val="24"/>
          <w:szCs w:val="24"/>
        </w:rPr>
      </w:pPr>
      <w:r>
        <w:rPr>
          <w:rFonts w:ascii="Arial" w:hAnsi="Arial" w:cs="Arial"/>
          <w:sz w:val="24"/>
          <w:szCs w:val="24"/>
        </w:rPr>
        <w:t>Core Partner Agencies Include</w:t>
      </w:r>
      <w:r w:rsidR="00EF73DC">
        <w:rPr>
          <w:rFonts w:ascii="Arial" w:hAnsi="Arial" w:cs="Arial"/>
          <w:sz w:val="24"/>
          <w:szCs w:val="24"/>
        </w:rPr>
        <w:t xml:space="preserve"> (</w:t>
      </w:r>
      <w:proofErr w:type="spellStart"/>
      <w:r w:rsidR="00EF73DC">
        <w:rPr>
          <w:rFonts w:ascii="Arial" w:hAnsi="Arial" w:cs="Arial"/>
          <w:sz w:val="24"/>
          <w:szCs w:val="24"/>
        </w:rPr>
        <w:t>RSA</w:t>
      </w:r>
      <w:proofErr w:type="spellEnd"/>
      <w:r w:rsidR="00EF73DC">
        <w:rPr>
          <w:rFonts w:ascii="Arial" w:hAnsi="Arial" w:cs="Arial"/>
          <w:sz w:val="24"/>
          <w:szCs w:val="24"/>
        </w:rPr>
        <w:t xml:space="preserve"> TAC-15-01)</w:t>
      </w:r>
      <w:r>
        <w:rPr>
          <w:rFonts w:ascii="Arial" w:hAnsi="Arial" w:cs="Arial"/>
          <w:sz w:val="24"/>
          <w:szCs w:val="24"/>
        </w:rPr>
        <w:t>:</w:t>
      </w:r>
    </w:p>
    <w:p w:rsidR="00EF73DC" w:rsidRPr="00EF73DC" w:rsidRDefault="00EF73DC" w:rsidP="00EF73DC">
      <w:pPr>
        <w:rPr>
          <w:rFonts w:ascii="Arial" w:hAnsi="Arial" w:cs="Arial"/>
          <w:sz w:val="24"/>
          <w:szCs w:val="24"/>
        </w:rPr>
      </w:pPr>
      <w:r w:rsidRPr="00EF73DC">
        <w:rPr>
          <w:rFonts w:ascii="Arial" w:hAnsi="Arial" w:cs="Arial"/>
          <w:i/>
          <w:iCs/>
          <w:sz w:val="24"/>
          <w:szCs w:val="24"/>
        </w:rPr>
        <w:t xml:space="preserve">“The one-stop delivery system includes six </w:t>
      </w:r>
      <w:r w:rsidRPr="00EF73DC">
        <w:rPr>
          <w:rFonts w:ascii="Arial" w:hAnsi="Arial" w:cs="Arial"/>
          <w:b/>
          <w:bCs/>
          <w:i/>
          <w:iCs/>
          <w:sz w:val="24"/>
          <w:szCs w:val="24"/>
        </w:rPr>
        <w:t xml:space="preserve">core programs </w:t>
      </w:r>
      <w:r w:rsidRPr="00EF73DC">
        <w:rPr>
          <w:rFonts w:ascii="Arial" w:hAnsi="Arial" w:cs="Arial"/>
          <w:i/>
          <w:iCs/>
          <w:sz w:val="24"/>
          <w:szCs w:val="24"/>
        </w:rPr>
        <w:t>(Title I adult, dislocated worker, and youth programs; Title II adult education and literacy programs; Title III Wagner-</w:t>
      </w:r>
      <w:proofErr w:type="spellStart"/>
      <w:r w:rsidRPr="00EF73DC">
        <w:rPr>
          <w:rFonts w:ascii="Arial" w:hAnsi="Arial" w:cs="Arial"/>
          <w:i/>
          <w:iCs/>
          <w:sz w:val="24"/>
          <w:szCs w:val="24"/>
        </w:rPr>
        <w:t>Peyser</w:t>
      </w:r>
      <w:proofErr w:type="spellEnd"/>
      <w:r w:rsidRPr="00EF73DC">
        <w:rPr>
          <w:rFonts w:ascii="Arial" w:hAnsi="Arial" w:cs="Arial"/>
          <w:i/>
          <w:iCs/>
          <w:sz w:val="24"/>
          <w:szCs w:val="24"/>
        </w:rPr>
        <w:t xml:space="preserve"> program; and Title IV vocational rehabilitation program), as well as other required and optional partners identified in </w:t>
      </w:r>
      <w:proofErr w:type="spellStart"/>
      <w:r w:rsidRPr="00EF73DC">
        <w:rPr>
          <w:rFonts w:ascii="Arial" w:hAnsi="Arial" w:cs="Arial"/>
          <w:i/>
          <w:iCs/>
          <w:sz w:val="24"/>
          <w:szCs w:val="24"/>
        </w:rPr>
        <w:t>WIOA</w:t>
      </w:r>
      <w:proofErr w:type="spellEnd"/>
      <w:r w:rsidRPr="00EF73DC">
        <w:rPr>
          <w:rFonts w:ascii="Arial" w:hAnsi="Arial" w:cs="Arial"/>
          <w:i/>
          <w:iCs/>
          <w:sz w:val="24"/>
          <w:szCs w:val="24"/>
        </w:rPr>
        <w:t>.”</w:t>
      </w:r>
    </w:p>
    <w:p w:rsidR="00EF73DC" w:rsidRPr="00D15158" w:rsidRDefault="00EF73DC" w:rsidP="00191700">
      <w:pPr>
        <w:rPr>
          <w:rFonts w:ascii="Arial" w:hAnsi="Arial" w:cs="Arial"/>
          <w:sz w:val="24"/>
          <w:szCs w:val="24"/>
        </w:rPr>
      </w:pPr>
    </w:p>
    <w:p w:rsidR="00AF42FB" w:rsidRPr="00D15158" w:rsidRDefault="00D15158" w:rsidP="00EF73DC">
      <w:pPr>
        <w:spacing w:before="240"/>
        <w:rPr>
          <w:rFonts w:ascii="Arial" w:hAnsi="Arial" w:cs="Arial"/>
          <w:sz w:val="24"/>
          <w:szCs w:val="24"/>
        </w:rPr>
      </w:pPr>
      <w:r>
        <w:rPr>
          <w:rFonts w:ascii="Arial" w:hAnsi="Arial" w:cs="Arial"/>
          <w:sz w:val="24"/>
          <w:szCs w:val="24"/>
        </w:rPr>
        <w:t>Required Partner Agencies Include</w:t>
      </w:r>
      <w:r w:rsidR="00EF73DC">
        <w:rPr>
          <w:rFonts w:ascii="Arial" w:hAnsi="Arial" w:cs="Arial"/>
          <w:sz w:val="24"/>
          <w:szCs w:val="24"/>
        </w:rPr>
        <w:t xml:space="preserve"> </w:t>
      </w:r>
      <w:r w:rsidR="00EF73DC" w:rsidRPr="00EF73DC">
        <w:rPr>
          <w:rFonts w:ascii="Arial" w:hAnsi="Arial" w:cs="Arial"/>
          <w:sz w:val="24"/>
          <w:szCs w:val="24"/>
        </w:rPr>
        <w:t>(</w:t>
      </w:r>
      <w:r w:rsidR="00EF73DC" w:rsidRPr="00EF73DC">
        <w:rPr>
          <w:bCs/>
          <w:color w:val="000000"/>
          <w:sz w:val="24"/>
          <w:szCs w:val="24"/>
        </w:rPr>
        <w:t>§ 361.400)</w:t>
      </w:r>
      <w:r>
        <w:rPr>
          <w:rFonts w:ascii="Arial" w:hAnsi="Arial" w:cs="Arial"/>
          <w:sz w:val="24"/>
          <w:szCs w:val="24"/>
        </w:rPr>
        <w:t>:</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Section V of the Older Americans Act (</w:t>
      </w:r>
      <w:proofErr w:type="spellStart"/>
      <w:r w:rsidRPr="00AF42FB">
        <w:rPr>
          <w:rFonts w:ascii="Arial" w:hAnsi="Arial" w:cs="Arial"/>
          <w:sz w:val="24"/>
          <w:szCs w:val="24"/>
        </w:rPr>
        <w:t>SCSEP</w:t>
      </w:r>
      <w:proofErr w:type="spellEnd"/>
      <w:r w:rsidRPr="00AF42FB">
        <w:rPr>
          <w:rFonts w:ascii="Arial" w:hAnsi="Arial" w:cs="Arial"/>
          <w:sz w:val="24"/>
          <w:szCs w:val="24"/>
        </w:rPr>
        <w:t>)</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Carl D. Perkins Act programs (post-secondary)</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Trade Act programs</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Community Services Block Grant (</w:t>
      </w:r>
      <w:proofErr w:type="spellStart"/>
      <w:r w:rsidRPr="00AF42FB">
        <w:rPr>
          <w:rFonts w:ascii="Arial" w:hAnsi="Arial" w:cs="Arial"/>
          <w:sz w:val="24"/>
          <w:szCs w:val="24"/>
        </w:rPr>
        <w:t>CSBG</w:t>
      </w:r>
      <w:proofErr w:type="spellEnd"/>
      <w:r w:rsidRPr="00AF42FB">
        <w:rPr>
          <w:rFonts w:ascii="Arial" w:hAnsi="Arial" w:cs="Arial"/>
          <w:sz w:val="24"/>
          <w:szCs w:val="24"/>
        </w:rPr>
        <w:t>) Employment and Training programs</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Housing and Urban Development (HUD) Employment and Training programs</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Unemployment Insurance</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Veterans Services authorized under Chapter 41, Article 38</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Programs under the Second Chance Act (Corrections)</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Temporary Assistance to Needy Families (</w:t>
      </w:r>
      <w:proofErr w:type="spellStart"/>
      <w:r w:rsidRPr="00AF42FB">
        <w:rPr>
          <w:rFonts w:ascii="Arial" w:hAnsi="Arial" w:cs="Arial"/>
          <w:sz w:val="24"/>
          <w:szCs w:val="24"/>
        </w:rPr>
        <w:t>TANF</w:t>
      </w:r>
      <w:proofErr w:type="spellEnd"/>
      <w:r w:rsidRPr="00AF42FB">
        <w:rPr>
          <w:rFonts w:ascii="Arial" w:hAnsi="Arial" w:cs="Arial"/>
          <w:sz w:val="24"/>
          <w:szCs w:val="24"/>
        </w:rPr>
        <w:t>)</w:t>
      </w:r>
    </w:p>
    <w:p w:rsidR="00DA5738" w:rsidRPr="00AF42FB" w:rsidRDefault="00D15158" w:rsidP="00AF42FB">
      <w:pPr>
        <w:numPr>
          <w:ilvl w:val="0"/>
          <w:numId w:val="2"/>
        </w:numPr>
        <w:rPr>
          <w:rFonts w:ascii="Arial" w:hAnsi="Arial" w:cs="Arial"/>
          <w:sz w:val="24"/>
          <w:szCs w:val="24"/>
        </w:rPr>
      </w:pPr>
      <w:r w:rsidRPr="00AF42FB">
        <w:rPr>
          <w:rFonts w:ascii="Arial" w:hAnsi="Arial" w:cs="Arial"/>
          <w:sz w:val="24"/>
          <w:szCs w:val="24"/>
        </w:rPr>
        <w:t xml:space="preserve">Other Title I Programs (Job Corps, Migrant and Seasonal Farmworkers, Native American, </w:t>
      </w:r>
      <w:proofErr w:type="spellStart"/>
      <w:r w:rsidRPr="00AF42FB">
        <w:rPr>
          <w:rFonts w:ascii="Arial" w:hAnsi="Arial" w:cs="Arial"/>
          <w:sz w:val="24"/>
          <w:szCs w:val="24"/>
        </w:rPr>
        <w:t>YouthBuild</w:t>
      </w:r>
      <w:proofErr w:type="spellEnd"/>
      <w:r w:rsidRPr="00AF42FB">
        <w:rPr>
          <w:rFonts w:ascii="Arial" w:hAnsi="Arial" w:cs="Arial"/>
          <w:sz w:val="24"/>
          <w:szCs w:val="24"/>
        </w:rPr>
        <w:t>)</w:t>
      </w:r>
    </w:p>
    <w:p w:rsidR="00AF42FB" w:rsidRPr="00444F2E" w:rsidRDefault="00444F2E" w:rsidP="00191700">
      <w:pPr>
        <w:rPr>
          <w:rFonts w:ascii="Arial" w:hAnsi="Arial" w:cs="Arial"/>
          <w:sz w:val="24"/>
          <w:szCs w:val="24"/>
        </w:rPr>
      </w:pPr>
      <w:proofErr w:type="spellStart"/>
      <w:r>
        <w:rPr>
          <w:rFonts w:ascii="Arial" w:hAnsi="Arial" w:cs="Arial"/>
          <w:sz w:val="24"/>
          <w:szCs w:val="24"/>
        </w:rPr>
        <w:t>LWDBs</w:t>
      </w:r>
      <w:proofErr w:type="spellEnd"/>
      <w:r>
        <w:rPr>
          <w:rFonts w:ascii="Arial" w:hAnsi="Arial" w:cs="Arial"/>
          <w:sz w:val="24"/>
          <w:szCs w:val="24"/>
        </w:rPr>
        <w:t xml:space="preserve"> </w:t>
      </w:r>
      <w:r w:rsidR="001C557D">
        <w:rPr>
          <w:rFonts w:ascii="Arial" w:hAnsi="Arial" w:cs="Arial"/>
          <w:sz w:val="24"/>
          <w:szCs w:val="24"/>
        </w:rPr>
        <w:t xml:space="preserve">(Local Workforce Development Boards) </w:t>
      </w:r>
      <w:r>
        <w:rPr>
          <w:rFonts w:ascii="Arial" w:hAnsi="Arial" w:cs="Arial"/>
          <w:sz w:val="24"/>
          <w:szCs w:val="24"/>
        </w:rPr>
        <w:t>are encouraged in the Act and the regulations to engage other agencies as well, in establishing the strongest possible Career Pathway system to meet the community business needs and fully engage the skills and talents of all who live in the community.</w:t>
      </w:r>
    </w:p>
    <w:p w:rsidR="00076460" w:rsidRPr="00191700" w:rsidRDefault="00076460" w:rsidP="00191700">
      <w:pPr>
        <w:rPr>
          <w:rFonts w:ascii="Arial" w:hAnsi="Arial" w:cs="Arial"/>
          <w:sz w:val="24"/>
          <w:szCs w:val="24"/>
          <w:u w:val="single"/>
        </w:rPr>
      </w:pPr>
    </w:p>
    <w:p w:rsidR="00191700" w:rsidRPr="00CB6975" w:rsidRDefault="00191700" w:rsidP="00CB6975">
      <w:pPr>
        <w:pStyle w:val="Heading2"/>
        <w:rPr>
          <w:rFonts w:ascii="Arial" w:hAnsi="Arial" w:cs="Arial"/>
          <w:b/>
          <w:color w:val="auto"/>
          <w:sz w:val="24"/>
          <w:szCs w:val="24"/>
        </w:rPr>
      </w:pPr>
      <w:r w:rsidRPr="00CB6975">
        <w:rPr>
          <w:rFonts w:ascii="Arial" w:hAnsi="Arial" w:cs="Arial"/>
          <w:b/>
          <w:color w:val="auto"/>
          <w:sz w:val="24"/>
          <w:szCs w:val="24"/>
        </w:rPr>
        <w:lastRenderedPageBreak/>
        <w:t>Considerations:</w:t>
      </w:r>
    </w:p>
    <w:p w:rsidR="00191700" w:rsidRDefault="00191700" w:rsidP="00191700">
      <w:pPr>
        <w:rPr>
          <w:rFonts w:ascii="Arial" w:hAnsi="Arial" w:cs="Arial"/>
          <w:sz w:val="24"/>
          <w:szCs w:val="24"/>
          <w:u w:val="single"/>
        </w:rPr>
      </w:pPr>
      <w:r>
        <w:rPr>
          <w:rFonts w:ascii="Arial" w:hAnsi="Arial" w:cs="Arial"/>
          <w:sz w:val="24"/>
          <w:szCs w:val="24"/>
          <w:u w:val="single"/>
        </w:rPr>
        <w:t>Single Region or Multiple Region States</w:t>
      </w:r>
    </w:p>
    <w:p w:rsidR="001C557D" w:rsidRDefault="001C557D" w:rsidP="00191700">
      <w:pPr>
        <w:rPr>
          <w:rFonts w:ascii="Arial" w:hAnsi="Arial" w:cs="Arial"/>
          <w:sz w:val="24"/>
          <w:szCs w:val="24"/>
        </w:rPr>
      </w:pPr>
      <w:r>
        <w:rPr>
          <w:rFonts w:ascii="Arial" w:hAnsi="Arial" w:cs="Arial"/>
          <w:sz w:val="24"/>
          <w:szCs w:val="24"/>
        </w:rPr>
        <w:t>There are a few states that are established as “single region” states, while most</w:t>
      </w:r>
      <w:r w:rsidR="00D27896">
        <w:rPr>
          <w:rFonts w:ascii="Arial" w:hAnsi="Arial" w:cs="Arial"/>
          <w:sz w:val="24"/>
          <w:szCs w:val="24"/>
        </w:rPr>
        <w:t xml:space="preserve"> states have multiple regions. </w:t>
      </w:r>
      <w:r>
        <w:rPr>
          <w:rFonts w:ascii="Arial" w:hAnsi="Arial" w:cs="Arial"/>
          <w:sz w:val="24"/>
          <w:szCs w:val="24"/>
        </w:rPr>
        <w:t xml:space="preserve">Where </w:t>
      </w:r>
      <w:r w:rsidR="00871973">
        <w:rPr>
          <w:rFonts w:ascii="Arial" w:hAnsi="Arial" w:cs="Arial"/>
          <w:sz w:val="24"/>
          <w:szCs w:val="24"/>
        </w:rPr>
        <w:t>states have</w:t>
      </w:r>
      <w:r>
        <w:rPr>
          <w:rFonts w:ascii="Arial" w:hAnsi="Arial" w:cs="Arial"/>
          <w:sz w:val="24"/>
          <w:szCs w:val="24"/>
        </w:rPr>
        <w:t xml:space="preserve"> multiple regions</w:t>
      </w:r>
      <w:r w:rsidR="00B5382E">
        <w:rPr>
          <w:rFonts w:ascii="Arial" w:hAnsi="Arial" w:cs="Arial"/>
          <w:sz w:val="24"/>
          <w:szCs w:val="24"/>
        </w:rPr>
        <w:t>, the structure and guidance as described for local boards and their responsibilities for planning, oversight</w:t>
      </w:r>
      <w:r w:rsidR="00D27896">
        <w:rPr>
          <w:rFonts w:ascii="Arial" w:hAnsi="Arial" w:cs="Arial"/>
          <w:sz w:val="24"/>
          <w:szCs w:val="24"/>
        </w:rPr>
        <w:t>,</w:t>
      </w:r>
      <w:r w:rsidR="00B5382E">
        <w:rPr>
          <w:rFonts w:ascii="Arial" w:hAnsi="Arial" w:cs="Arial"/>
          <w:sz w:val="24"/>
          <w:szCs w:val="24"/>
        </w:rPr>
        <w:t xml:space="preserve"> and establishing the American Job Center (AJC) system through the local Memora</w:t>
      </w:r>
      <w:r w:rsidR="00D27896">
        <w:rPr>
          <w:rFonts w:ascii="Arial" w:hAnsi="Arial" w:cs="Arial"/>
          <w:sz w:val="24"/>
          <w:szCs w:val="24"/>
        </w:rPr>
        <w:t xml:space="preserve">ndum of Understanding applies. </w:t>
      </w:r>
      <w:r w:rsidR="00B5382E">
        <w:rPr>
          <w:rFonts w:ascii="Arial" w:hAnsi="Arial" w:cs="Arial"/>
          <w:sz w:val="24"/>
          <w:szCs w:val="24"/>
        </w:rPr>
        <w:t xml:space="preserve">For those States with single regions, </w:t>
      </w:r>
      <w:proofErr w:type="spellStart"/>
      <w:r w:rsidR="00B5382E">
        <w:rPr>
          <w:rFonts w:ascii="Arial" w:hAnsi="Arial" w:cs="Arial"/>
          <w:sz w:val="24"/>
          <w:szCs w:val="24"/>
        </w:rPr>
        <w:t>WIOA</w:t>
      </w:r>
      <w:proofErr w:type="spellEnd"/>
      <w:r w:rsidR="00B5382E">
        <w:rPr>
          <w:rFonts w:ascii="Arial" w:hAnsi="Arial" w:cs="Arial"/>
          <w:sz w:val="24"/>
          <w:szCs w:val="24"/>
        </w:rPr>
        <w:t xml:space="preserve"> specifies that the State Board will assume the local board role (Section 107 of the Act) with the exception of negotiating and reporting “local” performance.</w:t>
      </w:r>
    </w:p>
    <w:p w:rsidR="00FC0AA2" w:rsidRPr="001C557D" w:rsidRDefault="00FC0AA2" w:rsidP="00191700">
      <w:pPr>
        <w:rPr>
          <w:rFonts w:ascii="Arial" w:hAnsi="Arial" w:cs="Arial"/>
          <w:sz w:val="24"/>
          <w:szCs w:val="24"/>
        </w:rPr>
      </w:pPr>
    </w:p>
    <w:p w:rsidR="00191700" w:rsidRDefault="00191700" w:rsidP="00191700">
      <w:pPr>
        <w:rPr>
          <w:rFonts w:ascii="Arial" w:hAnsi="Arial" w:cs="Arial"/>
          <w:sz w:val="24"/>
          <w:szCs w:val="24"/>
          <w:u w:val="single"/>
        </w:rPr>
      </w:pPr>
      <w:r>
        <w:rPr>
          <w:rFonts w:ascii="Arial" w:hAnsi="Arial" w:cs="Arial"/>
          <w:sz w:val="24"/>
          <w:szCs w:val="24"/>
          <w:u w:val="single"/>
        </w:rPr>
        <w:t xml:space="preserve">What are the Benefits to the Vocational Rehabilitation Agency by having a strong </w:t>
      </w:r>
      <w:proofErr w:type="spellStart"/>
      <w:r>
        <w:rPr>
          <w:rFonts w:ascii="Arial" w:hAnsi="Arial" w:cs="Arial"/>
          <w:sz w:val="24"/>
          <w:szCs w:val="24"/>
          <w:u w:val="single"/>
        </w:rPr>
        <w:t>MOU</w:t>
      </w:r>
      <w:proofErr w:type="spellEnd"/>
      <w:r>
        <w:rPr>
          <w:rFonts w:ascii="Arial" w:hAnsi="Arial" w:cs="Arial"/>
          <w:sz w:val="24"/>
          <w:szCs w:val="24"/>
          <w:u w:val="single"/>
        </w:rPr>
        <w:t>?</w:t>
      </w:r>
    </w:p>
    <w:p w:rsidR="001C557D" w:rsidRDefault="00345248" w:rsidP="00191700">
      <w:pPr>
        <w:rPr>
          <w:rFonts w:ascii="Arial" w:hAnsi="Arial" w:cs="Arial"/>
          <w:sz w:val="24"/>
          <w:szCs w:val="24"/>
        </w:rPr>
      </w:pPr>
      <w:r>
        <w:rPr>
          <w:rFonts w:ascii="Arial" w:hAnsi="Arial" w:cs="Arial"/>
          <w:sz w:val="24"/>
          <w:szCs w:val="24"/>
        </w:rPr>
        <w:t xml:space="preserve">A strong local </w:t>
      </w:r>
      <w:proofErr w:type="spellStart"/>
      <w:r>
        <w:rPr>
          <w:rFonts w:ascii="Arial" w:hAnsi="Arial" w:cs="Arial"/>
          <w:sz w:val="24"/>
          <w:szCs w:val="24"/>
        </w:rPr>
        <w:t>MOU</w:t>
      </w:r>
      <w:proofErr w:type="spellEnd"/>
      <w:r>
        <w:rPr>
          <w:rFonts w:ascii="Arial" w:hAnsi="Arial" w:cs="Arial"/>
          <w:sz w:val="24"/>
          <w:szCs w:val="24"/>
        </w:rPr>
        <w:t xml:space="preserve"> establishes a number of things that facilitate the ability of the VR agency to meet its objectives. Among them:</w:t>
      </w:r>
    </w:p>
    <w:p w:rsidR="00345248" w:rsidRDefault="00345248" w:rsidP="00345248">
      <w:pPr>
        <w:pStyle w:val="ListParagraph"/>
        <w:numPr>
          <w:ilvl w:val="0"/>
          <w:numId w:val="8"/>
        </w:numPr>
        <w:rPr>
          <w:rFonts w:ascii="Arial" w:hAnsi="Arial" w:cs="Arial"/>
        </w:rPr>
      </w:pPr>
      <w:r>
        <w:rPr>
          <w:rFonts w:ascii="Arial" w:hAnsi="Arial" w:cs="Arial"/>
        </w:rPr>
        <w:t xml:space="preserve">The process in developing and articulating an integrated and aligned service system for job seeking customers establishes means in which the expertise of the VR professionals can be engaged to improve the AJC’s overall impact for </w:t>
      </w:r>
      <w:r w:rsidR="00FC0AA2">
        <w:rPr>
          <w:rFonts w:ascii="Arial" w:hAnsi="Arial" w:cs="Arial"/>
        </w:rPr>
        <w:t>these</w:t>
      </w:r>
      <w:r w:rsidR="00D27896">
        <w:rPr>
          <w:rFonts w:ascii="Arial" w:hAnsi="Arial" w:cs="Arial"/>
        </w:rPr>
        <w:t xml:space="preserve"> customers. </w:t>
      </w:r>
      <w:r>
        <w:rPr>
          <w:rFonts w:ascii="Arial" w:hAnsi="Arial" w:cs="Arial"/>
        </w:rPr>
        <w:t>The increased responsiveness to these customers by the great</w:t>
      </w:r>
      <w:r w:rsidR="00077BE6">
        <w:rPr>
          <w:rFonts w:ascii="Arial" w:hAnsi="Arial" w:cs="Arial"/>
        </w:rPr>
        <w:t>er system can improve service outcomes for customers enrolled in VR services, and the ability of the agency to serve more individuals.</w:t>
      </w:r>
    </w:p>
    <w:p w:rsidR="00077BE6" w:rsidRDefault="00077BE6" w:rsidP="00345248">
      <w:pPr>
        <w:pStyle w:val="ListParagraph"/>
        <w:numPr>
          <w:ilvl w:val="0"/>
          <w:numId w:val="8"/>
        </w:numPr>
        <w:rPr>
          <w:rFonts w:ascii="Arial" w:hAnsi="Arial" w:cs="Arial"/>
        </w:rPr>
      </w:pPr>
      <w:r>
        <w:rPr>
          <w:rFonts w:ascii="Arial" w:hAnsi="Arial" w:cs="Arial"/>
        </w:rPr>
        <w:t xml:space="preserve">Expectations of how agencies share costs for operations and service are clarified. A good agreement will allow to ability for </w:t>
      </w:r>
      <w:r w:rsidR="00FC0AA2">
        <w:rPr>
          <w:rFonts w:ascii="Arial" w:hAnsi="Arial" w:cs="Arial"/>
        </w:rPr>
        <w:t xml:space="preserve">agencies to make changes </w:t>
      </w:r>
      <w:r>
        <w:rPr>
          <w:rFonts w:ascii="Arial" w:hAnsi="Arial" w:cs="Arial"/>
        </w:rPr>
        <w:t xml:space="preserve">as customer and economic conditions </w:t>
      </w:r>
      <w:r w:rsidR="00FC0AA2">
        <w:rPr>
          <w:rFonts w:ascii="Arial" w:hAnsi="Arial" w:cs="Arial"/>
        </w:rPr>
        <w:t>change, as well as possible changes</w:t>
      </w:r>
      <w:r>
        <w:rPr>
          <w:rFonts w:ascii="Arial" w:hAnsi="Arial" w:cs="Arial"/>
        </w:rPr>
        <w:t xml:space="preserve"> within the different funding streams.</w:t>
      </w:r>
    </w:p>
    <w:p w:rsidR="00077BE6" w:rsidRDefault="00077BE6" w:rsidP="00345248">
      <w:pPr>
        <w:pStyle w:val="ListParagraph"/>
        <w:numPr>
          <w:ilvl w:val="0"/>
          <w:numId w:val="8"/>
        </w:numPr>
        <w:rPr>
          <w:rFonts w:ascii="Arial" w:hAnsi="Arial" w:cs="Arial"/>
        </w:rPr>
      </w:pPr>
      <w:r>
        <w:rPr>
          <w:rFonts w:ascii="Arial" w:hAnsi="Arial" w:cs="Arial"/>
        </w:rPr>
        <w:t xml:space="preserve">The development of a collaborative business service team can be </w:t>
      </w:r>
      <w:r w:rsidR="00D27896">
        <w:rPr>
          <w:rFonts w:ascii="Arial" w:hAnsi="Arial" w:cs="Arial"/>
        </w:rPr>
        <w:t xml:space="preserve">articulated in this agreement. </w:t>
      </w:r>
      <w:r>
        <w:rPr>
          <w:rFonts w:ascii="Arial" w:hAnsi="Arial" w:cs="Arial"/>
        </w:rPr>
        <w:t>This process reinforces the expertise offered by the VR agency to all business sectors operating in the region.</w:t>
      </w:r>
    </w:p>
    <w:p w:rsidR="00FC0AA2" w:rsidRDefault="00FC0AA2" w:rsidP="00345248">
      <w:pPr>
        <w:pStyle w:val="ListParagraph"/>
        <w:numPr>
          <w:ilvl w:val="0"/>
          <w:numId w:val="8"/>
        </w:numPr>
        <w:rPr>
          <w:rFonts w:ascii="Arial" w:hAnsi="Arial" w:cs="Arial"/>
        </w:rPr>
      </w:pPr>
      <w:r>
        <w:rPr>
          <w:rFonts w:ascii="Arial" w:hAnsi="Arial" w:cs="Arial"/>
        </w:rPr>
        <w:t>Clear expectations are established across the system on topics including:</w:t>
      </w:r>
    </w:p>
    <w:p w:rsidR="00FC0AA2" w:rsidRDefault="00FC0AA2" w:rsidP="00FC0AA2">
      <w:pPr>
        <w:pStyle w:val="ListParagraph"/>
        <w:numPr>
          <w:ilvl w:val="1"/>
          <w:numId w:val="8"/>
        </w:numPr>
        <w:rPr>
          <w:rFonts w:ascii="Arial" w:hAnsi="Arial" w:cs="Arial"/>
        </w:rPr>
      </w:pPr>
      <w:r>
        <w:rPr>
          <w:rFonts w:ascii="Arial" w:hAnsi="Arial" w:cs="Arial"/>
        </w:rPr>
        <w:t>Disability disclosure</w:t>
      </w:r>
    </w:p>
    <w:p w:rsidR="00FC0AA2" w:rsidRDefault="00FC0AA2" w:rsidP="00FC0AA2">
      <w:pPr>
        <w:pStyle w:val="ListParagraph"/>
        <w:numPr>
          <w:ilvl w:val="1"/>
          <w:numId w:val="8"/>
        </w:numPr>
        <w:rPr>
          <w:rFonts w:ascii="Arial" w:hAnsi="Arial" w:cs="Arial"/>
        </w:rPr>
      </w:pPr>
      <w:r>
        <w:rPr>
          <w:rFonts w:ascii="Arial" w:hAnsi="Arial" w:cs="Arial"/>
        </w:rPr>
        <w:t>Service accommodation</w:t>
      </w:r>
    </w:p>
    <w:p w:rsidR="00FC0AA2" w:rsidRDefault="00FC0AA2" w:rsidP="00FC0AA2">
      <w:pPr>
        <w:pStyle w:val="ListParagraph"/>
        <w:numPr>
          <w:ilvl w:val="1"/>
          <w:numId w:val="8"/>
        </w:numPr>
        <w:rPr>
          <w:rFonts w:ascii="Arial" w:hAnsi="Arial" w:cs="Arial"/>
        </w:rPr>
      </w:pPr>
      <w:r>
        <w:rPr>
          <w:rFonts w:ascii="Arial" w:hAnsi="Arial" w:cs="Arial"/>
        </w:rPr>
        <w:t>How customers are “shared” across agencies within the system, including strategies for shared case management.</w:t>
      </w:r>
    </w:p>
    <w:p w:rsidR="00FC0AA2" w:rsidRDefault="00FC0AA2" w:rsidP="00FC0AA2">
      <w:pPr>
        <w:pStyle w:val="ListParagraph"/>
        <w:numPr>
          <w:ilvl w:val="1"/>
          <w:numId w:val="8"/>
        </w:numPr>
        <w:rPr>
          <w:rFonts w:ascii="Arial" w:hAnsi="Arial" w:cs="Arial"/>
        </w:rPr>
      </w:pPr>
      <w:r>
        <w:rPr>
          <w:rFonts w:ascii="Arial" w:hAnsi="Arial" w:cs="Arial"/>
        </w:rPr>
        <w:t>Data sharing</w:t>
      </w:r>
    </w:p>
    <w:p w:rsidR="00FC0AA2" w:rsidRDefault="00FC0AA2" w:rsidP="00FC0AA2">
      <w:pPr>
        <w:pStyle w:val="ListParagraph"/>
        <w:numPr>
          <w:ilvl w:val="1"/>
          <w:numId w:val="8"/>
        </w:numPr>
        <w:rPr>
          <w:rFonts w:ascii="Arial" w:hAnsi="Arial" w:cs="Arial"/>
        </w:rPr>
      </w:pPr>
      <w:proofErr w:type="spellStart"/>
      <w:r>
        <w:rPr>
          <w:rFonts w:ascii="Arial" w:hAnsi="Arial" w:cs="Arial"/>
        </w:rPr>
        <w:t>SSA</w:t>
      </w:r>
      <w:proofErr w:type="spellEnd"/>
      <w:r>
        <w:rPr>
          <w:rFonts w:ascii="Arial" w:hAnsi="Arial" w:cs="Arial"/>
        </w:rPr>
        <w:t xml:space="preserve"> Ticket to Work Assignment (if there are multiple </w:t>
      </w:r>
      <w:proofErr w:type="spellStart"/>
      <w:r>
        <w:rPr>
          <w:rFonts w:ascii="Arial" w:hAnsi="Arial" w:cs="Arial"/>
        </w:rPr>
        <w:t>ENs</w:t>
      </w:r>
      <w:proofErr w:type="spellEnd"/>
      <w:r>
        <w:rPr>
          <w:rFonts w:ascii="Arial" w:hAnsi="Arial" w:cs="Arial"/>
        </w:rPr>
        <w:t xml:space="preserve"> operating within the AJC)</w:t>
      </w:r>
    </w:p>
    <w:p w:rsidR="00FC0AA2" w:rsidRDefault="00FC0AA2" w:rsidP="00FC0AA2">
      <w:pPr>
        <w:pStyle w:val="ListParagraph"/>
        <w:numPr>
          <w:ilvl w:val="1"/>
          <w:numId w:val="8"/>
        </w:numPr>
        <w:rPr>
          <w:rFonts w:ascii="Arial" w:hAnsi="Arial" w:cs="Arial"/>
        </w:rPr>
      </w:pPr>
      <w:r>
        <w:rPr>
          <w:rFonts w:ascii="Arial" w:hAnsi="Arial" w:cs="Arial"/>
        </w:rPr>
        <w:t>Support for strategies that increase the opportunity for individuals with disabilities to benefit from the common Career Pathway strategies including:</w:t>
      </w:r>
    </w:p>
    <w:p w:rsidR="00FC0AA2" w:rsidRDefault="00FC0AA2" w:rsidP="00FC0AA2">
      <w:pPr>
        <w:pStyle w:val="ListParagraph"/>
        <w:numPr>
          <w:ilvl w:val="2"/>
          <w:numId w:val="8"/>
        </w:numPr>
        <w:rPr>
          <w:rFonts w:ascii="Arial" w:hAnsi="Arial" w:cs="Arial"/>
        </w:rPr>
      </w:pPr>
      <w:proofErr w:type="spellStart"/>
      <w:r>
        <w:rPr>
          <w:rFonts w:ascii="Arial" w:hAnsi="Arial" w:cs="Arial"/>
        </w:rPr>
        <w:t>SSA</w:t>
      </w:r>
      <w:proofErr w:type="spellEnd"/>
      <w:r>
        <w:rPr>
          <w:rFonts w:ascii="Arial" w:hAnsi="Arial" w:cs="Arial"/>
        </w:rPr>
        <w:t xml:space="preserve"> disability benefits advisement and planning</w:t>
      </w:r>
    </w:p>
    <w:p w:rsidR="00FC0AA2" w:rsidRDefault="00FC0AA2" w:rsidP="00FC0AA2">
      <w:pPr>
        <w:pStyle w:val="ListParagraph"/>
        <w:numPr>
          <w:ilvl w:val="2"/>
          <w:numId w:val="8"/>
        </w:numPr>
        <w:rPr>
          <w:rFonts w:ascii="Arial" w:hAnsi="Arial" w:cs="Arial"/>
        </w:rPr>
      </w:pPr>
      <w:r>
        <w:rPr>
          <w:rFonts w:ascii="Arial" w:hAnsi="Arial" w:cs="Arial"/>
        </w:rPr>
        <w:t>Customized and Supported Employment services</w:t>
      </w:r>
    </w:p>
    <w:p w:rsidR="00FC0AA2" w:rsidRDefault="00FC0AA2" w:rsidP="00FC0AA2">
      <w:pPr>
        <w:pStyle w:val="ListParagraph"/>
        <w:numPr>
          <w:ilvl w:val="2"/>
          <w:numId w:val="8"/>
        </w:numPr>
        <w:rPr>
          <w:rFonts w:ascii="Arial" w:hAnsi="Arial" w:cs="Arial"/>
        </w:rPr>
      </w:pPr>
      <w:r>
        <w:rPr>
          <w:rFonts w:ascii="Arial" w:hAnsi="Arial" w:cs="Arial"/>
        </w:rPr>
        <w:t>Financial education and planning</w:t>
      </w:r>
    </w:p>
    <w:p w:rsidR="00077BE6" w:rsidRPr="00077BE6" w:rsidRDefault="00077BE6" w:rsidP="00077BE6">
      <w:pPr>
        <w:rPr>
          <w:rFonts w:ascii="Arial" w:hAnsi="Arial" w:cs="Arial"/>
        </w:rPr>
      </w:pPr>
    </w:p>
    <w:p w:rsidR="00076460" w:rsidRPr="00191700" w:rsidRDefault="00D47A21" w:rsidP="00191700">
      <w:pPr>
        <w:rPr>
          <w:rFonts w:ascii="Arial" w:hAnsi="Arial" w:cs="Arial"/>
          <w:sz w:val="24"/>
          <w:szCs w:val="24"/>
          <w:u w:val="single"/>
        </w:rPr>
      </w:pPr>
      <w:r>
        <w:rPr>
          <w:rFonts w:ascii="Arial" w:hAnsi="Arial" w:cs="Arial"/>
          <w:sz w:val="24"/>
          <w:szCs w:val="24"/>
          <w:u w:val="single"/>
        </w:rPr>
        <w:lastRenderedPageBreak/>
        <w:t>How is guidance p</w:t>
      </w:r>
      <w:r w:rsidR="00076460">
        <w:rPr>
          <w:rFonts w:ascii="Arial" w:hAnsi="Arial" w:cs="Arial"/>
          <w:sz w:val="24"/>
          <w:szCs w:val="24"/>
          <w:u w:val="single"/>
        </w:rPr>
        <w:t xml:space="preserve">rovided to Local Workforce Development Boards in developing these </w:t>
      </w:r>
      <w:proofErr w:type="spellStart"/>
      <w:r w:rsidR="00076460">
        <w:rPr>
          <w:rFonts w:ascii="Arial" w:hAnsi="Arial" w:cs="Arial"/>
          <w:sz w:val="24"/>
          <w:szCs w:val="24"/>
          <w:u w:val="single"/>
        </w:rPr>
        <w:t>MOU’s</w:t>
      </w:r>
      <w:proofErr w:type="spellEnd"/>
      <w:r w:rsidR="00076460">
        <w:rPr>
          <w:rFonts w:ascii="Arial" w:hAnsi="Arial" w:cs="Arial"/>
          <w:sz w:val="24"/>
          <w:szCs w:val="24"/>
          <w:u w:val="single"/>
        </w:rPr>
        <w:t xml:space="preserve"> with Partner Agencies</w:t>
      </w:r>
      <w:r>
        <w:rPr>
          <w:rFonts w:ascii="Arial" w:hAnsi="Arial" w:cs="Arial"/>
          <w:sz w:val="24"/>
          <w:szCs w:val="24"/>
          <w:u w:val="single"/>
        </w:rPr>
        <w:t xml:space="preserve"> in your state</w:t>
      </w:r>
      <w:r w:rsidR="00076460">
        <w:rPr>
          <w:rFonts w:ascii="Arial" w:hAnsi="Arial" w:cs="Arial"/>
          <w:sz w:val="24"/>
          <w:szCs w:val="24"/>
          <w:u w:val="single"/>
        </w:rPr>
        <w:t>?</w:t>
      </w:r>
    </w:p>
    <w:p w:rsidR="00076460" w:rsidRDefault="0063597C" w:rsidP="00191700">
      <w:pPr>
        <w:rPr>
          <w:rFonts w:ascii="Arial" w:hAnsi="Arial" w:cs="Arial"/>
          <w:sz w:val="24"/>
          <w:szCs w:val="24"/>
        </w:rPr>
      </w:pPr>
      <w:r>
        <w:rPr>
          <w:rFonts w:ascii="Arial" w:hAnsi="Arial" w:cs="Arial"/>
          <w:sz w:val="24"/>
          <w:szCs w:val="24"/>
        </w:rPr>
        <w:t xml:space="preserve">For those states with multiple regions, there are individual Local Workforce Development Boards for each region. Each of these boards receives guidance from your Governor through the State Board that support them in the development of their </w:t>
      </w:r>
      <w:proofErr w:type="spellStart"/>
      <w:r>
        <w:rPr>
          <w:rFonts w:ascii="Arial" w:hAnsi="Arial" w:cs="Arial"/>
          <w:sz w:val="24"/>
          <w:szCs w:val="24"/>
        </w:rPr>
        <w:t>MOU’s</w:t>
      </w:r>
      <w:proofErr w:type="spellEnd"/>
      <w:r>
        <w:rPr>
          <w:rFonts w:ascii="Arial" w:hAnsi="Arial" w:cs="Arial"/>
          <w:sz w:val="24"/>
          <w:szCs w:val="24"/>
        </w:rPr>
        <w:t xml:space="preserve"> with Core, Required and Other workforce partner agencies.  </w:t>
      </w:r>
    </w:p>
    <w:p w:rsidR="0063597C" w:rsidRDefault="0063597C" w:rsidP="00191700">
      <w:pPr>
        <w:rPr>
          <w:rFonts w:ascii="Arial" w:hAnsi="Arial" w:cs="Arial"/>
          <w:sz w:val="24"/>
          <w:szCs w:val="24"/>
        </w:rPr>
      </w:pPr>
      <w:r>
        <w:rPr>
          <w:rFonts w:ascii="Arial" w:hAnsi="Arial" w:cs="Arial"/>
          <w:sz w:val="24"/>
          <w:szCs w:val="24"/>
        </w:rPr>
        <w:t xml:space="preserve">At the state level, in many states, the Core Partner agencies work with the State Board to develop this guidance to the local boards. Strong participation by the </w:t>
      </w:r>
      <w:proofErr w:type="spellStart"/>
      <w:r>
        <w:rPr>
          <w:rFonts w:ascii="Arial" w:hAnsi="Arial" w:cs="Arial"/>
          <w:sz w:val="24"/>
          <w:szCs w:val="24"/>
        </w:rPr>
        <w:t>SVRA</w:t>
      </w:r>
      <w:proofErr w:type="spellEnd"/>
      <w:r>
        <w:rPr>
          <w:rFonts w:ascii="Arial" w:hAnsi="Arial" w:cs="Arial"/>
          <w:sz w:val="24"/>
          <w:szCs w:val="24"/>
        </w:rPr>
        <w:t xml:space="preserve"> in the development of this guidance is strongly advised for </w:t>
      </w:r>
      <w:r w:rsidR="00F72ECD">
        <w:rPr>
          <w:rFonts w:ascii="Arial" w:hAnsi="Arial" w:cs="Arial"/>
          <w:sz w:val="24"/>
          <w:szCs w:val="24"/>
        </w:rPr>
        <w:t>a number of reasons, including:</w:t>
      </w:r>
    </w:p>
    <w:p w:rsidR="0063597C" w:rsidRDefault="0063597C" w:rsidP="0063597C">
      <w:pPr>
        <w:pStyle w:val="ListParagraph"/>
        <w:numPr>
          <w:ilvl w:val="0"/>
          <w:numId w:val="9"/>
        </w:numPr>
        <w:rPr>
          <w:rFonts w:ascii="Arial" w:hAnsi="Arial" w:cs="Arial"/>
        </w:rPr>
      </w:pPr>
      <w:r>
        <w:rPr>
          <w:rFonts w:ascii="Arial" w:hAnsi="Arial" w:cs="Arial"/>
        </w:rPr>
        <w:t xml:space="preserve">Cost and Resource Agreements (referred to in guidance as “Infrastructure </w:t>
      </w:r>
      <w:r w:rsidR="00F72ECD">
        <w:rPr>
          <w:rFonts w:ascii="Arial" w:hAnsi="Arial" w:cs="Arial"/>
        </w:rPr>
        <w:t xml:space="preserve">Funding </w:t>
      </w:r>
      <w:r>
        <w:rPr>
          <w:rFonts w:ascii="Arial" w:hAnsi="Arial" w:cs="Arial"/>
        </w:rPr>
        <w:t>Agreements” (</w:t>
      </w:r>
      <w:proofErr w:type="spellStart"/>
      <w:r w:rsidR="00F72ECD">
        <w:rPr>
          <w:rFonts w:ascii="Arial" w:hAnsi="Arial" w:cs="Arial"/>
        </w:rPr>
        <w:t>IFAs</w:t>
      </w:r>
      <w:proofErr w:type="spellEnd"/>
      <w:r>
        <w:rPr>
          <w:rFonts w:ascii="Arial" w:hAnsi="Arial" w:cs="Arial"/>
        </w:rPr>
        <w:t>) will be developed within a structure that is permissible within the federal guidance provided to the Core partner agencies. This will facilitate the overall agreement and approval process.</w:t>
      </w:r>
    </w:p>
    <w:p w:rsidR="0063597C" w:rsidRDefault="0063597C" w:rsidP="0063597C">
      <w:pPr>
        <w:pStyle w:val="ListParagraph"/>
        <w:numPr>
          <w:ilvl w:val="0"/>
          <w:numId w:val="9"/>
        </w:numPr>
        <w:rPr>
          <w:rFonts w:ascii="Arial" w:hAnsi="Arial" w:cs="Arial"/>
        </w:rPr>
      </w:pPr>
      <w:r>
        <w:rPr>
          <w:rFonts w:ascii="Arial" w:hAnsi="Arial" w:cs="Arial"/>
        </w:rPr>
        <w:t xml:space="preserve">Common structure </w:t>
      </w:r>
      <w:r w:rsidR="00F72ECD">
        <w:rPr>
          <w:rFonts w:ascii="Arial" w:hAnsi="Arial" w:cs="Arial"/>
        </w:rPr>
        <w:t xml:space="preserve">can be suggested </w:t>
      </w:r>
      <w:r>
        <w:rPr>
          <w:rFonts w:ascii="Arial" w:hAnsi="Arial" w:cs="Arial"/>
        </w:rPr>
        <w:t>to support cross agency customer strategies</w:t>
      </w:r>
      <w:r w:rsidR="00F72ECD">
        <w:rPr>
          <w:rFonts w:ascii="Arial" w:hAnsi="Arial" w:cs="Arial"/>
        </w:rPr>
        <w:t xml:space="preserve"> known to increase customer outcomes</w:t>
      </w:r>
      <w:r w:rsidR="00D27896">
        <w:rPr>
          <w:rFonts w:ascii="Arial" w:hAnsi="Arial" w:cs="Arial"/>
        </w:rPr>
        <w:t>.</w:t>
      </w:r>
    </w:p>
    <w:p w:rsidR="00F72ECD" w:rsidRDefault="00F72ECD" w:rsidP="0063597C">
      <w:pPr>
        <w:pStyle w:val="ListParagraph"/>
        <w:numPr>
          <w:ilvl w:val="0"/>
          <w:numId w:val="9"/>
        </w:numPr>
        <w:rPr>
          <w:rFonts w:ascii="Arial" w:hAnsi="Arial" w:cs="Arial"/>
        </w:rPr>
      </w:pPr>
      <w:r>
        <w:rPr>
          <w:rFonts w:ascii="Arial" w:hAnsi="Arial" w:cs="Arial"/>
        </w:rPr>
        <w:t xml:space="preserve">Ability of the </w:t>
      </w:r>
      <w:proofErr w:type="spellStart"/>
      <w:r>
        <w:rPr>
          <w:rFonts w:ascii="Arial" w:hAnsi="Arial" w:cs="Arial"/>
        </w:rPr>
        <w:t>SVRA</w:t>
      </w:r>
      <w:proofErr w:type="spellEnd"/>
      <w:r>
        <w:rPr>
          <w:rFonts w:ascii="Arial" w:hAnsi="Arial" w:cs="Arial"/>
        </w:rPr>
        <w:t xml:space="preserve"> as a Core Partner agency to impact the physical and programmatic access of the AJC’s Career Pathway model for individuals with disabilities.</w:t>
      </w:r>
    </w:p>
    <w:p w:rsidR="00572B14" w:rsidRDefault="00572B14" w:rsidP="00572B14">
      <w:pPr>
        <w:rPr>
          <w:rFonts w:ascii="Arial" w:hAnsi="Arial" w:cs="Arial"/>
        </w:rPr>
      </w:pPr>
    </w:p>
    <w:p w:rsidR="00572B14" w:rsidRPr="00572B14" w:rsidRDefault="00572B14" w:rsidP="00572B14">
      <w:pPr>
        <w:rPr>
          <w:rFonts w:ascii="Arial" w:hAnsi="Arial" w:cs="Arial"/>
          <w:sz w:val="24"/>
          <w:szCs w:val="24"/>
        </w:rPr>
      </w:pPr>
      <w:r>
        <w:rPr>
          <w:rFonts w:ascii="Arial" w:hAnsi="Arial" w:cs="Arial"/>
          <w:sz w:val="24"/>
          <w:szCs w:val="24"/>
        </w:rPr>
        <w:t xml:space="preserve">Massachusetts is an example of a state where the Core Partners worked with the State Board to establish guidance for </w:t>
      </w:r>
      <w:proofErr w:type="spellStart"/>
      <w:r>
        <w:rPr>
          <w:rFonts w:ascii="Arial" w:hAnsi="Arial" w:cs="Arial"/>
          <w:sz w:val="24"/>
          <w:szCs w:val="24"/>
        </w:rPr>
        <w:t>LWDBs</w:t>
      </w:r>
      <w:proofErr w:type="spellEnd"/>
      <w:r>
        <w:rPr>
          <w:rFonts w:ascii="Arial" w:hAnsi="Arial" w:cs="Arial"/>
          <w:sz w:val="24"/>
          <w:szCs w:val="24"/>
        </w:rPr>
        <w:t xml:space="preserve"> which is included in the Unified State Plan. </w:t>
      </w:r>
    </w:p>
    <w:p w:rsidR="00F72ECD" w:rsidRPr="0063597C" w:rsidRDefault="00F72ECD" w:rsidP="00F72ECD">
      <w:pPr>
        <w:pStyle w:val="ListParagraph"/>
        <w:rPr>
          <w:rFonts w:ascii="Arial" w:hAnsi="Arial" w:cs="Arial"/>
        </w:rPr>
      </w:pPr>
    </w:p>
    <w:p w:rsidR="00191700" w:rsidRPr="00CB6975" w:rsidRDefault="00F72ECD" w:rsidP="00CB6975">
      <w:pPr>
        <w:pStyle w:val="Heading2"/>
        <w:rPr>
          <w:rFonts w:ascii="Arial" w:hAnsi="Arial" w:cs="Arial"/>
          <w:b/>
          <w:color w:val="auto"/>
          <w:sz w:val="24"/>
          <w:szCs w:val="24"/>
        </w:rPr>
      </w:pPr>
      <w:proofErr w:type="spellStart"/>
      <w:r w:rsidRPr="00CB6975">
        <w:rPr>
          <w:rFonts w:ascii="Arial" w:hAnsi="Arial" w:cs="Arial"/>
          <w:b/>
          <w:color w:val="auto"/>
          <w:sz w:val="24"/>
          <w:szCs w:val="24"/>
        </w:rPr>
        <w:t>MOU</w:t>
      </w:r>
      <w:proofErr w:type="spellEnd"/>
      <w:r w:rsidRPr="00CB6975">
        <w:rPr>
          <w:rFonts w:ascii="Arial" w:hAnsi="Arial" w:cs="Arial"/>
          <w:b/>
          <w:color w:val="auto"/>
          <w:sz w:val="24"/>
          <w:szCs w:val="24"/>
        </w:rPr>
        <w:t xml:space="preserve"> </w:t>
      </w:r>
      <w:r w:rsidR="00191700" w:rsidRPr="00CB6975">
        <w:rPr>
          <w:rFonts w:ascii="Arial" w:hAnsi="Arial" w:cs="Arial"/>
          <w:b/>
          <w:color w:val="auto"/>
          <w:sz w:val="24"/>
          <w:szCs w:val="24"/>
        </w:rPr>
        <w:t>Requirements:</w:t>
      </w:r>
    </w:p>
    <w:p w:rsidR="00076460" w:rsidRPr="00076460" w:rsidRDefault="00076460" w:rsidP="00076460">
      <w:pPr>
        <w:rPr>
          <w:rFonts w:ascii="Arial" w:hAnsi="Arial" w:cs="Arial"/>
          <w:sz w:val="24"/>
          <w:szCs w:val="24"/>
        </w:rPr>
      </w:pPr>
      <w:r w:rsidRPr="00076460">
        <w:rPr>
          <w:rFonts w:ascii="Arial" w:hAnsi="Arial" w:cs="Arial"/>
          <w:sz w:val="24"/>
          <w:szCs w:val="24"/>
        </w:rPr>
        <w:t>Between Board, Chief Elected Official and Workfo</w:t>
      </w:r>
      <w:r w:rsidR="00D27896">
        <w:rPr>
          <w:rFonts w:ascii="Arial" w:hAnsi="Arial" w:cs="Arial"/>
          <w:sz w:val="24"/>
          <w:szCs w:val="24"/>
        </w:rPr>
        <w:t>rce Partner Agencies, regarding</w:t>
      </w:r>
      <w:r w:rsidR="00D27896">
        <w:rPr>
          <w:rFonts w:ascii="Arial" w:hAnsi="Arial" w:cs="Arial"/>
          <w:sz w:val="24"/>
          <w:szCs w:val="24"/>
        </w:rPr>
        <w:br/>
      </w:r>
      <w:r w:rsidRPr="00076460">
        <w:rPr>
          <w:rFonts w:ascii="Arial" w:hAnsi="Arial" w:cs="Arial"/>
          <w:sz w:val="24"/>
          <w:szCs w:val="24"/>
        </w:rPr>
        <w:t>One-Stop Delivery System</w:t>
      </w:r>
    </w:p>
    <w:p w:rsidR="00DA5738" w:rsidRPr="00076460" w:rsidRDefault="00D15158" w:rsidP="00076460">
      <w:pPr>
        <w:numPr>
          <w:ilvl w:val="0"/>
          <w:numId w:val="1"/>
        </w:numPr>
        <w:rPr>
          <w:rFonts w:ascii="Arial" w:hAnsi="Arial" w:cs="Arial"/>
          <w:sz w:val="24"/>
          <w:szCs w:val="24"/>
        </w:rPr>
      </w:pPr>
      <w:r w:rsidRPr="00076460">
        <w:rPr>
          <w:rFonts w:ascii="Arial" w:hAnsi="Arial" w:cs="Arial"/>
          <w:sz w:val="24"/>
          <w:szCs w:val="24"/>
        </w:rPr>
        <w:t>Services provided in system, and how coordinated and delivered</w:t>
      </w:r>
    </w:p>
    <w:p w:rsidR="00DA5738" w:rsidRPr="00076460" w:rsidRDefault="00D15158" w:rsidP="00076460">
      <w:pPr>
        <w:numPr>
          <w:ilvl w:val="0"/>
          <w:numId w:val="1"/>
        </w:numPr>
        <w:rPr>
          <w:rFonts w:ascii="Arial" w:hAnsi="Arial" w:cs="Arial"/>
          <w:sz w:val="24"/>
          <w:szCs w:val="24"/>
        </w:rPr>
      </w:pPr>
      <w:r w:rsidRPr="00076460">
        <w:rPr>
          <w:rFonts w:ascii="Arial" w:hAnsi="Arial" w:cs="Arial"/>
          <w:sz w:val="24"/>
          <w:szCs w:val="24"/>
        </w:rPr>
        <w:t>System Operating Costs – how covered through resource sharing, including infrastructure costs (Resource Source Sharing Agreement as an attachment)</w:t>
      </w:r>
    </w:p>
    <w:p w:rsidR="00DA5738" w:rsidRPr="00076460" w:rsidRDefault="00D15158" w:rsidP="00076460">
      <w:pPr>
        <w:numPr>
          <w:ilvl w:val="0"/>
          <w:numId w:val="1"/>
        </w:numPr>
        <w:rPr>
          <w:rFonts w:ascii="Arial" w:hAnsi="Arial" w:cs="Arial"/>
          <w:sz w:val="24"/>
          <w:szCs w:val="24"/>
        </w:rPr>
      </w:pPr>
      <w:r w:rsidRPr="00076460">
        <w:rPr>
          <w:rFonts w:ascii="Arial" w:hAnsi="Arial" w:cs="Arial"/>
          <w:sz w:val="24"/>
          <w:szCs w:val="24"/>
        </w:rPr>
        <w:t>Methods of referral</w:t>
      </w:r>
    </w:p>
    <w:p w:rsidR="00DA5738" w:rsidRPr="00076460" w:rsidRDefault="00D15158" w:rsidP="00076460">
      <w:pPr>
        <w:numPr>
          <w:ilvl w:val="0"/>
          <w:numId w:val="1"/>
        </w:numPr>
        <w:rPr>
          <w:rFonts w:ascii="Arial" w:hAnsi="Arial" w:cs="Arial"/>
          <w:sz w:val="24"/>
          <w:szCs w:val="24"/>
        </w:rPr>
      </w:pPr>
      <w:r w:rsidRPr="00076460">
        <w:rPr>
          <w:rFonts w:ascii="Arial" w:hAnsi="Arial" w:cs="Arial"/>
          <w:sz w:val="24"/>
          <w:szCs w:val="24"/>
        </w:rPr>
        <w:t>How individuals with barriers are included, and center accessibility</w:t>
      </w:r>
    </w:p>
    <w:p w:rsidR="00DA5738" w:rsidRPr="00076460" w:rsidRDefault="00D15158" w:rsidP="00076460">
      <w:pPr>
        <w:numPr>
          <w:ilvl w:val="0"/>
          <w:numId w:val="1"/>
        </w:numPr>
        <w:rPr>
          <w:rFonts w:ascii="Arial" w:hAnsi="Arial" w:cs="Arial"/>
          <w:sz w:val="24"/>
          <w:szCs w:val="24"/>
        </w:rPr>
      </w:pPr>
      <w:r w:rsidRPr="00076460">
        <w:rPr>
          <w:rFonts w:ascii="Arial" w:hAnsi="Arial" w:cs="Arial"/>
          <w:sz w:val="24"/>
          <w:szCs w:val="24"/>
        </w:rPr>
        <w:t>Duration of Agreement</w:t>
      </w:r>
    </w:p>
    <w:p w:rsidR="00DA5738" w:rsidRPr="00076460" w:rsidRDefault="00D15158" w:rsidP="00076460">
      <w:pPr>
        <w:numPr>
          <w:ilvl w:val="0"/>
          <w:numId w:val="1"/>
        </w:numPr>
        <w:rPr>
          <w:rFonts w:ascii="Arial" w:hAnsi="Arial" w:cs="Arial"/>
          <w:sz w:val="24"/>
          <w:szCs w:val="24"/>
        </w:rPr>
      </w:pPr>
      <w:r w:rsidRPr="00076460">
        <w:rPr>
          <w:rFonts w:ascii="Arial" w:hAnsi="Arial" w:cs="Arial"/>
          <w:sz w:val="24"/>
          <w:szCs w:val="24"/>
        </w:rPr>
        <w:t>Other</w:t>
      </w:r>
      <w:r w:rsidR="00D27896">
        <w:rPr>
          <w:rFonts w:ascii="Arial" w:hAnsi="Arial" w:cs="Arial"/>
          <w:sz w:val="24"/>
          <w:szCs w:val="24"/>
        </w:rPr>
        <w:t xml:space="preserve"> – as State or Local Board may r</w:t>
      </w:r>
      <w:r w:rsidRPr="00076460">
        <w:rPr>
          <w:rFonts w:ascii="Arial" w:hAnsi="Arial" w:cs="Arial"/>
          <w:sz w:val="24"/>
          <w:szCs w:val="24"/>
        </w:rPr>
        <w:t>equire</w:t>
      </w:r>
    </w:p>
    <w:p w:rsidR="00191700" w:rsidRDefault="00191700" w:rsidP="00191700">
      <w:pPr>
        <w:rPr>
          <w:rFonts w:ascii="Arial" w:hAnsi="Arial" w:cs="Arial"/>
          <w:b/>
          <w:sz w:val="24"/>
          <w:szCs w:val="24"/>
        </w:rPr>
      </w:pPr>
    </w:p>
    <w:p w:rsidR="00191700" w:rsidRDefault="00191700" w:rsidP="00191700">
      <w:pPr>
        <w:rPr>
          <w:rFonts w:ascii="Arial" w:hAnsi="Arial" w:cs="Arial"/>
          <w:b/>
          <w:sz w:val="24"/>
          <w:szCs w:val="24"/>
        </w:rPr>
      </w:pPr>
    </w:p>
    <w:p w:rsidR="00D47A21" w:rsidRDefault="00D47A21" w:rsidP="00191700">
      <w:pPr>
        <w:rPr>
          <w:rFonts w:ascii="Arial" w:hAnsi="Arial" w:cs="Arial"/>
          <w:b/>
          <w:sz w:val="24"/>
          <w:szCs w:val="24"/>
        </w:rPr>
      </w:pPr>
    </w:p>
    <w:p w:rsidR="00F72ECD" w:rsidRDefault="00F72ECD" w:rsidP="00191700">
      <w:pPr>
        <w:rPr>
          <w:rFonts w:ascii="Arial" w:hAnsi="Arial" w:cs="Arial"/>
          <w:b/>
          <w:sz w:val="24"/>
          <w:szCs w:val="24"/>
        </w:rPr>
      </w:pPr>
    </w:p>
    <w:p w:rsidR="00191700" w:rsidRPr="00CB6975" w:rsidRDefault="00191700" w:rsidP="00CB6975">
      <w:pPr>
        <w:pStyle w:val="Heading2"/>
        <w:rPr>
          <w:rFonts w:ascii="Arial" w:hAnsi="Arial" w:cs="Arial"/>
          <w:b/>
          <w:color w:val="auto"/>
          <w:sz w:val="24"/>
          <w:szCs w:val="24"/>
        </w:rPr>
      </w:pPr>
      <w:r w:rsidRPr="00CB6975">
        <w:rPr>
          <w:rFonts w:ascii="Arial" w:hAnsi="Arial" w:cs="Arial"/>
          <w:b/>
          <w:color w:val="auto"/>
          <w:sz w:val="24"/>
          <w:szCs w:val="24"/>
        </w:rPr>
        <w:lastRenderedPageBreak/>
        <w:t>Review of State Examples and Suggestions:</w:t>
      </w:r>
    </w:p>
    <w:p w:rsidR="00F72ECD" w:rsidRPr="00572B14" w:rsidRDefault="00572B14" w:rsidP="00191700">
      <w:pPr>
        <w:rPr>
          <w:rFonts w:ascii="Arial" w:hAnsi="Arial" w:cs="Arial"/>
          <w:sz w:val="24"/>
          <w:szCs w:val="24"/>
        </w:rPr>
      </w:pPr>
      <w:r>
        <w:rPr>
          <w:rFonts w:ascii="Arial" w:hAnsi="Arial" w:cs="Arial"/>
          <w:sz w:val="24"/>
          <w:szCs w:val="24"/>
        </w:rPr>
        <w:t xml:space="preserve">In the late summer and fall of 2016, several states provided </w:t>
      </w:r>
      <w:proofErr w:type="spellStart"/>
      <w:r>
        <w:rPr>
          <w:rFonts w:ascii="Arial" w:hAnsi="Arial" w:cs="Arial"/>
          <w:sz w:val="24"/>
          <w:szCs w:val="24"/>
        </w:rPr>
        <w:t>CSAVR</w:t>
      </w:r>
      <w:proofErr w:type="spellEnd"/>
      <w:r>
        <w:rPr>
          <w:rFonts w:ascii="Arial" w:hAnsi="Arial" w:cs="Arial"/>
          <w:sz w:val="24"/>
          <w:szCs w:val="24"/>
        </w:rPr>
        <w:t xml:space="preserve"> and </w:t>
      </w:r>
      <w:proofErr w:type="spellStart"/>
      <w:r>
        <w:rPr>
          <w:rFonts w:ascii="Arial" w:hAnsi="Arial" w:cs="Arial"/>
          <w:sz w:val="24"/>
          <w:szCs w:val="24"/>
        </w:rPr>
        <w:t>WINTAC</w:t>
      </w:r>
      <w:proofErr w:type="spellEnd"/>
      <w:r>
        <w:rPr>
          <w:rFonts w:ascii="Arial" w:hAnsi="Arial" w:cs="Arial"/>
          <w:sz w:val="24"/>
          <w:szCs w:val="24"/>
        </w:rPr>
        <w:t xml:space="preserve"> with examples of Local </w:t>
      </w:r>
      <w:proofErr w:type="spellStart"/>
      <w:r w:rsidR="00D27896">
        <w:rPr>
          <w:rFonts w:ascii="Arial" w:hAnsi="Arial" w:cs="Arial"/>
          <w:sz w:val="24"/>
          <w:szCs w:val="24"/>
        </w:rPr>
        <w:t>MOU’s</w:t>
      </w:r>
      <w:proofErr w:type="spellEnd"/>
      <w:r w:rsidR="00D27896">
        <w:rPr>
          <w:rFonts w:ascii="Arial" w:hAnsi="Arial" w:cs="Arial"/>
          <w:sz w:val="24"/>
          <w:szCs w:val="24"/>
        </w:rPr>
        <w:t xml:space="preserve">. </w:t>
      </w:r>
      <w:r>
        <w:rPr>
          <w:rFonts w:ascii="Arial" w:hAnsi="Arial" w:cs="Arial"/>
          <w:sz w:val="24"/>
          <w:szCs w:val="24"/>
        </w:rPr>
        <w:t xml:space="preserve">These agreement examples varied widely in regard to structure. The suggestions in this tool kit are based upon past </w:t>
      </w:r>
      <w:proofErr w:type="spellStart"/>
      <w:r>
        <w:rPr>
          <w:rFonts w:ascii="Arial" w:hAnsi="Arial" w:cs="Arial"/>
          <w:sz w:val="24"/>
          <w:szCs w:val="24"/>
        </w:rPr>
        <w:t>SVRA</w:t>
      </w:r>
      <w:proofErr w:type="spellEnd"/>
      <w:r>
        <w:rPr>
          <w:rFonts w:ascii="Arial" w:hAnsi="Arial" w:cs="Arial"/>
          <w:sz w:val="24"/>
          <w:szCs w:val="24"/>
        </w:rPr>
        <w:t xml:space="preserve"> experiences in developing these agreements combined with the guidance cited below in the suggested outline for a Local </w:t>
      </w:r>
      <w:proofErr w:type="spellStart"/>
      <w:r>
        <w:rPr>
          <w:rFonts w:ascii="Arial" w:hAnsi="Arial" w:cs="Arial"/>
          <w:sz w:val="24"/>
          <w:szCs w:val="24"/>
        </w:rPr>
        <w:t>WDB</w:t>
      </w:r>
      <w:proofErr w:type="spellEnd"/>
      <w:r>
        <w:rPr>
          <w:rFonts w:ascii="Arial" w:hAnsi="Arial" w:cs="Arial"/>
          <w:sz w:val="24"/>
          <w:szCs w:val="24"/>
        </w:rPr>
        <w:t xml:space="preserve"> </w:t>
      </w:r>
      <w:proofErr w:type="spellStart"/>
      <w:r>
        <w:rPr>
          <w:rFonts w:ascii="Arial" w:hAnsi="Arial" w:cs="Arial"/>
          <w:sz w:val="24"/>
          <w:szCs w:val="24"/>
        </w:rPr>
        <w:t>MOU</w:t>
      </w:r>
      <w:proofErr w:type="spellEnd"/>
      <w:r>
        <w:rPr>
          <w:rFonts w:ascii="Arial" w:hAnsi="Arial" w:cs="Arial"/>
          <w:sz w:val="24"/>
          <w:szCs w:val="24"/>
        </w:rPr>
        <w:t>:</w:t>
      </w:r>
    </w:p>
    <w:p w:rsidR="00F72ECD" w:rsidRDefault="00F72ECD" w:rsidP="00191700">
      <w:pPr>
        <w:rPr>
          <w:rFonts w:ascii="Arial" w:hAnsi="Arial" w:cs="Arial"/>
          <w:b/>
          <w:sz w:val="24"/>
          <w:szCs w:val="24"/>
        </w:rPr>
      </w:pPr>
    </w:p>
    <w:p w:rsidR="00D15158" w:rsidRPr="007E1B79" w:rsidRDefault="00D15158" w:rsidP="00D15158">
      <w:pPr>
        <w:jc w:val="center"/>
        <w:rPr>
          <w:rFonts w:ascii="Arial" w:hAnsi="Arial" w:cs="Arial"/>
          <w:b/>
        </w:rPr>
      </w:pPr>
      <w:r w:rsidRPr="007E1B79">
        <w:rPr>
          <w:rFonts w:ascii="Arial" w:hAnsi="Arial" w:cs="Arial"/>
          <w:b/>
        </w:rPr>
        <w:t xml:space="preserve">DRAFT </w:t>
      </w:r>
      <w:r>
        <w:rPr>
          <w:rFonts w:ascii="Arial" w:hAnsi="Arial" w:cs="Arial"/>
          <w:b/>
        </w:rPr>
        <w:t>SEPTEMBER 10, 2016</w:t>
      </w:r>
    </w:p>
    <w:p w:rsidR="00D15158" w:rsidRPr="007E1B79" w:rsidRDefault="00D15158" w:rsidP="00D15158">
      <w:pPr>
        <w:jc w:val="center"/>
        <w:rPr>
          <w:rFonts w:ascii="Arial" w:hAnsi="Arial" w:cs="Arial"/>
          <w:b/>
        </w:rPr>
      </w:pPr>
    </w:p>
    <w:p w:rsidR="00D15158" w:rsidRDefault="00D15158" w:rsidP="00D15158">
      <w:pPr>
        <w:jc w:val="center"/>
        <w:rPr>
          <w:rFonts w:ascii="Arial" w:hAnsi="Arial" w:cs="Arial"/>
          <w:b/>
        </w:rPr>
      </w:pPr>
      <w:r>
        <w:rPr>
          <w:rFonts w:ascii="Arial" w:hAnsi="Arial" w:cs="Arial"/>
          <w:b/>
        </w:rPr>
        <w:t xml:space="preserve">Outline for </w:t>
      </w:r>
      <w:proofErr w:type="spellStart"/>
      <w:r>
        <w:rPr>
          <w:rFonts w:ascii="Arial" w:hAnsi="Arial" w:cs="Arial"/>
          <w:b/>
        </w:rPr>
        <w:t>MOU</w:t>
      </w:r>
      <w:proofErr w:type="spellEnd"/>
      <w:r>
        <w:rPr>
          <w:rFonts w:ascii="Arial" w:hAnsi="Arial" w:cs="Arial"/>
          <w:b/>
        </w:rPr>
        <w:t xml:space="preserve"> </w:t>
      </w:r>
    </w:p>
    <w:p w:rsidR="00D15158" w:rsidRDefault="00D15158" w:rsidP="00D15158">
      <w:pPr>
        <w:jc w:val="center"/>
        <w:rPr>
          <w:b/>
          <w:bCs/>
          <w:sz w:val="28"/>
          <w:szCs w:val="28"/>
        </w:rPr>
      </w:pPr>
      <w:r w:rsidRPr="00176481">
        <w:rPr>
          <w:b/>
          <w:bCs/>
          <w:sz w:val="28"/>
          <w:szCs w:val="28"/>
        </w:rPr>
        <w:t>MEMORANDUM OF UNDERSTANDING</w:t>
      </w:r>
    </w:p>
    <w:p w:rsidR="00D15158" w:rsidRPr="00C8068A" w:rsidRDefault="00D15158" w:rsidP="00D15158">
      <w:pPr>
        <w:jc w:val="center"/>
        <w:rPr>
          <w:b/>
          <w:bCs/>
          <w:i/>
          <w:sz w:val="28"/>
          <w:szCs w:val="28"/>
        </w:rPr>
      </w:pPr>
      <w:r>
        <w:rPr>
          <w:b/>
          <w:bCs/>
          <w:i/>
          <w:sz w:val="28"/>
          <w:szCs w:val="28"/>
        </w:rPr>
        <w:t>b</w:t>
      </w:r>
      <w:r w:rsidRPr="00C8068A">
        <w:rPr>
          <w:b/>
          <w:bCs/>
          <w:i/>
          <w:sz w:val="28"/>
          <w:szCs w:val="28"/>
        </w:rPr>
        <w:t>etween</w:t>
      </w:r>
    </w:p>
    <w:p w:rsidR="00D15158" w:rsidRDefault="00D15158" w:rsidP="00D15158">
      <w:pPr>
        <w:jc w:val="center"/>
        <w:rPr>
          <w:b/>
          <w:bCs/>
          <w:sz w:val="28"/>
          <w:szCs w:val="28"/>
        </w:rPr>
      </w:pPr>
      <w:r>
        <w:rPr>
          <w:b/>
          <w:bCs/>
          <w:sz w:val="28"/>
          <w:szCs w:val="28"/>
        </w:rPr>
        <w:t>(Local or Region Identifier)</w:t>
      </w:r>
    </w:p>
    <w:p w:rsidR="00D15158" w:rsidRDefault="00D15158" w:rsidP="00D15158">
      <w:pPr>
        <w:jc w:val="center"/>
        <w:rPr>
          <w:b/>
          <w:bCs/>
          <w:sz w:val="28"/>
          <w:szCs w:val="28"/>
        </w:rPr>
      </w:pPr>
      <w:r>
        <w:rPr>
          <w:b/>
          <w:bCs/>
          <w:sz w:val="28"/>
          <w:szCs w:val="28"/>
        </w:rPr>
        <w:t>REGIONAL WORKFORCE DEVELOPMENT BOARD,</w:t>
      </w:r>
    </w:p>
    <w:p w:rsidR="00D15158" w:rsidRPr="001E0F5A" w:rsidRDefault="00D15158" w:rsidP="00D15158">
      <w:pPr>
        <w:jc w:val="center"/>
        <w:rPr>
          <w:bCs/>
          <w:i/>
        </w:rPr>
      </w:pPr>
      <w:r>
        <w:rPr>
          <w:b/>
          <w:bCs/>
          <w:sz w:val="28"/>
          <w:szCs w:val="28"/>
        </w:rPr>
        <w:t>(CHIEF ELECTED OFFICIALS),</w:t>
      </w:r>
    </w:p>
    <w:p w:rsidR="00D15158" w:rsidRPr="00C8068A" w:rsidRDefault="00D15158" w:rsidP="00D15158">
      <w:pPr>
        <w:jc w:val="center"/>
        <w:rPr>
          <w:b/>
          <w:bCs/>
          <w:i/>
        </w:rPr>
      </w:pPr>
      <w:r w:rsidRPr="00C8068A">
        <w:rPr>
          <w:b/>
          <w:bCs/>
          <w:i/>
        </w:rPr>
        <w:t>and</w:t>
      </w:r>
    </w:p>
    <w:p w:rsidR="00D15158" w:rsidRPr="00C75D5E" w:rsidRDefault="00D15158" w:rsidP="00D15158">
      <w:pPr>
        <w:jc w:val="center"/>
        <w:rPr>
          <w:b/>
          <w:bCs/>
          <w:sz w:val="28"/>
          <w:szCs w:val="28"/>
        </w:rPr>
      </w:pPr>
      <w:r>
        <w:rPr>
          <w:b/>
          <w:bCs/>
          <w:sz w:val="28"/>
          <w:szCs w:val="28"/>
        </w:rPr>
        <w:t>WORKFORCE DEVELOPMENT PARTNERS</w:t>
      </w:r>
    </w:p>
    <w:p w:rsidR="00D15158" w:rsidRDefault="00D15158" w:rsidP="00D15158">
      <w:pPr>
        <w:rPr>
          <w:rFonts w:ascii="Arial" w:hAnsi="Arial" w:cs="Arial"/>
          <w:b/>
        </w:rPr>
      </w:pPr>
    </w:p>
    <w:p w:rsidR="00D15158" w:rsidRPr="007E1B79" w:rsidRDefault="00D15158" w:rsidP="00D15158">
      <w:pPr>
        <w:jc w:val="center"/>
        <w:rPr>
          <w:rFonts w:ascii="Arial" w:hAnsi="Arial" w:cs="Arial"/>
          <w:b/>
        </w:rPr>
      </w:pPr>
    </w:p>
    <w:p w:rsidR="00D15158" w:rsidRDefault="00D15158" w:rsidP="00D15158">
      <w:pPr>
        <w:pStyle w:val="ListParagraph"/>
        <w:numPr>
          <w:ilvl w:val="0"/>
          <w:numId w:val="3"/>
        </w:numPr>
        <w:rPr>
          <w:rFonts w:ascii="Arial" w:hAnsi="Arial" w:cs="Arial"/>
          <w:b/>
        </w:rPr>
      </w:pPr>
      <w:bookmarkStart w:id="0" w:name="_GoBack"/>
      <w:r w:rsidRPr="007E1B79">
        <w:rPr>
          <w:rFonts w:ascii="Arial" w:hAnsi="Arial" w:cs="Arial"/>
          <w:b/>
        </w:rPr>
        <w:t>P</w:t>
      </w:r>
      <w:r w:rsidR="009C42B3">
        <w:rPr>
          <w:rFonts w:ascii="Arial" w:hAnsi="Arial" w:cs="Arial"/>
          <w:b/>
        </w:rPr>
        <w:t>urpose</w:t>
      </w:r>
      <w:r>
        <w:rPr>
          <w:rFonts w:ascii="Arial" w:hAnsi="Arial" w:cs="Arial"/>
          <w:b/>
        </w:rPr>
        <w:t xml:space="preserve"> </w:t>
      </w:r>
    </w:p>
    <w:bookmarkEnd w:id="0"/>
    <w:p w:rsidR="00D15158" w:rsidRDefault="00D15158" w:rsidP="00D15158">
      <w:pPr>
        <w:pStyle w:val="ListParagraph"/>
        <w:rPr>
          <w:rFonts w:ascii="Arial" w:hAnsi="Arial" w:cs="Arial"/>
          <w:i/>
        </w:rPr>
      </w:pPr>
      <w:r>
        <w:rPr>
          <w:rFonts w:ascii="Arial" w:hAnsi="Arial" w:cs="Arial"/>
        </w:rPr>
        <w:t>(</w:t>
      </w:r>
      <w:r>
        <w:rPr>
          <w:rFonts w:ascii="Arial" w:hAnsi="Arial" w:cs="Arial"/>
          <w:i/>
        </w:rPr>
        <w:t>Examples provided also included differently titled sections that could be included in an initial section here:</w:t>
      </w:r>
    </w:p>
    <w:p w:rsidR="00D15158" w:rsidRDefault="00D15158" w:rsidP="00D15158">
      <w:pPr>
        <w:pStyle w:val="ListParagraph"/>
        <w:numPr>
          <w:ilvl w:val="0"/>
          <w:numId w:val="4"/>
        </w:numPr>
        <w:rPr>
          <w:rFonts w:ascii="Arial" w:hAnsi="Arial" w:cs="Arial"/>
          <w:i/>
        </w:rPr>
      </w:pPr>
      <w:r>
        <w:rPr>
          <w:rFonts w:ascii="Arial" w:hAnsi="Arial" w:cs="Arial"/>
          <w:i/>
        </w:rPr>
        <w:t>Background</w:t>
      </w:r>
    </w:p>
    <w:p w:rsidR="00D15158" w:rsidRDefault="00D15158" w:rsidP="00D15158">
      <w:pPr>
        <w:pStyle w:val="ListParagraph"/>
        <w:numPr>
          <w:ilvl w:val="0"/>
          <w:numId w:val="4"/>
        </w:numPr>
        <w:rPr>
          <w:rFonts w:ascii="Arial" w:hAnsi="Arial" w:cs="Arial"/>
          <w:i/>
        </w:rPr>
      </w:pPr>
      <w:r>
        <w:rPr>
          <w:rFonts w:ascii="Arial" w:hAnsi="Arial" w:cs="Arial"/>
          <w:i/>
        </w:rPr>
        <w:t>Development Process</w:t>
      </w:r>
    </w:p>
    <w:p w:rsidR="00D15158" w:rsidRDefault="00D15158" w:rsidP="00D15158">
      <w:pPr>
        <w:pStyle w:val="ListParagraph"/>
        <w:numPr>
          <w:ilvl w:val="0"/>
          <w:numId w:val="4"/>
        </w:numPr>
        <w:rPr>
          <w:rFonts w:ascii="Arial" w:hAnsi="Arial" w:cs="Arial"/>
          <w:i/>
        </w:rPr>
      </w:pPr>
      <w:r>
        <w:rPr>
          <w:rFonts w:ascii="Arial" w:hAnsi="Arial" w:cs="Arial"/>
          <w:i/>
        </w:rPr>
        <w:t>Vision/Goals</w:t>
      </w:r>
    </w:p>
    <w:p w:rsidR="00D15158" w:rsidRDefault="00D15158" w:rsidP="00D15158">
      <w:pPr>
        <w:pStyle w:val="ListParagraph"/>
        <w:numPr>
          <w:ilvl w:val="0"/>
          <w:numId w:val="4"/>
        </w:numPr>
        <w:rPr>
          <w:rFonts w:ascii="Arial" w:hAnsi="Arial" w:cs="Arial"/>
          <w:i/>
        </w:rPr>
      </w:pPr>
      <w:r>
        <w:rPr>
          <w:rFonts w:ascii="Arial" w:hAnsi="Arial" w:cs="Arial"/>
          <w:i/>
        </w:rPr>
        <w:t>Definitions</w:t>
      </w:r>
    </w:p>
    <w:p w:rsidR="00D15158" w:rsidRDefault="00D15158" w:rsidP="00D15158">
      <w:pPr>
        <w:pStyle w:val="ListParagraph"/>
        <w:numPr>
          <w:ilvl w:val="0"/>
          <w:numId w:val="4"/>
        </w:numPr>
        <w:rPr>
          <w:rFonts w:ascii="Arial" w:hAnsi="Arial" w:cs="Arial"/>
          <w:i/>
        </w:rPr>
      </w:pPr>
      <w:r>
        <w:rPr>
          <w:rFonts w:ascii="Arial" w:hAnsi="Arial" w:cs="Arial"/>
          <w:i/>
        </w:rPr>
        <w:t>Legal Obligations</w:t>
      </w:r>
    </w:p>
    <w:p w:rsidR="00D15158" w:rsidRDefault="00D15158" w:rsidP="00D15158">
      <w:pPr>
        <w:ind w:left="720"/>
        <w:rPr>
          <w:rFonts w:ascii="Arial" w:hAnsi="Arial" w:cs="Arial"/>
        </w:rPr>
      </w:pPr>
    </w:p>
    <w:p w:rsidR="00D15158" w:rsidRPr="00D27896" w:rsidRDefault="00D15158" w:rsidP="00D15158">
      <w:pPr>
        <w:ind w:left="720"/>
        <w:rPr>
          <w:rFonts w:ascii="Arial" w:hAnsi="Arial" w:cs="Arial"/>
          <w:i/>
          <w:color w:val="2E74B5" w:themeColor="accent1" w:themeShade="BF"/>
        </w:rPr>
      </w:pPr>
      <w:r w:rsidRPr="00D27896">
        <w:rPr>
          <w:rFonts w:ascii="Arial" w:hAnsi="Arial" w:cs="Arial"/>
          <w:i/>
          <w:color w:val="2E74B5" w:themeColor="accent1" w:themeShade="BF"/>
        </w:rPr>
        <w:t xml:space="preserve">Reference: </w:t>
      </w:r>
    </w:p>
    <w:p w:rsidR="00D15158" w:rsidRPr="00D27896" w:rsidRDefault="00D15158" w:rsidP="00D15158">
      <w:pPr>
        <w:pStyle w:val="Default"/>
        <w:ind w:left="720"/>
        <w:rPr>
          <w:rFonts w:ascii="Arial" w:hAnsi="Arial" w:cs="Arial"/>
          <w:bCs/>
          <w:color w:val="2E74B5" w:themeColor="accent1" w:themeShade="BF"/>
          <w:sz w:val="22"/>
          <w:szCs w:val="22"/>
        </w:rPr>
      </w:pPr>
      <w:r w:rsidRPr="00D27896">
        <w:rPr>
          <w:rFonts w:ascii="Arial" w:hAnsi="Arial" w:cs="Arial"/>
          <w:bCs/>
          <w:color w:val="2E74B5" w:themeColor="accent1" w:themeShade="BF"/>
          <w:sz w:val="22"/>
          <w:szCs w:val="22"/>
        </w:rPr>
        <w:t xml:space="preserve">§ 361.500 What is the Memorandum of Understanding for the one-stop delivery system and what must be included in the Memorandum of Understanding? </w:t>
      </w:r>
    </w:p>
    <w:p w:rsidR="00D15158" w:rsidRPr="00495550" w:rsidRDefault="00D15158" w:rsidP="00D15158">
      <w:pPr>
        <w:ind w:left="720"/>
        <w:rPr>
          <w:rFonts w:ascii="Arial" w:hAnsi="Arial" w:cs="Arial"/>
          <w:b/>
          <w:i/>
        </w:rPr>
      </w:pPr>
      <w:r>
        <w:rPr>
          <w:rFonts w:ascii="Arial" w:hAnsi="Arial" w:cs="Arial"/>
          <w:b/>
          <w:i/>
        </w:rPr>
        <w:t xml:space="preserve"> </w:t>
      </w:r>
    </w:p>
    <w:p w:rsidR="00D15158" w:rsidRDefault="00D15158" w:rsidP="00D15158">
      <w:pPr>
        <w:rPr>
          <w:rFonts w:ascii="Arial" w:hAnsi="Arial" w:cs="Arial"/>
          <w:b/>
        </w:rPr>
      </w:pPr>
    </w:p>
    <w:p w:rsidR="00D15158" w:rsidRDefault="00D15158" w:rsidP="00D15158">
      <w:pPr>
        <w:pStyle w:val="ListParagraph"/>
        <w:numPr>
          <w:ilvl w:val="0"/>
          <w:numId w:val="3"/>
        </w:numPr>
        <w:rPr>
          <w:rFonts w:ascii="Arial" w:hAnsi="Arial" w:cs="Arial"/>
          <w:b/>
        </w:rPr>
      </w:pPr>
      <w:r>
        <w:rPr>
          <w:rFonts w:ascii="Arial" w:hAnsi="Arial" w:cs="Arial"/>
          <w:b/>
        </w:rPr>
        <w:lastRenderedPageBreak/>
        <w:t>Parties</w:t>
      </w:r>
    </w:p>
    <w:p w:rsidR="00D15158" w:rsidRDefault="00D15158" w:rsidP="00D15158">
      <w:pPr>
        <w:pStyle w:val="ListParagraph"/>
        <w:rPr>
          <w:rFonts w:ascii="Arial" w:hAnsi="Arial" w:cs="Arial"/>
          <w:i/>
        </w:rPr>
      </w:pPr>
      <w:r>
        <w:rPr>
          <w:rFonts w:ascii="Arial" w:hAnsi="Arial" w:cs="Arial"/>
          <w:i/>
        </w:rPr>
        <w:t xml:space="preserve">(Suggested especially if this is an agreement between the Local Workforce Development Board and more than one of the Core/Required Partners – can include identification of the “One-Stop Operator” rather than have a separate agreement between the Operator and the </w:t>
      </w:r>
      <w:proofErr w:type="spellStart"/>
      <w:r>
        <w:rPr>
          <w:rFonts w:ascii="Arial" w:hAnsi="Arial" w:cs="Arial"/>
          <w:i/>
        </w:rPr>
        <w:t>WDB</w:t>
      </w:r>
      <w:proofErr w:type="spellEnd"/>
      <w:r>
        <w:rPr>
          <w:rFonts w:ascii="Arial" w:hAnsi="Arial" w:cs="Arial"/>
          <w:i/>
        </w:rPr>
        <w:t>)</w:t>
      </w:r>
    </w:p>
    <w:p w:rsidR="00D15158" w:rsidRDefault="00D15158" w:rsidP="00D15158">
      <w:pPr>
        <w:pStyle w:val="ListParagraph"/>
        <w:rPr>
          <w:rFonts w:ascii="Arial" w:hAnsi="Arial" w:cs="Arial"/>
          <w:i/>
        </w:rPr>
      </w:pPr>
    </w:p>
    <w:p w:rsidR="00D15158" w:rsidRDefault="00D15158" w:rsidP="00D15158">
      <w:pPr>
        <w:pStyle w:val="ListParagraph"/>
        <w:rPr>
          <w:rFonts w:ascii="Arial" w:hAnsi="Arial" w:cs="Arial"/>
          <w:i/>
          <w:color w:val="2E74B5" w:themeColor="accent1" w:themeShade="BF"/>
          <w:sz w:val="22"/>
          <w:szCs w:val="22"/>
        </w:rPr>
      </w:pPr>
      <w:r w:rsidRPr="00D27896">
        <w:rPr>
          <w:rFonts w:ascii="Arial" w:hAnsi="Arial" w:cs="Arial"/>
          <w:i/>
          <w:color w:val="2E74B5" w:themeColor="accent1" w:themeShade="BF"/>
          <w:sz w:val="22"/>
          <w:szCs w:val="22"/>
        </w:rPr>
        <w:t xml:space="preserve">Reference:  </w:t>
      </w:r>
    </w:p>
    <w:p w:rsidR="00D27896" w:rsidRPr="00D27896" w:rsidRDefault="00D27896" w:rsidP="00D15158">
      <w:pPr>
        <w:pStyle w:val="ListParagraph"/>
        <w:rPr>
          <w:rFonts w:ascii="Arial" w:hAnsi="Arial" w:cs="Arial"/>
          <w:i/>
          <w:color w:val="2E74B5" w:themeColor="accent1" w:themeShade="BF"/>
          <w:sz w:val="22"/>
          <w:szCs w:val="22"/>
        </w:rPr>
      </w:pPr>
    </w:p>
    <w:p w:rsidR="00D15158" w:rsidRPr="00D27896" w:rsidRDefault="00D15158" w:rsidP="00D15158">
      <w:pPr>
        <w:autoSpaceDE w:val="0"/>
        <w:autoSpaceDN w:val="0"/>
        <w:adjustRightInd w:val="0"/>
        <w:ind w:firstLine="720"/>
        <w:rPr>
          <w:rFonts w:ascii="Arial" w:hAnsi="Arial" w:cs="Arial"/>
          <w:bCs/>
          <w:color w:val="2E74B5" w:themeColor="accent1" w:themeShade="BF"/>
        </w:rPr>
      </w:pPr>
      <w:r w:rsidRPr="00D27896">
        <w:rPr>
          <w:rFonts w:ascii="Arial" w:hAnsi="Arial" w:cs="Arial"/>
          <w:bCs/>
          <w:color w:val="2E74B5" w:themeColor="accent1" w:themeShade="BF"/>
        </w:rPr>
        <w:t>§ 361.400 Who are the required one-stop partners?</w:t>
      </w:r>
    </w:p>
    <w:p w:rsidR="00D15158" w:rsidRPr="00D27896" w:rsidRDefault="00D15158" w:rsidP="00D15158">
      <w:pPr>
        <w:autoSpaceDE w:val="0"/>
        <w:autoSpaceDN w:val="0"/>
        <w:adjustRightInd w:val="0"/>
        <w:ind w:left="720"/>
        <w:rPr>
          <w:rFonts w:ascii="Arial" w:hAnsi="Arial" w:cs="Arial"/>
          <w:bCs/>
          <w:color w:val="2E74B5" w:themeColor="accent1" w:themeShade="BF"/>
        </w:rPr>
      </w:pPr>
      <w:r w:rsidRPr="00D27896">
        <w:rPr>
          <w:rFonts w:ascii="Arial" w:hAnsi="Arial" w:cs="Arial"/>
          <w:bCs/>
          <w:color w:val="2E74B5" w:themeColor="accent1" w:themeShade="BF"/>
        </w:rPr>
        <w:t xml:space="preserve">§ 361.505 Is there a single Memorandum of Understanding for the local area, or must there be different Memoranda of Understanding between the Local Workforce Development Board and each partner?  </w:t>
      </w:r>
    </w:p>
    <w:p w:rsidR="00D15158" w:rsidRDefault="00D15158" w:rsidP="00D15158">
      <w:pPr>
        <w:pStyle w:val="ListParagraph"/>
        <w:rPr>
          <w:rFonts w:ascii="Arial" w:hAnsi="Arial" w:cs="Arial"/>
          <w:i/>
        </w:rPr>
      </w:pPr>
    </w:p>
    <w:p w:rsidR="00D15158" w:rsidRDefault="00D15158" w:rsidP="00D15158">
      <w:pPr>
        <w:pStyle w:val="ListParagraph"/>
        <w:rPr>
          <w:rFonts w:ascii="Arial" w:hAnsi="Arial" w:cs="Arial"/>
          <w:i/>
        </w:rPr>
      </w:pPr>
    </w:p>
    <w:p w:rsidR="00D15158" w:rsidRPr="00495550" w:rsidRDefault="00D15158" w:rsidP="00D15158">
      <w:pPr>
        <w:pStyle w:val="ListParagraph"/>
        <w:rPr>
          <w:rFonts w:ascii="Arial" w:hAnsi="Arial" w:cs="Arial"/>
          <w:i/>
        </w:rPr>
      </w:pPr>
    </w:p>
    <w:p w:rsidR="00D15158" w:rsidRDefault="00D15158" w:rsidP="00D15158">
      <w:pPr>
        <w:pStyle w:val="ListParagraph"/>
        <w:numPr>
          <w:ilvl w:val="0"/>
          <w:numId w:val="3"/>
        </w:numPr>
        <w:rPr>
          <w:rFonts w:ascii="Arial" w:hAnsi="Arial" w:cs="Arial"/>
          <w:b/>
        </w:rPr>
      </w:pPr>
      <w:r>
        <w:rPr>
          <w:rFonts w:ascii="Arial" w:hAnsi="Arial" w:cs="Arial"/>
          <w:b/>
        </w:rPr>
        <w:t>Description of Services – Services and how Coordinated/Aligned and Delivered</w:t>
      </w:r>
    </w:p>
    <w:p w:rsidR="00D15158" w:rsidRDefault="00D15158" w:rsidP="00D15158">
      <w:pPr>
        <w:pStyle w:val="ListParagraph"/>
        <w:rPr>
          <w:rFonts w:ascii="Arial" w:hAnsi="Arial" w:cs="Arial"/>
          <w:b/>
        </w:rPr>
      </w:pPr>
    </w:p>
    <w:p w:rsidR="00D15158" w:rsidRDefault="00D15158" w:rsidP="00D15158">
      <w:pPr>
        <w:pStyle w:val="ListParagraph"/>
        <w:rPr>
          <w:rFonts w:ascii="Arial" w:hAnsi="Arial" w:cs="Arial"/>
          <w:b/>
        </w:rPr>
      </w:pPr>
      <w:r>
        <w:rPr>
          <w:rFonts w:ascii="Arial" w:hAnsi="Arial" w:cs="Arial"/>
          <w:b/>
        </w:rPr>
        <w:t>(including role of One-Stop Operator in System Operation)</w:t>
      </w:r>
    </w:p>
    <w:p w:rsidR="00D15158" w:rsidRDefault="00D15158" w:rsidP="00D15158">
      <w:pPr>
        <w:pStyle w:val="ListParagraph"/>
        <w:rPr>
          <w:rFonts w:ascii="Arial" w:hAnsi="Arial" w:cs="Arial"/>
          <w:b/>
        </w:rPr>
      </w:pPr>
    </w:p>
    <w:p w:rsidR="00D15158" w:rsidRDefault="00D15158" w:rsidP="00D15158">
      <w:pPr>
        <w:pStyle w:val="ListParagraph"/>
        <w:rPr>
          <w:rFonts w:ascii="Arial" w:hAnsi="Arial" w:cs="Arial"/>
          <w:i/>
          <w:color w:val="2E74B5" w:themeColor="accent1" w:themeShade="BF"/>
          <w:sz w:val="22"/>
          <w:szCs w:val="22"/>
        </w:rPr>
      </w:pPr>
      <w:r w:rsidRPr="00D27896">
        <w:rPr>
          <w:rFonts w:ascii="Arial" w:hAnsi="Arial" w:cs="Arial"/>
          <w:i/>
          <w:color w:val="2E74B5" w:themeColor="accent1" w:themeShade="BF"/>
          <w:sz w:val="22"/>
          <w:szCs w:val="22"/>
        </w:rPr>
        <w:t xml:space="preserve">References:  </w:t>
      </w:r>
    </w:p>
    <w:p w:rsidR="00D27896" w:rsidRPr="00D27896" w:rsidRDefault="00D27896" w:rsidP="00D15158">
      <w:pPr>
        <w:pStyle w:val="ListParagraph"/>
        <w:rPr>
          <w:rFonts w:ascii="Arial" w:hAnsi="Arial" w:cs="Arial"/>
          <w:i/>
          <w:color w:val="2E74B5" w:themeColor="accent1" w:themeShade="BF"/>
          <w:sz w:val="22"/>
          <w:szCs w:val="22"/>
        </w:rPr>
      </w:pPr>
    </w:p>
    <w:p w:rsidR="00D15158" w:rsidRPr="00D27896" w:rsidRDefault="00D15158" w:rsidP="00D15158">
      <w:pPr>
        <w:pStyle w:val="ListParagraph"/>
        <w:rPr>
          <w:rFonts w:ascii="Arial" w:hAnsi="Arial" w:cs="Arial"/>
          <w:color w:val="2E74B5" w:themeColor="accent1" w:themeShade="BF"/>
          <w:sz w:val="22"/>
          <w:szCs w:val="22"/>
        </w:rPr>
      </w:pPr>
      <w:r w:rsidRPr="00D27896">
        <w:rPr>
          <w:rFonts w:ascii="Arial" w:hAnsi="Arial" w:cs="Arial"/>
          <w:color w:val="2E74B5" w:themeColor="accent1" w:themeShade="BF"/>
          <w:sz w:val="22"/>
          <w:szCs w:val="22"/>
        </w:rPr>
        <w:t>Guidance in State Unified Plan on Service Design and Strategy</w:t>
      </w:r>
    </w:p>
    <w:p w:rsidR="00D15158" w:rsidRDefault="00D15158" w:rsidP="00D15158">
      <w:pPr>
        <w:pStyle w:val="ListParagraph"/>
        <w:rPr>
          <w:rFonts w:ascii="Arial" w:hAnsi="Arial" w:cs="Arial"/>
          <w:color w:val="2E74B5" w:themeColor="accent1" w:themeShade="BF"/>
          <w:sz w:val="22"/>
          <w:szCs w:val="22"/>
        </w:rPr>
      </w:pPr>
      <w:r w:rsidRPr="00D27896">
        <w:rPr>
          <w:rFonts w:ascii="Arial" w:hAnsi="Arial" w:cs="Arial"/>
          <w:color w:val="2E74B5" w:themeColor="accent1" w:themeShade="BF"/>
          <w:sz w:val="22"/>
          <w:szCs w:val="22"/>
        </w:rPr>
        <w:t>Description in State Unified Plan of Career Pathways Model</w:t>
      </w:r>
    </w:p>
    <w:p w:rsidR="00D27896" w:rsidRPr="00D27896" w:rsidRDefault="00D27896" w:rsidP="00D15158">
      <w:pPr>
        <w:pStyle w:val="ListParagraph"/>
        <w:rPr>
          <w:rFonts w:ascii="Arial" w:hAnsi="Arial" w:cs="Arial"/>
          <w:color w:val="2E74B5" w:themeColor="accent1" w:themeShade="BF"/>
          <w:sz w:val="22"/>
          <w:szCs w:val="22"/>
        </w:rPr>
      </w:pPr>
    </w:p>
    <w:p w:rsidR="00D15158" w:rsidRDefault="00D15158" w:rsidP="00D15158">
      <w:pPr>
        <w:pStyle w:val="ListParagraph"/>
        <w:rPr>
          <w:rFonts w:ascii="Arial" w:hAnsi="Arial" w:cs="Arial"/>
          <w:bCs/>
          <w:color w:val="2E74B5" w:themeColor="accent1" w:themeShade="BF"/>
          <w:sz w:val="22"/>
          <w:szCs w:val="22"/>
        </w:rPr>
      </w:pPr>
      <w:r w:rsidRPr="00D27896">
        <w:rPr>
          <w:rFonts w:ascii="Arial" w:hAnsi="Arial" w:cs="Arial"/>
          <w:bCs/>
          <w:color w:val="2E74B5" w:themeColor="accent1" w:themeShade="BF"/>
          <w:sz w:val="22"/>
          <w:szCs w:val="22"/>
        </w:rPr>
        <w:t>§ 361.420 What are the roles and responsibilities of the required one-stop partners?</w:t>
      </w:r>
    </w:p>
    <w:p w:rsidR="00D27896" w:rsidRPr="00D27896" w:rsidRDefault="00D27896" w:rsidP="00D15158">
      <w:pPr>
        <w:pStyle w:val="ListParagraph"/>
        <w:rPr>
          <w:rFonts w:ascii="Arial" w:hAnsi="Arial" w:cs="Arial"/>
          <w:bCs/>
          <w:color w:val="2E74B5" w:themeColor="accent1" w:themeShade="BF"/>
          <w:sz w:val="22"/>
          <w:szCs w:val="22"/>
        </w:rPr>
      </w:pPr>
    </w:p>
    <w:p w:rsidR="00D15158" w:rsidRPr="00D27896" w:rsidRDefault="00D15158" w:rsidP="00D15158">
      <w:pPr>
        <w:ind w:firstLine="720"/>
        <w:rPr>
          <w:rFonts w:ascii="Arial" w:hAnsi="Arial" w:cs="Arial"/>
          <w:bCs/>
          <w:color w:val="2E74B5" w:themeColor="accent1" w:themeShade="BF"/>
        </w:rPr>
      </w:pPr>
      <w:r w:rsidRPr="00D27896">
        <w:rPr>
          <w:rFonts w:ascii="Arial" w:hAnsi="Arial" w:cs="Arial"/>
          <w:bCs/>
          <w:color w:val="2E74B5" w:themeColor="accent1" w:themeShade="BF"/>
        </w:rPr>
        <w:t>§ 361.430 What are career services?</w:t>
      </w:r>
    </w:p>
    <w:p w:rsidR="00D15158" w:rsidRPr="00D27896" w:rsidRDefault="00D15158" w:rsidP="00D15158">
      <w:pPr>
        <w:autoSpaceDE w:val="0"/>
        <w:autoSpaceDN w:val="0"/>
        <w:adjustRightInd w:val="0"/>
        <w:ind w:left="720"/>
        <w:rPr>
          <w:rFonts w:ascii="Arial" w:hAnsi="Arial" w:cs="Arial"/>
          <w:color w:val="2E74B5" w:themeColor="accent1" w:themeShade="BF"/>
        </w:rPr>
      </w:pPr>
      <w:r w:rsidRPr="00D27896">
        <w:rPr>
          <w:rFonts w:ascii="Arial" w:hAnsi="Arial" w:cs="Arial"/>
          <w:bCs/>
          <w:color w:val="2E74B5" w:themeColor="accent1" w:themeShade="BF"/>
        </w:rPr>
        <w:t xml:space="preserve">§ 361.435 What are the business services provided through the one-stop delivery system, and how are they provided? </w:t>
      </w:r>
    </w:p>
    <w:p w:rsidR="00D15158" w:rsidRPr="003D0D8C" w:rsidRDefault="00D15158" w:rsidP="00D15158">
      <w:pPr>
        <w:ind w:firstLine="720"/>
        <w:rPr>
          <w:rFonts w:cs="Times New Roman"/>
          <w:b/>
          <w:bCs/>
        </w:rPr>
      </w:pPr>
    </w:p>
    <w:p w:rsidR="00D15158" w:rsidRDefault="00D15158" w:rsidP="00D15158">
      <w:pPr>
        <w:pStyle w:val="ListParagraph"/>
        <w:rPr>
          <w:rFonts w:ascii="Arial" w:hAnsi="Arial" w:cs="Arial"/>
          <w:b/>
        </w:rPr>
      </w:pPr>
    </w:p>
    <w:p w:rsidR="00D15158" w:rsidRPr="00BC6584" w:rsidRDefault="00D15158" w:rsidP="00D15158">
      <w:pPr>
        <w:pStyle w:val="ListParagraph"/>
        <w:rPr>
          <w:rFonts w:ascii="Arial" w:hAnsi="Arial" w:cs="Arial"/>
          <w:b/>
        </w:rPr>
      </w:pPr>
    </w:p>
    <w:p w:rsidR="00D15158" w:rsidRDefault="00D15158" w:rsidP="00D15158">
      <w:pPr>
        <w:pStyle w:val="ListParagraph"/>
        <w:numPr>
          <w:ilvl w:val="0"/>
          <w:numId w:val="3"/>
        </w:numPr>
        <w:rPr>
          <w:rFonts w:ascii="Arial" w:hAnsi="Arial" w:cs="Arial"/>
          <w:b/>
        </w:rPr>
      </w:pPr>
      <w:r>
        <w:rPr>
          <w:rFonts w:ascii="Arial" w:hAnsi="Arial" w:cs="Arial"/>
          <w:b/>
        </w:rPr>
        <w:t xml:space="preserve">System Operating Costs </w:t>
      </w:r>
    </w:p>
    <w:p w:rsidR="00D15158" w:rsidRPr="00495550" w:rsidRDefault="00D15158" w:rsidP="00D15158">
      <w:pPr>
        <w:pStyle w:val="ListParagraph"/>
        <w:rPr>
          <w:rFonts w:ascii="Arial" w:hAnsi="Arial" w:cs="Arial"/>
          <w:b/>
        </w:rPr>
      </w:pPr>
    </w:p>
    <w:p w:rsidR="00D15158" w:rsidRDefault="00D15158" w:rsidP="00D15158">
      <w:pPr>
        <w:pStyle w:val="ListParagraph"/>
        <w:numPr>
          <w:ilvl w:val="1"/>
          <w:numId w:val="3"/>
        </w:numPr>
        <w:rPr>
          <w:rFonts w:ascii="Arial" w:hAnsi="Arial" w:cs="Arial"/>
          <w:b/>
        </w:rPr>
      </w:pPr>
      <w:r>
        <w:rPr>
          <w:rFonts w:ascii="Arial" w:hAnsi="Arial" w:cs="Arial"/>
          <w:b/>
        </w:rPr>
        <w:t>Infrastructure Costs</w:t>
      </w:r>
    </w:p>
    <w:p w:rsidR="00D15158" w:rsidRDefault="00D15158" w:rsidP="00D15158">
      <w:pPr>
        <w:pStyle w:val="ListParagraph"/>
        <w:numPr>
          <w:ilvl w:val="1"/>
          <w:numId w:val="3"/>
        </w:numPr>
        <w:rPr>
          <w:rFonts w:ascii="Arial" w:hAnsi="Arial" w:cs="Arial"/>
          <w:b/>
        </w:rPr>
      </w:pPr>
      <w:r>
        <w:rPr>
          <w:rFonts w:ascii="Arial" w:hAnsi="Arial" w:cs="Arial"/>
          <w:b/>
        </w:rPr>
        <w:t>Shared Operational Costs</w:t>
      </w:r>
    </w:p>
    <w:p w:rsidR="00D15158" w:rsidRPr="007241D1" w:rsidRDefault="00D15158" w:rsidP="00D15158">
      <w:pPr>
        <w:pStyle w:val="ListParagraph"/>
        <w:rPr>
          <w:rFonts w:ascii="Arial" w:hAnsi="Arial" w:cs="Arial"/>
          <w:b/>
        </w:rPr>
      </w:pPr>
    </w:p>
    <w:p w:rsidR="00D15158" w:rsidRPr="00D27896" w:rsidRDefault="00D15158" w:rsidP="00D15158">
      <w:pPr>
        <w:ind w:left="720"/>
        <w:rPr>
          <w:rFonts w:ascii="Arial" w:hAnsi="Arial" w:cs="Arial"/>
          <w:i/>
          <w:color w:val="2E74B5" w:themeColor="accent1" w:themeShade="BF"/>
        </w:rPr>
      </w:pPr>
      <w:r w:rsidRPr="00D27896">
        <w:rPr>
          <w:rFonts w:ascii="Arial" w:hAnsi="Arial" w:cs="Arial"/>
          <w:i/>
          <w:color w:val="2E74B5" w:themeColor="accent1" w:themeShade="BF"/>
        </w:rPr>
        <w:t xml:space="preserve">Reference: </w:t>
      </w:r>
    </w:p>
    <w:p w:rsidR="00D15158" w:rsidRDefault="00D15158" w:rsidP="00D15158">
      <w:pPr>
        <w:pStyle w:val="Default"/>
        <w:ind w:firstLine="720"/>
        <w:rPr>
          <w:rFonts w:ascii="Arial" w:hAnsi="Arial" w:cs="Arial"/>
          <w:bCs/>
          <w:color w:val="2E74B5" w:themeColor="accent1" w:themeShade="BF"/>
          <w:sz w:val="22"/>
          <w:szCs w:val="22"/>
        </w:rPr>
      </w:pPr>
      <w:r w:rsidRPr="00D27896">
        <w:rPr>
          <w:rFonts w:ascii="Arial" w:hAnsi="Arial" w:cs="Arial"/>
          <w:bCs/>
          <w:color w:val="2E74B5" w:themeColor="accent1" w:themeShade="BF"/>
          <w:sz w:val="22"/>
          <w:szCs w:val="22"/>
        </w:rPr>
        <w:t xml:space="preserve">§ 361.700 What are the one-stop infrastructure costs? </w:t>
      </w:r>
    </w:p>
    <w:p w:rsidR="00D27896" w:rsidRPr="00D27896" w:rsidRDefault="00D27896" w:rsidP="00D15158">
      <w:pPr>
        <w:pStyle w:val="Default"/>
        <w:ind w:firstLine="720"/>
        <w:rPr>
          <w:rFonts w:ascii="Arial" w:hAnsi="Arial" w:cs="Arial"/>
          <w:bCs/>
          <w:color w:val="2E74B5" w:themeColor="accent1" w:themeShade="BF"/>
          <w:sz w:val="22"/>
          <w:szCs w:val="22"/>
        </w:rPr>
      </w:pPr>
    </w:p>
    <w:p w:rsidR="00D15158" w:rsidRDefault="00D15158" w:rsidP="00D15158">
      <w:pPr>
        <w:pStyle w:val="Default"/>
        <w:ind w:left="720"/>
        <w:rPr>
          <w:rFonts w:ascii="Arial" w:hAnsi="Arial" w:cs="Arial"/>
          <w:bCs/>
          <w:color w:val="2E74B5" w:themeColor="accent1" w:themeShade="BF"/>
          <w:sz w:val="22"/>
          <w:szCs w:val="22"/>
        </w:rPr>
      </w:pPr>
      <w:r w:rsidRPr="00D27896">
        <w:rPr>
          <w:rFonts w:ascii="Arial" w:hAnsi="Arial" w:cs="Arial"/>
          <w:bCs/>
          <w:color w:val="2E74B5" w:themeColor="accent1" w:themeShade="BF"/>
          <w:sz w:val="22"/>
          <w:szCs w:val="22"/>
        </w:rPr>
        <w:t>§ 361.715 How are one-stop infrastructure costs funded in the local funding mechanism?</w:t>
      </w:r>
    </w:p>
    <w:p w:rsidR="00D27896" w:rsidRPr="00D27896" w:rsidRDefault="00D27896" w:rsidP="00D15158">
      <w:pPr>
        <w:pStyle w:val="Default"/>
        <w:ind w:left="720"/>
        <w:rPr>
          <w:rFonts w:ascii="Arial" w:hAnsi="Arial" w:cs="Arial"/>
          <w:bCs/>
          <w:color w:val="2E74B5" w:themeColor="accent1" w:themeShade="BF"/>
          <w:sz w:val="22"/>
          <w:szCs w:val="22"/>
        </w:rPr>
      </w:pPr>
    </w:p>
    <w:p w:rsidR="00D15158" w:rsidRPr="00D27896" w:rsidRDefault="00D15158" w:rsidP="00D15158">
      <w:pPr>
        <w:pStyle w:val="Default"/>
        <w:ind w:left="720"/>
        <w:rPr>
          <w:rFonts w:ascii="Arial" w:hAnsi="Arial" w:cs="Arial"/>
          <w:bCs/>
          <w:color w:val="2E74B5" w:themeColor="accent1" w:themeShade="BF"/>
          <w:sz w:val="22"/>
          <w:szCs w:val="22"/>
        </w:rPr>
      </w:pPr>
      <w:r w:rsidRPr="00D27896">
        <w:rPr>
          <w:rFonts w:ascii="Arial" w:hAnsi="Arial" w:cs="Arial"/>
          <w:bCs/>
          <w:color w:val="2E74B5" w:themeColor="accent1" w:themeShade="BF"/>
          <w:sz w:val="22"/>
          <w:szCs w:val="22"/>
        </w:rPr>
        <w:lastRenderedPageBreak/>
        <w:t>§ 361.720 What funds are used to pay for infrastructure costs in the local one-stop infrastructure funding mechanism?</w:t>
      </w:r>
    </w:p>
    <w:p w:rsidR="00D15158" w:rsidRPr="003D0D8C" w:rsidRDefault="00D15158" w:rsidP="00D15158">
      <w:pPr>
        <w:pStyle w:val="Default"/>
        <w:ind w:left="720"/>
        <w:rPr>
          <w:b/>
          <w:bCs/>
          <w:color w:val="auto"/>
        </w:rPr>
      </w:pPr>
      <w:r w:rsidRPr="003D0D8C">
        <w:rPr>
          <w:b/>
          <w:bCs/>
          <w:color w:val="auto"/>
        </w:rPr>
        <w:t xml:space="preserve"> </w:t>
      </w:r>
    </w:p>
    <w:p w:rsidR="00D15158" w:rsidRPr="00D5095F" w:rsidRDefault="00D15158" w:rsidP="00D15158">
      <w:pPr>
        <w:rPr>
          <w:rFonts w:ascii="Arial" w:hAnsi="Arial" w:cs="Arial"/>
          <w:b/>
        </w:rPr>
      </w:pPr>
    </w:p>
    <w:p w:rsidR="00D15158" w:rsidRDefault="00D15158" w:rsidP="00D15158">
      <w:pPr>
        <w:rPr>
          <w:rFonts w:ascii="Arial" w:hAnsi="Arial" w:cs="Arial"/>
          <w:b/>
        </w:rPr>
      </w:pPr>
    </w:p>
    <w:p w:rsidR="00D15158" w:rsidRDefault="00D15158" w:rsidP="00D15158">
      <w:pPr>
        <w:pStyle w:val="ListParagraph"/>
        <w:numPr>
          <w:ilvl w:val="0"/>
          <w:numId w:val="3"/>
        </w:numPr>
        <w:rPr>
          <w:rFonts w:ascii="Arial" w:hAnsi="Arial" w:cs="Arial"/>
          <w:b/>
        </w:rPr>
      </w:pPr>
      <w:r>
        <w:rPr>
          <w:rFonts w:ascii="Arial" w:hAnsi="Arial" w:cs="Arial"/>
          <w:b/>
        </w:rPr>
        <w:t>Customer Sharing / Method of Referral</w:t>
      </w:r>
    </w:p>
    <w:p w:rsidR="00D15158" w:rsidRDefault="00D15158" w:rsidP="00D15158">
      <w:pPr>
        <w:pStyle w:val="ListParagraph"/>
        <w:rPr>
          <w:rFonts w:ascii="Arial" w:hAnsi="Arial" w:cs="Arial"/>
          <w:b/>
        </w:rPr>
      </w:pPr>
    </w:p>
    <w:p w:rsidR="00D15158" w:rsidRPr="00092A33" w:rsidRDefault="00D15158" w:rsidP="00D15158">
      <w:pPr>
        <w:rPr>
          <w:rFonts w:ascii="Arial" w:hAnsi="Arial" w:cs="Arial"/>
          <w:b/>
        </w:rPr>
      </w:pPr>
    </w:p>
    <w:p w:rsidR="00D15158" w:rsidRDefault="00D15158" w:rsidP="00D15158">
      <w:pPr>
        <w:pStyle w:val="ListParagraph"/>
        <w:numPr>
          <w:ilvl w:val="0"/>
          <w:numId w:val="3"/>
        </w:numPr>
        <w:rPr>
          <w:rFonts w:ascii="Arial" w:hAnsi="Arial" w:cs="Arial"/>
          <w:b/>
        </w:rPr>
      </w:pPr>
      <w:r>
        <w:rPr>
          <w:rFonts w:ascii="Arial" w:hAnsi="Arial" w:cs="Arial"/>
          <w:b/>
        </w:rPr>
        <w:t xml:space="preserve">How Individuals with Barriers </w:t>
      </w:r>
      <w:proofErr w:type="gramStart"/>
      <w:r>
        <w:rPr>
          <w:rFonts w:ascii="Arial" w:hAnsi="Arial" w:cs="Arial"/>
          <w:b/>
        </w:rPr>
        <w:t>are</w:t>
      </w:r>
      <w:proofErr w:type="gramEnd"/>
      <w:r>
        <w:rPr>
          <w:rFonts w:ascii="Arial" w:hAnsi="Arial" w:cs="Arial"/>
          <w:b/>
        </w:rPr>
        <w:t xml:space="preserve"> Included, and Center Accessibility</w:t>
      </w:r>
      <w:r w:rsidRPr="00092A33">
        <w:rPr>
          <w:rFonts w:ascii="Arial" w:hAnsi="Arial" w:cs="Arial"/>
          <w:b/>
        </w:rPr>
        <w:t xml:space="preserve"> </w:t>
      </w:r>
    </w:p>
    <w:p w:rsidR="00D15158" w:rsidRPr="009C42B3" w:rsidRDefault="00D15158" w:rsidP="00D15158">
      <w:pPr>
        <w:pStyle w:val="Default"/>
        <w:spacing w:before="240"/>
        <w:ind w:left="720"/>
        <w:rPr>
          <w:rFonts w:ascii="Arial" w:hAnsi="Arial" w:cs="Arial"/>
          <w:color w:val="auto"/>
        </w:rPr>
      </w:pPr>
      <w:r w:rsidRPr="009C42B3">
        <w:rPr>
          <w:rFonts w:ascii="Arial" w:hAnsi="Arial" w:cs="Arial"/>
        </w:rPr>
        <w:t xml:space="preserve">(description in </w:t>
      </w:r>
      <w:r w:rsidRPr="009C42B3">
        <w:rPr>
          <w:rFonts w:ascii="Arial" w:hAnsi="Arial" w:cs="Arial"/>
          <w:bCs/>
          <w:color w:val="auto"/>
        </w:rPr>
        <w:t>§ 361.500)</w:t>
      </w:r>
      <w:r w:rsidRPr="009C42B3">
        <w:rPr>
          <w:rFonts w:ascii="Arial" w:hAnsi="Arial" w:cs="Arial"/>
          <w:b/>
          <w:bCs/>
          <w:color w:val="auto"/>
        </w:rPr>
        <w:t xml:space="preserve"> </w:t>
      </w:r>
      <w:r w:rsidRPr="009C42B3">
        <w:rPr>
          <w:rFonts w:ascii="Arial" w:hAnsi="Arial" w:cs="Arial"/>
          <w:color w:val="auto"/>
        </w:rPr>
        <w:t xml:space="preserve">Methods to ensure that the needs of workers, youth, and individuals with barriers to employment, including individuals with disabilities, are addressed in providing access to services, including access to technology and materials that are available through the one-stop delivery system; </w:t>
      </w:r>
    </w:p>
    <w:p w:rsidR="00D15158" w:rsidRDefault="00D15158" w:rsidP="00D15158">
      <w:pPr>
        <w:pStyle w:val="ListParagraph"/>
        <w:tabs>
          <w:tab w:val="left" w:pos="1608"/>
        </w:tabs>
        <w:ind w:left="360"/>
        <w:rPr>
          <w:rFonts w:ascii="Arial" w:hAnsi="Arial" w:cs="Arial"/>
          <w:b/>
        </w:rPr>
      </w:pPr>
    </w:p>
    <w:p w:rsidR="00D15158" w:rsidRDefault="00D15158" w:rsidP="00D15158">
      <w:pPr>
        <w:pStyle w:val="ListParagraph"/>
        <w:ind w:left="1080"/>
        <w:rPr>
          <w:rFonts w:ascii="Arial" w:hAnsi="Arial" w:cs="Arial"/>
          <w:b/>
        </w:rPr>
      </w:pPr>
    </w:p>
    <w:p w:rsidR="00D15158" w:rsidRDefault="00D15158" w:rsidP="00D15158">
      <w:pPr>
        <w:pStyle w:val="ListParagraph"/>
        <w:numPr>
          <w:ilvl w:val="0"/>
          <w:numId w:val="3"/>
        </w:numPr>
        <w:rPr>
          <w:rFonts w:ascii="Arial" w:hAnsi="Arial" w:cs="Arial"/>
          <w:b/>
        </w:rPr>
      </w:pPr>
      <w:r>
        <w:rPr>
          <w:rFonts w:ascii="Arial" w:hAnsi="Arial" w:cs="Arial"/>
          <w:b/>
        </w:rPr>
        <w:t>Duration of Agreement/Provisions for Amendment</w:t>
      </w:r>
    </w:p>
    <w:p w:rsidR="00D15158" w:rsidRDefault="00D15158" w:rsidP="00D15158">
      <w:pPr>
        <w:pStyle w:val="ListParagraph"/>
        <w:rPr>
          <w:rFonts w:ascii="Arial" w:hAnsi="Arial" w:cs="Arial"/>
          <w:b/>
        </w:rPr>
      </w:pPr>
    </w:p>
    <w:p w:rsidR="00D15158" w:rsidRDefault="00D15158" w:rsidP="00D15158">
      <w:pPr>
        <w:pStyle w:val="ListParagraph"/>
        <w:numPr>
          <w:ilvl w:val="0"/>
          <w:numId w:val="3"/>
        </w:numPr>
        <w:rPr>
          <w:rFonts w:ascii="Arial" w:hAnsi="Arial" w:cs="Arial"/>
          <w:b/>
        </w:rPr>
      </w:pPr>
      <w:r>
        <w:rPr>
          <w:rFonts w:ascii="Arial" w:hAnsi="Arial" w:cs="Arial"/>
          <w:b/>
        </w:rPr>
        <w:t>Assurances</w:t>
      </w:r>
    </w:p>
    <w:p w:rsidR="00D15158" w:rsidRPr="009C42B3" w:rsidRDefault="00D15158" w:rsidP="00D15158">
      <w:pPr>
        <w:pStyle w:val="Default"/>
        <w:ind w:left="720"/>
        <w:rPr>
          <w:rFonts w:ascii="Arial" w:hAnsi="Arial" w:cs="Arial"/>
          <w:color w:val="auto"/>
        </w:rPr>
      </w:pPr>
      <w:r w:rsidRPr="009C42B3">
        <w:rPr>
          <w:rFonts w:ascii="Arial" w:hAnsi="Arial" w:cs="Arial"/>
        </w:rPr>
        <w:t xml:space="preserve">(description in </w:t>
      </w:r>
      <w:r w:rsidRPr="009C42B3">
        <w:rPr>
          <w:rFonts w:ascii="Arial" w:hAnsi="Arial" w:cs="Arial"/>
          <w:bCs/>
          <w:color w:val="auto"/>
        </w:rPr>
        <w:t>§ 361.500)</w:t>
      </w:r>
      <w:r w:rsidRPr="009C42B3">
        <w:rPr>
          <w:rFonts w:ascii="Arial" w:hAnsi="Arial" w:cs="Arial"/>
          <w:b/>
          <w:bCs/>
          <w:color w:val="auto"/>
        </w:rPr>
        <w:t xml:space="preserve"> </w:t>
      </w:r>
      <w:r w:rsidRPr="009C42B3">
        <w:rPr>
          <w:rFonts w:ascii="Arial" w:hAnsi="Arial" w:cs="Arial"/>
          <w:color w:val="auto"/>
        </w:rPr>
        <w:t xml:space="preserve">Assurances that each </w:t>
      </w:r>
      <w:proofErr w:type="spellStart"/>
      <w:r w:rsidRPr="009C42B3">
        <w:rPr>
          <w:rFonts w:ascii="Arial" w:hAnsi="Arial" w:cs="Arial"/>
          <w:color w:val="auto"/>
        </w:rPr>
        <w:t>MOU</w:t>
      </w:r>
      <w:proofErr w:type="spellEnd"/>
      <w:r w:rsidRPr="009C42B3">
        <w:rPr>
          <w:rFonts w:ascii="Arial" w:hAnsi="Arial" w:cs="Arial"/>
          <w:color w:val="auto"/>
        </w:rPr>
        <w:t xml:space="preserve"> will be reviewed, and if substantial changes have occurred, renewed, not less than once every </w:t>
      </w:r>
      <w:r w:rsidR="009C42B3">
        <w:rPr>
          <w:rFonts w:ascii="Arial" w:hAnsi="Arial" w:cs="Arial"/>
          <w:color w:val="auto"/>
        </w:rPr>
        <w:t>three</w:t>
      </w:r>
      <w:r w:rsidRPr="009C42B3">
        <w:rPr>
          <w:rFonts w:ascii="Arial" w:hAnsi="Arial" w:cs="Arial"/>
          <w:color w:val="auto"/>
        </w:rPr>
        <w:t xml:space="preserve">-year period to ensure appropriate funding and delivery of services. </w:t>
      </w:r>
    </w:p>
    <w:p w:rsidR="00D15158" w:rsidRDefault="00D15158" w:rsidP="00D15158">
      <w:pPr>
        <w:pStyle w:val="ListParagraph"/>
        <w:rPr>
          <w:rFonts w:ascii="Arial" w:hAnsi="Arial" w:cs="Arial"/>
          <w:b/>
        </w:rPr>
      </w:pPr>
    </w:p>
    <w:p w:rsidR="00D15158" w:rsidRDefault="00D15158" w:rsidP="00D15158">
      <w:pPr>
        <w:pStyle w:val="ListParagraph"/>
        <w:rPr>
          <w:rFonts w:ascii="Arial" w:hAnsi="Arial" w:cs="Arial"/>
          <w:b/>
        </w:rPr>
      </w:pPr>
    </w:p>
    <w:p w:rsidR="00D15158" w:rsidRPr="00D5095F" w:rsidRDefault="00D15158" w:rsidP="00D15158">
      <w:pPr>
        <w:pStyle w:val="ListParagraph"/>
        <w:ind w:left="0"/>
        <w:rPr>
          <w:rFonts w:ascii="Arial" w:hAnsi="Arial" w:cs="Arial"/>
          <w:b/>
          <w:i/>
        </w:rPr>
      </w:pPr>
      <w:r>
        <w:rPr>
          <w:rFonts w:ascii="Arial" w:hAnsi="Arial" w:cs="Arial"/>
          <w:b/>
          <w:i/>
        </w:rPr>
        <w:t>…other provisions as Governor, State Board and/or Local Board may require.  Examples from samples provided include (though some of these may have been addressed in the Service Description Section above):</w:t>
      </w:r>
    </w:p>
    <w:p w:rsidR="00D15158" w:rsidRPr="00E04D9D" w:rsidRDefault="00D15158" w:rsidP="00D15158">
      <w:pPr>
        <w:pStyle w:val="ListParagraph"/>
        <w:rPr>
          <w:rFonts w:ascii="Arial" w:hAnsi="Arial" w:cs="Arial"/>
        </w:rPr>
      </w:pPr>
    </w:p>
    <w:p w:rsidR="00D15158" w:rsidRPr="00CE2D4D" w:rsidRDefault="00D15158" w:rsidP="00D15158">
      <w:pPr>
        <w:pStyle w:val="ListParagraph"/>
        <w:numPr>
          <w:ilvl w:val="0"/>
          <w:numId w:val="3"/>
        </w:numPr>
        <w:rPr>
          <w:rFonts w:ascii="Arial" w:hAnsi="Arial" w:cs="Arial"/>
        </w:rPr>
      </w:pPr>
      <w:r w:rsidRPr="00CE2D4D">
        <w:rPr>
          <w:rFonts w:ascii="Arial" w:hAnsi="Arial" w:cs="Arial"/>
        </w:rPr>
        <w:t>Performance Reporting/Common Performance Measures/Data Sharing Provisions</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 xml:space="preserve">Dispute resolution </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Confidentiality / Information Sharing</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Co-location and how partner or satellite offices are included in overall “system operation”</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 xml:space="preserve">Monitoring / </w:t>
      </w:r>
      <w:proofErr w:type="spellStart"/>
      <w:r w:rsidRPr="00CE2D4D">
        <w:rPr>
          <w:rFonts w:ascii="Arial" w:hAnsi="Arial" w:cs="Arial"/>
        </w:rPr>
        <w:t>WDB</w:t>
      </w:r>
      <w:proofErr w:type="spellEnd"/>
      <w:r w:rsidRPr="00CE2D4D">
        <w:rPr>
          <w:rFonts w:ascii="Arial" w:hAnsi="Arial" w:cs="Arial"/>
        </w:rPr>
        <w:t xml:space="preserve"> Oversight (including oversight of One-Stop Operator)</w:t>
      </w:r>
    </w:p>
    <w:p w:rsidR="00D15158" w:rsidRPr="0000642A" w:rsidRDefault="00D15158" w:rsidP="00D15158">
      <w:pPr>
        <w:pStyle w:val="ListParagraph"/>
        <w:numPr>
          <w:ilvl w:val="0"/>
          <w:numId w:val="3"/>
        </w:numPr>
        <w:rPr>
          <w:rFonts w:ascii="Arial" w:hAnsi="Arial" w:cs="Arial"/>
        </w:rPr>
      </w:pPr>
      <w:r w:rsidRPr="00CE2D4D">
        <w:rPr>
          <w:rFonts w:ascii="Arial" w:hAnsi="Arial" w:cs="Arial"/>
        </w:rPr>
        <w:t>Meeting of Business needs (although suggested to be included in service description above)</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Ownership of Materials</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Communication / Notices</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Staff Development</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Insurance</w:t>
      </w:r>
    </w:p>
    <w:p w:rsidR="00D15158" w:rsidRPr="00CE2D4D" w:rsidRDefault="00D15158" w:rsidP="00D15158">
      <w:pPr>
        <w:pStyle w:val="ListParagraph"/>
        <w:numPr>
          <w:ilvl w:val="0"/>
          <w:numId w:val="3"/>
        </w:numPr>
        <w:rPr>
          <w:rFonts w:ascii="Arial" w:hAnsi="Arial" w:cs="Arial"/>
        </w:rPr>
      </w:pPr>
      <w:r w:rsidRPr="00CE2D4D">
        <w:rPr>
          <w:rFonts w:ascii="Arial" w:hAnsi="Arial" w:cs="Arial"/>
        </w:rPr>
        <w:t>Assignment/Delegation/Sub-Contracts</w:t>
      </w:r>
    </w:p>
    <w:p w:rsidR="00D15158" w:rsidRPr="00F24B55" w:rsidRDefault="00D15158" w:rsidP="00D15158">
      <w:pPr>
        <w:pStyle w:val="ListParagraph"/>
        <w:rPr>
          <w:rFonts w:ascii="Arial" w:hAnsi="Arial" w:cs="Arial"/>
          <w:b/>
        </w:rPr>
      </w:pPr>
    </w:p>
    <w:p w:rsidR="00D15158" w:rsidRDefault="00D15158" w:rsidP="00D15158">
      <w:pPr>
        <w:pStyle w:val="ListParagraph"/>
        <w:ind w:left="0"/>
        <w:rPr>
          <w:rFonts w:ascii="Arial" w:hAnsi="Arial" w:cs="Arial"/>
          <w:b/>
          <w:i/>
        </w:rPr>
      </w:pPr>
      <w:r>
        <w:rPr>
          <w:rFonts w:ascii="Arial" w:hAnsi="Arial" w:cs="Arial"/>
          <w:b/>
          <w:i/>
        </w:rPr>
        <w:t>Required Attachments:</w:t>
      </w:r>
    </w:p>
    <w:p w:rsidR="00D15158" w:rsidRDefault="00D15158" w:rsidP="00D15158">
      <w:pPr>
        <w:pStyle w:val="ListParagraph"/>
        <w:numPr>
          <w:ilvl w:val="0"/>
          <w:numId w:val="6"/>
        </w:numPr>
        <w:rPr>
          <w:rFonts w:ascii="Arial" w:hAnsi="Arial" w:cs="Arial"/>
          <w:b/>
          <w:i/>
        </w:rPr>
      </w:pPr>
      <w:proofErr w:type="spellStart"/>
      <w:r>
        <w:rPr>
          <w:rFonts w:ascii="Arial" w:hAnsi="Arial" w:cs="Arial"/>
          <w:b/>
          <w:i/>
        </w:rPr>
        <w:lastRenderedPageBreak/>
        <w:t>IFA</w:t>
      </w:r>
      <w:proofErr w:type="spellEnd"/>
      <w:r>
        <w:rPr>
          <w:rFonts w:ascii="Arial" w:hAnsi="Arial" w:cs="Arial"/>
          <w:b/>
          <w:i/>
        </w:rPr>
        <w:t xml:space="preserve"> (Infrastructure Funding Agreement) if components are not fully included in the infrastructure costs section in the </w:t>
      </w:r>
      <w:proofErr w:type="spellStart"/>
      <w:r>
        <w:rPr>
          <w:rFonts w:ascii="Arial" w:hAnsi="Arial" w:cs="Arial"/>
          <w:b/>
          <w:i/>
        </w:rPr>
        <w:t>MOU</w:t>
      </w:r>
      <w:proofErr w:type="spellEnd"/>
      <w:r>
        <w:rPr>
          <w:rFonts w:ascii="Arial" w:hAnsi="Arial" w:cs="Arial"/>
          <w:b/>
          <w:i/>
        </w:rPr>
        <w:t xml:space="preserve"> main document (this is not a separate agreement, but a part of the </w:t>
      </w:r>
      <w:proofErr w:type="spellStart"/>
      <w:r>
        <w:rPr>
          <w:rFonts w:ascii="Arial" w:hAnsi="Arial" w:cs="Arial"/>
          <w:b/>
          <w:i/>
        </w:rPr>
        <w:t>MOU</w:t>
      </w:r>
      <w:proofErr w:type="spellEnd"/>
      <w:r>
        <w:rPr>
          <w:rFonts w:ascii="Arial" w:hAnsi="Arial" w:cs="Arial"/>
          <w:b/>
          <w:i/>
        </w:rPr>
        <w:t xml:space="preserve">) - any changes in this portion require </w:t>
      </w:r>
      <w:proofErr w:type="spellStart"/>
      <w:r>
        <w:rPr>
          <w:rFonts w:ascii="Arial" w:hAnsi="Arial" w:cs="Arial"/>
          <w:b/>
          <w:i/>
        </w:rPr>
        <w:t>MOU</w:t>
      </w:r>
      <w:proofErr w:type="spellEnd"/>
      <w:r>
        <w:rPr>
          <w:rFonts w:ascii="Arial" w:hAnsi="Arial" w:cs="Arial"/>
          <w:b/>
          <w:i/>
        </w:rPr>
        <w:t xml:space="preserve"> modification and re-signing.</w:t>
      </w:r>
    </w:p>
    <w:p w:rsidR="00D15158" w:rsidRDefault="00D15158" w:rsidP="00D15158">
      <w:pPr>
        <w:pStyle w:val="ListParagraph"/>
        <w:rPr>
          <w:rFonts w:ascii="Arial" w:hAnsi="Arial" w:cs="Arial"/>
          <w:b/>
          <w:i/>
        </w:rPr>
      </w:pPr>
    </w:p>
    <w:p w:rsidR="00D15158" w:rsidRDefault="00D15158" w:rsidP="00D15158">
      <w:pPr>
        <w:pStyle w:val="ListParagraph"/>
        <w:ind w:left="0"/>
        <w:rPr>
          <w:rFonts w:ascii="Arial" w:hAnsi="Arial" w:cs="Arial"/>
          <w:b/>
          <w:i/>
        </w:rPr>
      </w:pPr>
      <w:r>
        <w:rPr>
          <w:rFonts w:ascii="Arial" w:hAnsi="Arial" w:cs="Arial"/>
          <w:b/>
          <w:i/>
        </w:rPr>
        <w:t>Possible Attachments:</w:t>
      </w:r>
    </w:p>
    <w:p w:rsidR="00D15158" w:rsidRDefault="00D15158" w:rsidP="00D15158">
      <w:pPr>
        <w:pStyle w:val="ListParagraph"/>
        <w:ind w:left="0"/>
        <w:rPr>
          <w:rFonts w:ascii="Arial" w:hAnsi="Arial" w:cs="Arial"/>
          <w:b/>
          <w:i/>
        </w:rPr>
      </w:pPr>
    </w:p>
    <w:p w:rsidR="00D15158" w:rsidRPr="00CE2D4D" w:rsidRDefault="00D15158" w:rsidP="00D15158">
      <w:pPr>
        <w:pStyle w:val="ListParagraph"/>
        <w:numPr>
          <w:ilvl w:val="0"/>
          <w:numId w:val="5"/>
        </w:numPr>
        <w:rPr>
          <w:rFonts w:ascii="Arial" w:hAnsi="Arial" w:cs="Arial"/>
          <w:b/>
        </w:rPr>
      </w:pPr>
      <w:r>
        <w:rPr>
          <w:rFonts w:ascii="Arial" w:hAnsi="Arial" w:cs="Arial"/>
          <w:b/>
          <w:i/>
        </w:rPr>
        <w:t>System Shared Costs</w:t>
      </w:r>
    </w:p>
    <w:p w:rsidR="00D15158" w:rsidRPr="00CE2D4D" w:rsidRDefault="00D15158" w:rsidP="00D15158">
      <w:pPr>
        <w:pStyle w:val="ListParagraph"/>
        <w:numPr>
          <w:ilvl w:val="0"/>
          <w:numId w:val="5"/>
        </w:numPr>
        <w:rPr>
          <w:rFonts w:ascii="Arial" w:hAnsi="Arial" w:cs="Arial"/>
          <w:b/>
        </w:rPr>
      </w:pPr>
      <w:r>
        <w:rPr>
          <w:rFonts w:ascii="Arial" w:hAnsi="Arial" w:cs="Arial"/>
          <w:b/>
          <w:i/>
        </w:rPr>
        <w:t>Confidentiality Policy (Local)</w:t>
      </w:r>
    </w:p>
    <w:p w:rsidR="00D15158" w:rsidRPr="00CE2D4D" w:rsidRDefault="00D15158" w:rsidP="00D15158">
      <w:pPr>
        <w:pStyle w:val="ListParagraph"/>
        <w:numPr>
          <w:ilvl w:val="0"/>
          <w:numId w:val="5"/>
        </w:numPr>
        <w:rPr>
          <w:rFonts w:ascii="Arial" w:hAnsi="Arial" w:cs="Arial"/>
          <w:b/>
        </w:rPr>
      </w:pPr>
      <w:r>
        <w:rPr>
          <w:rFonts w:ascii="Arial" w:hAnsi="Arial" w:cs="Arial"/>
          <w:b/>
          <w:i/>
        </w:rPr>
        <w:t>Data Sharing Policy (Local)</w:t>
      </w:r>
    </w:p>
    <w:p w:rsidR="00D15158" w:rsidRDefault="00D15158" w:rsidP="00D15158">
      <w:pPr>
        <w:rPr>
          <w:rFonts w:ascii="Arial" w:hAnsi="Arial" w:cs="Arial"/>
          <w:b/>
        </w:rPr>
      </w:pPr>
    </w:p>
    <w:p w:rsidR="00D15158" w:rsidRPr="00CE2D4D" w:rsidRDefault="00D15158" w:rsidP="00D15158">
      <w:pPr>
        <w:rPr>
          <w:rFonts w:ascii="Arial" w:hAnsi="Arial" w:cs="Arial"/>
          <w:b/>
        </w:rPr>
      </w:pPr>
      <w:r>
        <w:rPr>
          <w:rFonts w:ascii="Arial" w:hAnsi="Arial" w:cs="Arial"/>
          <w:b/>
          <w:i/>
        </w:rPr>
        <w:t>Signature Page</w:t>
      </w:r>
      <w:r w:rsidRPr="00CE2D4D">
        <w:rPr>
          <w:rFonts w:ascii="Arial" w:hAnsi="Arial" w:cs="Arial"/>
          <w:b/>
        </w:rPr>
        <w:t xml:space="preserve"> </w:t>
      </w:r>
    </w:p>
    <w:p w:rsidR="00191700" w:rsidRDefault="00191700" w:rsidP="00191700">
      <w:pPr>
        <w:rPr>
          <w:rFonts w:ascii="Arial" w:hAnsi="Arial" w:cs="Arial"/>
          <w:b/>
          <w:sz w:val="24"/>
          <w:szCs w:val="24"/>
        </w:rPr>
      </w:pPr>
    </w:p>
    <w:p w:rsidR="00191700" w:rsidRPr="00191700" w:rsidRDefault="00191700" w:rsidP="00191700">
      <w:pPr>
        <w:rPr>
          <w:rFonts w:ascii="Arial" w:hAnsi="Arial" w:cs="Arial"/>
          <w:b/>
          <w:sz w:val="24"/>
          <w:szCs w:val="24"/>
        </w:rPr>
      </w:pPr>
    </w:p>
    <w:sectPr w:rsidR="00191700" w:rsidRPr="001917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9A" w:rsidRDefault="0035039A" w:rsidP="00F72ECD">
      <w:pPr>
        <w:spacing w:after="0" w:line="240" w:lineRule="auto"/>
      </w:pPr>
      <w:r>
        <w:separator/>
      </w:r>
    </w:p>
  </w:endnote>
  <w:endnote w:type="continuationSeparator" w:id="0">
    <w:p w:rsidR="0035039A" w:rsidRDefault="0035039A" w:rsidP="00F7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523324"/>
      <w:docPartObj>
        <w:docPartGallery w:val="Page Numbers (Bottom of Page)"/>
        <w:docPartUnique/>
      </w:docPartObj>
    </w:sdtPr>
    <w:sdtEndPr>
      <w:rPr>
        <w:noProof/>
      </w:rPr>
    </w:sdtEndPr>
    <w:sdtContent>
      <w:p w:rsidR="00F72ECD" w:rsidRDefault="00F72ECD">
        <w:pPr>
          <w:pStyle w:val="Footer"/>
          <w:jc w:val="right"/>
        </w:pPr>
        <w:r>
          <w:fldChar w:fldCharType="begin"/>
        </w:r>
        <w:r>
          <w:instrText xml:space="preserve"> PAGE   \* MERGEFORMAT </w:instrText>
        </w:r>
        <w:r>
          <w:fldChar w:fldCharType="separate"/>
        </w:r>
        <w:r w:rsidR="00CB6975">
          <w:rPr>
            <w:noProof/>
          </w:rPr>
          <w:t>8</w:t>
        </w:r>
        <w:r>
          <w:rPr>
            <w:noProof/>
          </w:rPr>
          <w:fldChar w:fldCharType="end"/>
        </w:r>
      </w:p>
    </w:sdtContent>
  </w:sdt>
  <w:p w:rsidR="00F72ECD" w:rsidRDefault="00F72E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9A" w:rsidRDefault="0035039A" w:rsidP="00F72ECD">
      <w:pPr>
        <w:spacing w:after="0" w:line="240" w:lineRule="auto"/>
      </w:pPr>
      <w:r>
        <w:separator/>
      </w:r>
    </w:p>
  </w:footnote>
  <w:footnote w:type="continuationSeparator" w:id="0">
    <w:p w:rsidR="0035039A" w:rsidRDefault="0035039A" w:rsidP="00F72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601"/>
    <w:multiLevelType w:val="hybridMultilevel"/>
    <w:tmpl w:val="422CE060"/>
    <w:lvl w:ilvl="0" w:tplc="43EE6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2170C"/>
    <w:multiLevelType w:val="hybridMultilevel"/>
    <w:tmpl w:val="C99CF65E"/>
    <w:lvl w:ilvl="0" w:tplc="186C398C">
      <w:start w:val="1"/>
      <w:numFmt w:val="bullet"/>
      <w:lvlText w:val="•"/>
      <w:lvlJc w:val="left"/>
      <w:pPr>
        <w:tabs>
          <w:tab w:val="num" w:pos="720"/>
        </w:tabs>
        <w:ind w:left="720" w:hanging="360"/>
      </w:pPr>
      <w:rPr>
        <w:rFonts w:ascii="Arial" w:hAnsi="Arial" w:hint="default"/>
      </w:rPr>
    </w:lvl>
    <w:lvl w:ilvl="1" w:tplc="321A854A" w:tentative="1">
      <w:start w:val="1"/>
      <w:numFmt w:val="bullet"/>
      <w:lvlText w:val="•"/>
      <w:lvlJc w:val="left"/>
      <w:pPr>
        <w:tabs>
          <w:tab w:val="num" w:pos="1440"/>
        </w:tabs>
        <w:ind w:left="1440" w:hanging="360"/>
      </w:pPr>
      <w:rPr>
        <w:rFonts w:ascii="Arial" w:hAnsi="Arial" w:hint="default"/>
      </w:rPr>
    </w:lvl>
    <w:lvl w:ilvl="2" w:tplc="D7CAEFFA" w:tentative="1">
      <w:start w:val="1"/>
      <w:numFmt w:val="bullet"/>
      <w:lvlText w:val="•"/>
      <w:lvlJc w:val="left"/>
      <w:pPr>
        <w:tabs>
          <w:tab w:val="num" w:pos="2160"/>
        </w:tabs>
        <w:ind w:left="2160" w:hanging="360"/>
      </w:pPr>
      <w:rPr>
        <w:rFonts w:ascii="Arial" w:hAnsi="Arial" w:hint="default"/>
      </w:rPr>
    </w:lvl>
    <w:lvl w:ilvl="3" w:tplc="0CB831F2" w:tentative="1">
      <w:start w:val="1"/>
      <w:numFmt w:val="bullet"/>
      <w:lvlText w:val="•"/>
      <w:lvlJc w:val="left"/>
      <w:pPr>
        <w:tabs>
          <w:tab w:val="num" w:pos="2880"/>
        </w:tabs>
        <w:ind w:left="2880" w:hanging="360"/>
      </w:pPr>
      <w:rPr>
        <w:rFonts w:ascii="Arial" w:hAnsi="Arial" w:hint="default"/>
      </w:rPr>
    </w:lvl>
    <w:lvl w:ilvl="4" w:tplc="8E98DBEC" w:tentative="1">
      <w:start w:val="1"/>
      <w:numFmt w:val="bullet"/>
      <w:lvlText w:val="•"/>
      <w:lvlJc w:val="left"/>
      <w:pPr>
        <w:tabs>
          <w:tab w:val="num" w:pos="3600"/>
        </w:tabs>
        <w:ind w:left="3600" w:hanging="360"/>
      </w:pPr>
      <w:rPr>
        <w:rFonts w:ascii="Arial" w:hAnsi="Arial" w:hint="default"/>
      </w:rPr>
    </w:lvl>
    <w:lvl w:ilvl="5" w:tplc="724662AE" w:tentative="1">
      <w:start w:val="1"/>
      <w:numFmt w:val="bullet"/>
      <w:lvlText w:val="•"/>
      <w:lvlJc w:val="left"/>
      <w:pPr>
        <w:tabs>
          <w:tab w:val="num" w:pos="4320"/>
        </w:tabs>
        <w:ind w:left="4320" w:hanging="360"/>
      </w:pPr>
      <w:rPr>
        <w:rFonts w:ascii="Arial" w:hAnsi="Arial" w:hint="default"/>
      </w:rPr>
    </w:lvl>
    <w:lvl w:ilvl="6" w:tplc="0A9674B6" w:tentative="1">
      <w:start w:val="1"/>
      <w:numFmt w:val="bullet"/>
      <w:lvlText w:val="•"/>
      <w:lvlJc w:val="left"/>
      <w:pPr>
        <w:tabs>
          <w:tab w:val="num" w:pos="5040"/>
        </w:tabs>
        <w:ind w:left="5040" w:hanging="360"/>
      </w:pPr>
      <w:rPr>
        <w:rFonts w:ascii="Arial" w:hAnsi="Arial" w:hint="default"/>
      </w:rPr>
    </w:lvl>
    <w:lvl w:ilvl="7" w:tplc="0AFE381C" w:tentative="1">
      <w:start w:val="1"/>
      <w:numFmt w:val="bullet"/>
      <w:lvlText w:val="•"/>
      <w:lvlJc w:val="left"/>
      <w:pPr>
        <w:tabs>
          <w:tab w:val="num" w:pos="5760"/>
        </w:tabs>
        <w:ind w:left="5760" w:hanging="360"/>
      </w:pPr>
      <w:rPr>
        <w:rFonts w:ascii="Arial" w:hAnsi="Arial" w:hint="default"/>
      </w:rPr>
    </w:lvl>
    <w:lvl w:ilvl="8" w:tplc="E7DEC2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976857"/>
    <w:multiLevelType w:val="hybridMultilevel"/>
    <w:tmpl w:val="A1083BF8"/>
    <w:lvl w:ilvl="0" w:tplc="C972BC2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01EC0"/>
    <w:multiLevelType w:val="hybridMultilevel"/>
    <w:tmpl w:val="ACC20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1C1C86"/>
    <w:multiLevelType w:val="hybridMultilevel"/>
    <w:tmpl w:val="F530B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E0B3E"/>
    <w:multiLevelType w:val="hybridMultilevel"/>
    <w:tmpl w:val="0FEC32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060E6"/>
    <w:multiLevelType w:val="hybridMultilevel"/>
    <w:tmpl w:val="A94A1EEA"/>
    <w:lvl w:ilvl="0" w:tplc="81A4F72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A52DFA"/>
    <w:multiLevelType w:val="hybridMultilevel"/>
    <w:tmpl w:val="1520AD2E"/>
    <w:lvl w:ilvl="0" w:tplc="70AC101C">
      <w:start w:val="1"/>
      <w:numFmt w:val="lowerLetter"/>
      <w:lvlText w:val="%1)"/>
      <w:lvlJc w:val="left"/>
      <w:pPr>
        <w:tabs>
          <w:tab w:val="num" w:pos="720"/>
        </w:tabs>
        <w:ind w:left="720" w:hanging="360"/>
      </w:pPr>
    </w:lvl>
    <w:lvl w:ilvl="1" w:tplc="5FEC5B3C" w:tentative="1">
      <w:start w:val="1"/>
      <w:numFmt w:val="lowerLetter"/>
      <w:lvlText w:val="%2)"/>
      <w:lvlJc w:val="left"/>
      <w:pPr>
        <w:tabs>
          <w:tab w:val="num" w:pos="1440"/>
        </w:tabs>
        <w:ind w:left="1440" w:hanging="360"/>
      </w:pPr>
    </w:lvl>
    <w:lvl w:ilvl="2" w:tplc="616CFF52" w:tentative="1">
      <w:start w:val="1"/>
      <w:numFmt w:val="lowerLetter"/>
      <w:lvlText w:val="%3)"/>
      <w:lvlJc w:val="left"/>
      <w:pPr>
        <w:tabs>
          <w:tab w:val="num" w:pos="2160"/>
        </w:tabs>
        <w:ind w:left="2160" w:hanging="360"/>
      </w:pPr>
    </w:lvl>
    <w:lvl w:ilvl="3" w:tplc="9A5C51BA" w:tentative="1">
      <w:start w:val="1"/>
      <w:numFmt w:val="lowerLetter"/>
      <w:lvlText w:val="%4)"/>
      <w:lvlJc w:val="left"/>
      <w:pPr>
        <w:tabs>
          <w:tab w:val="num" w:pos="2880"/>
        </w:tabs>
        <w:ind w:left="2880" w:hanging="360"/>
      </w:pPr>
    </w:lvl>
    <w:lvl w:ilvl="4" w:tplc="BE66DA86" w:tentative="1">
      <w:start w:val="1"/>
      <w:numFmt w:val="lowerLetter"/>
      <w:lvlText w:val="%5)"/>
      <w:lvlJc w:val="left"/>
      <w:pPr>
        <w:tabs>
          <w:tab w:val="num" w:pos="3600"/>
        </w:tabs>
        <w:ind w:left="3600" w:hanging="360"/>
      </w:pPr>
    </w:lvl>
    <w:lvl w:ilvl="5" w:tplc="096AAA32" w:tentative="1">
      <w:start w:val="1"/>
      <w:numFmt w:val="lowerLetter"/>
      <w:lvlText w:val="%6)"/>
      <w:lvlJc w:val="left"/>
      <w:pPr>
        <w:tabs>
          <w:tab w:val="num" w:pos="4320"/>
        </w:tabs>
        <w:ind w:left="4320" w:hanging="360"/>
      </w:pPr>
    </w:lvl>
    <w:lvl w:ilvl="6" w:tplc="DFA8CA9E" w:tentative="1">
      <w:start w:val="1"/>
      <w:numFmt w:val="lowerLetter"/>
      <w:lvlText w:val="%7)"/>
      <w:lvlJc w:val="left"/>
      <w:pPr>
        <w:tabs>
          <w:tab w:val="num" w:pos="5040"/>
        </w:tabs>
        <w:ind w:left="5040" w:hanging="360"/>
      </w:pPr>
    </w:lvl>
    <w:lvl w:ilvl="7" w:tplc="A94434AE" w:tentative="1">
      <w:start w:val="1"/>
      <w:numFmt w:val="lowerLetter"/>
      <w:lvlText w:val="%8)"/>
      <w:lvlJc w:val="left"/>
      <w:pPr>
        <w:tabs>
          <w:tab w:val="num" w:pos="5760"/>
        </w:tabs>
        <w:ind w:left="5760" w:hanging="360"/>
      </w:pPr>
    </w:lvl>
    <w:lvl w:ilvl="8" w:tplc="57000DA0" w:tentative="1">
      <w:start w:val="1"/>
      <w:numFmt w:val="lowerLetter"/>
      <w:lvlText w:val="%9)"/>
      <w:lvlJc w:val="left"/>
      <w:pPr>
        <w:tabs>
          <w:tab w:val="num" w:pos="6480"/>
        </w:tabs>
        <w:ind w:left="6480" w:hanging="360"/>
      </w:pPr>
    </w:lvl>
  </w:abstractNum>
  <w:abstractNum w:abstractNumId="8" w15:restartNumberingAfterBreak="0">
    <w:nsid w:val="58307376"/>
    <w:multiLevelType w:val="hybridMultilevel"/>
    <w:tmpl w:val="68760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7F"/>
    <w:rsid w:val="00076460"/>
    <w:rsid w:val="00077BE6"/>
    <w:rsid w:val="00191700"/>
    <w:rsid w:val="001C557D"/>
    <w:rsid w:val="002427C8"/>
    <w:rsid w:val="0027109B"/>
    <w:rsid w:val="002D1190"/>
    <w:rsid w:val="00345248"/>
    <w:rsid w:val="0035039A"/>
    <w:rsid w:val="003B4432"/>
    <w:rsid w:val="00444F2E"/>
    <w:rsid w:val="00572B14"/>
    <w:rsid w:val="005830D4"/>
    <w:rsid w:val="0063597C"/>
    <w:rsid w:val="006E2E84"/>
    <w:rsid w:val="007403FE"/>
    <w:rsid w:val="00871973"/>
    <w:rsid w:val="008B2485"/>
    <w:rsid w:val="008F4AC0"/>
    <w:rsid w:val="009C42B3"/>
    <w:rsid w:val="00AF42FB"/>
    <w:rsid w:val="00B3327F"/>
    <w:rsid w:val="00B5382E"/>
    <w:rsid w:val="00C744B1"/>
    <w:rsid w:val="00CB6975"/>
    <w:rsid w:val="00D15158"/>
    <w:rsid w:val="00D27896"/>
    <w:rsid w:val="00D47A21"/>
    <w:rsid w:val="00DA5738"/>
    <w:rsid w:val="00DD50A0"/>
    <w:rsid w:val="00EF73DC"/>
    <w:rsid w:val="00F312E9"/>
    <w:rsid w:val="00F72ECD"/>
    <w:rsid w:val="00FC0AA2"/>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C2E9"/>
  <w15:chartTrackingRefBased/>
  <w15:docId w15:val="{2001825F-E35F-4419-A72F-F28E7C18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58"/>
    <w:pPr>
      <w:spacing w:after="0" w:line="240" w:lineRule="auto"/>
      <w:ind w:left="720"/>
      <w:contextualSpacing/>
    </w:pPr>
    <w:rPr>
      <w:rFonts w:ascii="Times New Roman" w:hAnsi="Times New Roman"/>
      <w:sz w:val="24"/>
      <w:szCs w:val="24"/>
    </w:rPr>
  </w:style>
  <w:style w:type="paragraph" w:customStyle="1" w:styleId="Default">
    <w:name w:val="Default"/>
    <w:rsid w:val="00D151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4F2E"/>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44F2E"/>
    <w:rPr>
      <w:rFonts w:ascii="Times New Roman" w:hAnsi="Times New Roman" w:cs="Times New Roman"/>
      <w:sz w:val="24"/>
      <w:szCs w:val="24"/>
    </w:rPr>
  </w:style>
  <w:style w:type="paragraph" w:styleId="Footer">
    <w:name w:val="footer"/>
    <w:basedOn w:val="Normal"/>
    <w:link w:val="FooterChar"/>
    <w:uiPriority w:val="99"/>
    <w:unhideWhenUsed/>
    <w:rsid w:val="00F7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CD"/>
  </w:style>
  <w:style w:type="character" w:customStyle="1" w:styleId="Heading1Char">
    <w:name w:val="Heading 1 Char"/>
    <w:basedOn w:val="DefaultParagraphFont"/>
    <w:link w:val="Heading1"/>
    <w:uiPriority w:val="9"/>
    <w:rsid w:val="00CB69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69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4744">
      <w:bodyDiv w:val="1"/>
      <w:marLeft w:val="0"/>
      <w:marRight w:val="0"/>
      <w:marTop w:val="0"/>
      <w:marBottom w:val="0"/>
      <w:divBdr>
        <w:top w:val="none" w:sz="0" w:space="0" w:color="auto"/>
        <w:left w:val="none" w:sz="0" w:space="0" w:color="auto"/>
        <w:bottom w:val="none" w:sz="0" w:space="0" w:color="auto"/>
        <w:right w:val="none" w:sz="0" w:space="0" w:color="auto"/>
      </w:divBdr>
      <w:divsChild>
        <w:div w:id="1317301121">
          <w:marLeft w:val="432"/>
          <w:marRight w:val="0"/>
          <w:marTop w:val="360"/>
          <w:marBottom w:val="0"/>
          <w:divBdr>
            <w:top w:val="none" w:sz="0" w:space="0" w:color="auto"/>
            <w:left w:val="none" w:sz="0" w:space="0" w:color="auto"/>
            <w:bottom w:val="none" w:sz="0" w:space="0" w:color="auto"/>
            <w:right w:val="none" w:sz="0" w:space="0" w:color="auto"/>
          </w:divBdr>
        </w:div>
        <w:div w:id="178011953">
          <w:marLeft w:val="432"/>
          <w:marRight w:val="0"/>
          <w:marTop w:val="360"/>
          <w:marBottom w:val="0"/>
          <w:divBdr>
            <w:top w:val="none" w:sz="0" w:space="0" w:color="auto"/>
            <w:left w:val="none" w:sz="0" w:space="0" w:color="auto"/>
            <w:bottom w:val="none" w:sz="0" w:space="0" w:color="auto"/>
            <w:right w:val="none" w:sz="0" w:space="0" w:color="auto"/>
          </w:divBdr>
        </w:div>
        <w:div w:id="2030594792">
          <w:marLeft w:val="432"/>
          <w:marRight w:val="0"/>
          <w:marTop w:val="360"/>
          <w:marBottom w:val="0"/>
          <w:divBdr>
            <w:top w:val="none" w:sz="0" w:space="0" w:color="auto"/>
            <w:left w:val="none" w:sz="0" w:space="0" w:color="auto"/>
            <w:bottom w:val="none" w:sz="0" w:space="0" w:color="auto"/>
            <w:right w:val="none" w:sz="0" w:space="0" w:color="auto"/>
          </w:divBdr>
        </w:div>
        <w:div w:id="1919825658">
          <w:marLeft w:val="432"/>
          <w:marRight w:val="0"/>
          <w:marTop w:val="360"/>
          <w:marBottom w:val="0"/>
          <w:divBdr>
            <w:top w:val="none" w:sz="0" w:space="0" w:color="auto"/>
            <w:left w:val="none" w:sz="0" w:space="0" w:color="auto"/>
            <w:bottom w:val="none" w:sz="0" w:space="0" w:color="auto"/>
            <w:right w:val="none" w:sz="0" w:space="0" w:color="auto"/>
          </w:divBdr>
        </w:div>
        <w:div w:id="1246694765">
          <w:marLeft w:val="432"/>
          <w:marRight w:val="0"/>
          <w:marTop w:val="360"/>
          <w:marBottom w:val="0"/>
          <w:divBdr>
            <w:top w:val="none" w:sz="0" w:space="0" w:color="auto"/>
            <w:left w:val="none" w:sz="0" w:space="0" w:color="auto"/>
            <w:bottom w:val="none" w:sz="0" w:space="0" w:color="auto"/>
            <w:right w:val="none" w:sz="0" w:space="0" w:color="auto"/>
          </w:divBdr>
        </w:div>
        <w:div w:id="83957918">
          <w:marLeft w:val="432"/>
          <w:marRight w:val="0"/>
          <w:marTop w:val="360"/>
          <w:marBottom w:val="0"/>
          <w:divBdr>
            <w:top w:val="none" w:sz="0" w:space="0" w:color="auto"/>
            <w:left w:val="none" w:sz="0" w:space="0" w:color="auto"/>
            <w:bottom w:val="none" w:sz="0" w:space="0" w:color="auto"/>
            <w:right w:val="none" w:sz="0" w:space="0" w:color="auto"/>
          </w:divBdr>
        </w:div>
        <w:div w:id="695734193">
          <w:marLeft w:val="432"/>
          <w:marRight w:val="0"/>
          <w:marTop w:val="360"/>
          <w:marBottom w:val="0"/>
          <w:divBdr>
            <w:top w:val="none" w:sz="0" w:space="0" w:color="auto"/>
            <w:left w:val="none" w:sz="0" w:space="0" w:color="auto"/>
            <w:bottom w:val="none" w:sz="0" w:space="0" w:color="auto"/>
            <w:right w:val="none" w:sz="0" w:space="0" w:color="auto"/>
          </w:divBdr>
        </w:div>
        <w:div w:id="1550216155">
          <w:marLeft w:val="432"/>
          <w:marRight w:val="0"/>
          <w:marTop w:val="360"/>
          <w:marBottom w:val="0"/>
          <w:divBdr>
            <w:top w:val="none" w:sz="0" w:space="0" w:color="auto"/>
            <w:left w:val="none" w:sz="0" w:space="0" w:color="auto"/>
            <w:bottom w:val="none" w:sz="0" w:space="0" w:color="auto"/>
            <w:right w:val="none" w:sz="0" w:space="0" w:color="auto"/>
          </w:divBdr>
        </w:div>
        <w:div w:id="1029599747">
          <w:marLeft w:val="432"/>
          <w:marRight w:val="0"/>
          <w:marTop w:val="360"/>
          <w:marBottom w:val="0"/>
          <w:divBdr>
            <w:top w:val="none" w:sz="0" w:space="0" w:color="auto"/>
            <w:left w:val="none" w:sz="0" w:space="0" w:color="auto"/>
            <w:bottom w:val="none" w:sz="0" w:space="0" w:color="auto"/>
            <w:right w:val="none" w:sz="0" w:space="0" w:color="auto"/>
          </w:divBdr>
        </w:div>
        <w:div w:id="1665276457">
          <w:marLeft w:val="432"/>
          <w:marRight w:val="0"/>
          <w:marTop w:val="360"/>
          <w:marBottom w:val="0"/>
          <w:divBdr>
            <w:top w:val="none" w:sz="0" w:space="0" w:color="auto"/>
            <w:left w:val="none" w:sz="0" w:space="0" w:color="auto"/>
            <w:bottom w:val="none" w:sz="0" w:space="0" w:color="auto"/>
            <w:right w:val="none" w:sz="0" w:space="0" w:color="auto"/>
          </w:divBdr>
        </w:div>
      </w:divsChild>
    </w:div>
    <w:div w:id="591933638">
      <w:bodyDiv w:val="1"/>
      <w:marLeft w:val="0"/>
      <w:marRight w:val="0"/>
      <w:marTop w:val="0"/>
      <w:marBottom w:val="0"/>
      <w:divBdr>
        <w:top w:val="none" w:sz="0" w:space="0" w:color="auto"/>
        <w:left w:val="none" w:sz="0" w:space="0" w:color="auto"/>
        <w:bottom w:val="none" w:sz="0" w:space="0" w:color="auto"/>
        <w:right w:val="none" w:sz="0" w:space="0" w:color="auto"/>
      </w:divBdr>
    </w:div>
    <w:div w:id="1407531627">
      <w:bodyDiv w:val="1"/>
      <w:marLeft w:val="0"/>
      <w:marRight w:val="0"/>
      <w:marTop w:val="0"/>
      <w:marBottom w:val="0"/>
      <w:divBdr>
        <w:top w:val="none" w:sz="0" w:space="0" w:color="auto"/>
        <w:left w:val="none" w:sz="0" w:space="0" w:color="auto"/>
        <w:bottom w:val="none" w:sz="0" w:space="0" w:color="auto"/>
        <w:right w:val="none" w:sz="0" w:space="0" w:color="auto"/>
      </w:divBdr>
      <w:divsChild>
        <w:div w:id="1476876395">
          <w:marLeft w:val="720"/>
          <w:marRight w:val="0"/>
          <w:marTop w:val="360"/>
          <w:marBottom w:val="0"/>
          <w:divBdr>
            <w:top w:val="none" w:sz="0" w:space="0" w:color="auto"/>
            <w:left w:val="none" w:sz="0" w:space="0" w:color="auto"/>
            <w:bottom w:val="none" w:sz="0" w:space="0" w:color="auto"/>
            <w:right w:val="none" w:sz="0" w:space="0" w:color="auto"/>
          </w:divBdr>
        </w:div>
        <w:div w:id="1513452973">
          <w:marLeft w:val="720"/>
          <w:marRight w:val="0"/>
          <w:marTop w:val="360"/>
          <w:marBottom w:val="0"/>
          <w:divBdr>
            <w:top w:val="none" w:sz="0" w:space="0" w:color="auto"/>
            <w:left w:val="none" w:sz="0" w:space="0" w:color="auto"/>
            <w:bottom w:val="none" w:sz="0" w:space="0" w:color="auto"/>
            <w:right w:val="none" w:sz="0" w:space="0" w:color="auto"/>
          </w:divBdr>
        </w:div>
        <w:div w:id="1620063632">
          <w:marLeft w:val="720"/>
          <w:marRight w:val="0"/>
          <w:marTop w:val="360"/>
          <w:marBottom w:val="0"/>
          <w:divBdr>
            <w:top w:val="none" w:sz="0" w:space="0" w:color="auto"/>
            <w:left w:val="none" w:sz="0" w:space="0" w:color="auto"/>
            <w:bottom w:val="none" w:sz="0" w:space="0" w:color="auto"/>
            <w:right w:val="none" w:sz="0" w:space="0" w:color="auto"/>
          </w:divBdr>
        </w:div>
        <w:div w:id="1280801911">
          <w:marLeft w:val="720"/>
          <w:marRight w:val="0"/>
          <w:marTop w:val="360"/>
          <w:marBottom w:val="0"/>
          <w:divBdr>
            <w:top w:val="none" w:sz="0" w:space="0" w:color="auto"/>
            <w:left w:val="none" w:sz="0" w:space="0" w:color="auto"/>
            <w:bottom w:val="none" w:sz="0" w:space="0" w:color="auto"/>
            <w:right w:val="none" w:sz="0" w:space="0" w:color="auto"/>
          </w:divBdr>
        </w:div>
        <w:div w:id="464003899">
          <w:marLeft w:val="720"/>
          <w:marRight w:val="0"/>
          <w:marTop w:val="360"/>
          <w:marBottom w:val="0"/>
          <w:divBdr>
            <w:top w:val="none" w:sz="0" w:space="0" w:color="auto"/>
            <w:left w:val="none" w:sz="0" w:space="0" w:color="auto"/>
            <w:bottom w:val="none" w:sz="0" w:space="0" w:color="auto"/>
            <w:right w:val="none" w:sz="0" w:space="0" w:color="auto"/>
          </w:divBdr>
        </w:div>
        <w:div w:id="1451823694">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10</cp:revision>
  <dcterms:created xsi:type="dcterms:W3CDTF">2016-11-28T17:01:00Z</dcterms:created>
  <dcterms:modified xsi:type="dcterms:W3CDTF">2017-04-27T19:56:00Z</dcterms:modified>
</cp:coreProperties>
</file>