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8919D" w14:textId="77777777" w:rsidR="00E141B9" w:rsidRDefault="00E141B9" w:rsidP="00E141B9">
      <w:pPr>
        <w:pStyle w:val="Heading1"/>
        <w:rPr>
          <w:b/>
          <w:i/>
          <w:sz w:val="28"/>
          <w:szCs w:val="28"/>
        </w:rPr>
      </w:pPr>
      <w:r w:rsidRPr="00B634AA">
        <w:rPr>
          <w:b/>
          <w:i/>
          <w:sz w:val="28"/>
          <w:szCs w:val="28"/>
        </w:rPr>
        <w:t>1) How can State Vocational Rehabilitation Agencies enhance outcomes through their coordination with Employment Networks (</w:t>
      </w:r>
      <w:proofErr w:type="spellStart"/>
      <w:r w:rsidRPr="00B634AA">
        <w:rPr>
          <w:b/>
          <w:i/>
          <w:sz w:val="28"/>
          <w:szCs w:val="28"/>
        </w:rPr>
        <w:t>E</w:t>
      </w:r>
      <w:bookmarkStart w:id="0" w:name="_GoBack"/>
      <w:bookmarkEnd w:id="0"/>
      <w:r w:rsidRPr="00B634AA">
        <w:rPr>
          <w:b/>
          <w:i/>
          <w:sz w:val="28"/>
          <w:szCs w:val="28"/>
        </w:rPr>
        <w:t>Ns</w:t>
      </w:r>
      <w:proofErr w:type="spellEnd"/>
      <w:r w:rsidRPr="00B634AA">
        <w:rPr>
          <w:b/>
          <w:i/>
          <w:sz w:val="28"/>
          <w:szCs w:val="28"/>
        </w:rPr>
        <w:t>) operating under the Ticket to Work Program with the Social Security Administration?</w:t>
      </w:r>
    </w:p>
    <w:p w14:paraId="2616E8B6" w14:textId="77777777" w:rsidR="00E141B9" w:rsidRPr="00B634AA" w:rsidRDefault="00E141B9" w:rsidP="00E141B9"/>
    <w:p w14:paraId="57EA5C31" w14:textId="77777777" w:rsidR="00E141B9" w:rsidRPr="00B634AA" w:rsidRDefault="00E141B9" w:rsidP="00E141B9">
      <w:pPr>
        <w:rPr>
          <w:rFonts w:ascii="Arial" w:hAnsi="Arial" w:cs="Arial"/>
          <w:sz w:val="24"/>
          <w:szCs w:val="24"/>
        </w:rPr>
      </w:pPr>
      <w:r w:rsidRPr="00C52B2B">
        <w:rPr>
          <w:rFonts w:ascii="Arial" w:hAnsi="Arial" w:cs="Arial"/>
          <w:sz w:val="24"/>
          <w:szCs w:val="24"/>
        </w:rPr>
        <w:t xml:space="preserve">Coordination with Local </w:t>
      </w:r>
      <w:proofErr w:type="spellStart"/>
      <w:r w:rsidRPr="00C52B2B">
        <w:rPr>
          <w:rFonts w:ascii="Arial" w:hAnsi="Arial" w:cs="Arial"/>
          <w:sz w:val="24"/>
          <w:szCs w:val="24"/>
        </w:rPr>
        <w:t>ENs</w:t>
      </w:r>
      <w:proofErr w:type="spellEnd"/>
      <w:r>
        <w:rPr>
          <w:rFonts w:ascii="Arial" w:hAnsi="Arial" w:cs="Arial"/>
          <w:sz w:val="24"/>
          <w:szCs w:val="24"/>
        </w:rPr>
        <w:t xml:space="preserve"> can provide an opportunity for wraparound services that complement the services provided by the </w:t>
      </w:r>
      <w:proofErr w:type="spellStart"/>
      <w:r>
        <w:rPr>
          <w:rFonts w:ascii="Arial" w:hAnsi="Arial" w:cs="Arial"/>
          <w:sz w:val="24"/>
          <w:szCs w:val="24"/>
        </w:rPr>
        <w:t>DSU</w:t>
      </w:r>
      <w:proofErr w:type="spellEnd"/>
      <w:r>
        <w:rPr>
          <w:rFonts w:ascii="Arial" w:hAnsi="Arial" w:cs="Arial"/>
          <w:sz w:val="24"/>
          <w:szCs w:val="24"/>
        </w:rPr>
        <w:t xml:space="preserve">. Well established agreements with the </w:t>
      </w:r>
      <w:proofErr w:type="spellStart"/>
      <w:r>
        <w:rPr>
          <w:rFonts w:ascii="Arial" w:hAnsi="Arial" w:cs="Arial"/>
          <w:sz w:val="24"/>
          <w:szCs w:val="24"/>
        </w:rPr>
        <w:t>ENs</w:t>
      </w:r>
      <w:proofErr w:type="spellEnd"/>
      <w:r>
        <w:rPr>
          <w:rFonts w:ascii="Arial" w:hAnsi="Arial" w:cs="Arial"/>
          <w:sz w:val="24"/>
          <w:szCs w:val="24"/>
        </w:rPr>
        <w:t xml:space="preserve"> can be the basis for strengthening ongoing service impact (enhancing performance outcomes) as well as being a mechanism for re-engaging former participants in the VR services, should the situation require. In addition, the structure of the AJC presents an opportunity for the VR agency, in a core partner role, to work with other AJC partners to support the AJC operation as an </w:t>
      </w:r>
      <w:proofErr w:type="spellStart"/>
      <w:r>
        <w:rPr>
          <w:rFonts w:ascii="Arial" w:hAnsi="Arial" w:cs="Arial"/>
          <w:sz w:val="24"/>
          <w:szCs w:val="24"/>
        </w:rPr>
        <w:t>EN</w:t>
      </w:r>
      <w:proofErr w:type="spellEnd"/>
      <w:r>
        <w:rPr>
          <w:rFonts w:ascii="Arial" w:hAnsi="Arial" w:cs="Arial"/>
          <w:sz w:val="24"/>
          <w:szCs w:val="24"/>
        </w:rPr>
        <w:t xml:space="preserve">. This can result in additional resources coming to the AJC to be strategically reinvestment to enhance stronger employment outcomes for all job seekers with disabilities. </w:t>
      </w:r>
    </w:p>
    <w:p w14:paraId="54DFA7FB" w14:textId="77777777" w:rsidR="00E141B9" w:rsidRDefault="00E141B9" w:rsidP="00E141B9">
      <w:pPr>
        <w:pStyle w:val="Heading1"/>
        <w:rPr>
          <w:b/>
          <w:i/>
          <w:sz w:val="28"/>
          <w:szCs w:val="28"/>
        </w:rPr>
      </w:pPr>
      <w:r>
        <w:rPr>
          <w:b/>
          <w:i/>
          <w:sz w:val="28"/>
          <w:szCs w:val="28"/>
        </w:rPr>
        <w:t xml:space="preserve">2) </w:t>
      </w:r>
      <w:r w:rsidRPr="00B634AA">
        <w:rPr>
          <w:b/>
          <w:i/>
          <w:sz w:val="28"/>
          <w:szCs w:val="28"/>
        </w:rPr>
        <w:t>What are Partnership Plus Agreements?</w:t>
      </w:r>
    </w:p>
    <w:p w14:paraId="233C1C68" w14:textId="77777777" w:rsidR="00E141B9" w:rsidRPr="00B634AA" w:rsidRDefault="00E141B9" w:rsidP="00E141B9"/>
    <w:p w14:paraId="541A7B8D" w14:textId="77777777" w:rsidR="00E141B9" w:rsidRPr="00C52B2B" w:rsidRDefault="00E141B9" w:rsidP="00E141B9">
      <w:pPr>
        <w:rPr>
          <w:rFonts w:ascii="Arial" w:hAnsi="Arial" w:cs="Arial"/>
          <w:sz w:val="24"/>
          <w:szCs w:val="24"/>
        </w:rPr>
      </w:pPr>
      <w:r w:rsidRPr="00C52B2B">
        <w:rPr>
          <w:rFonts w:ascii="Arial" w:hAnsi="Arial" w:cs="Arial"/>
          <w:sz w:val="24"/>
          <w:szCs w:val="24"/>
        </w:rPr>
        <w:t>“Partnership Plus”</w:t>
      </w:r>
      <w:r>
        <w:rPr>
          <w:rFonts w:ascii="Arial" w:hAnsi="Arial" w:cs="Arial"/>
          <w:sz w:val="24"/>
          <w:szCs w:val="24"/>
        </w:rPr>
        <w:t xml:space="preserve"> is the name for a type of agreement that outlines how the </w:t>
      </w:r>
      <w:proofErr w:type="spellStart"/>
      <w:r>
        <w:rPr>
          <w:rFonts w:ascii="Arial" w:hAnsi="Arial" w:cs="Arial"/>
          <w:sz w:val="24"/>
          <w:szCs w:val="24"/>
        </w:rPr>
        <w:t>DSU</w:t>
      </w:r>
      <w:proofErr w:type="spellEnd"/>
      <w:r>
        <w:rPr>
          <w:rFonts w:ascii="Arial" w:hAnsi="Arial" w:cs="Arial"/>
          <w:sz w:val="24"/>
          <w:szCs w:val="24"/>
        </w:rPr>
        <w:t xml:space="preserve"> will coordinate services with </w:t>
      </w:r>
      <w:proofErr w:type="spellStart"/>
      <w:r>
        <w:rPr>
          <w:rFonts w:ascii="Arial" w:hAnsi="Arial" w:cs="Arial"/>
          <w:sz w:val="24"/>
          <w:szCs w:val="24"/>
        </w:rPr>
        <w:t>SSA</w:t>
      </w:r>
      <w:proofErr w:type="spellEnd"/>
      <w:r>
        <w:rPr>
          <w:rFonts w:ascii="Arial" w:hAnsi="Arial" w:cs="Arial"/>
          <w:sz w:val="24"/>
          <w:szCs w:val="24"/>
        </w:rPr>
        <w:t xml:space="preserve"> approved employment networks. While not required under </w:t>
      </w:r>
      <w:proofErr w:type="spellStart"/>
      <w:r>
        <w:rPr>
          <w:rFonts w:ascii="Arial" w:hAnsi="Arial" w:cs="Arial"/>
          <w:sz w:val="24"/>
          <w:szCs w:val="24"/>
        </w:rPr>
        <w:t>WIOA</w:t>
      </w:r>
      <w:proofErr w:type="spellEnd"/>
      <w:r>
        <w:rPr>
          <w:rFonts w:ascii="Arial" w:hAnsi="Arial" w:cs="Arial"/>
          <w:sz w:val="24"/>
          <w:szCs w:val="24"/>
        </w:rPr>
        <w:t>, coordination with Employment Networks (</w:t>
      </w:r>
      <w:proofErr w:type="spellStart"/>
      <w:r>
        <w:rPr>
          <w:rFonts w:ascii="Arial" w:hAnsi="Arial" w:cs="Arial"/>
          <w:sz w:val="24"/>
          <w:szCs w:val="24"/>
        </w:rPr>
        <w:t>ENs</w:t>
      </w:r>
      <w:proofErr w:type="spellEnd"/>
      <w:r>
        <w:rPr>
          <w:rFonts w:ascii="Arial" w:hAnsi="Arial" w:cs="Arial"/>
          <w:sz w:val="24"/>
          <w:szCs w:val="24"/>
        </w:rPr>
        <w:t xml:space="preserve">) with regard to shared customers is a requirement. The benefit of articulating how the agencies work together in an agreement such as this in advance of providing service has the impact of making the service flow for the customer and the agency staff more effective and efficient. In lieu of a Partnership Plus agreement, the coordination could be articulated in a Local </w:t>
      </w:r>
      <w:proofErr w:type="spellStart"/>
      <w:r>
        <w:rPr>
          <w:rFonts w:ascii="Arial" w:hAnsi="Arial" w:cs="Arial"/>
          <w:sz w:val="24"/>
          <w:szCs w:val="24"/>
        </w:rPr>
        <w:t>MOU</w:t>
      </w:r>
      <w:proofErr w:type="spellEnd"/>
      <w:r>
        <w:rPr>
          <w:rFonts w:ascii="Arial" w:hAnsi="Arial" w:cs="Arial"/>
          <w:sz w:val="24"/>
          <w:szCs w:val="24"/>
        </w:rPr>
        <w:t xml:space="preserve"> with the Workforce Development Board, if the </w:t>
      </w:r>
      <w:proofErr w:type="spellStart"/>
      <w:r>
        <w:rPr>
          <w:rFonts w:ascii="Arial" w:hAnsi="Arial" w:cs="Arial"/>
          <w:sz w:val="24"/>
          <w:szCs w:val="24"/>
        </w:rPr>
        <w:t>EN</w:t>
      </w:r>
      <w:proofErr w:type="spellEnd"/>
      <w:r>
        <w:rPr>
          <w:rFonts w:ascii="Arial" w:hAnsi="Arial" w:cs="Arial"/>
          <w:sz w:val="24"/>
          <w:szCs w:val="24"/>
        </w:rPr>
        <w:t xml:space="preserve"> is a part of that agreement.</w:t>
      </w:r>
    </w:p>
    <w:p w14:paraId="5F726703" w14:textId="77777777" w:rsidR="00D64E43" w:rsidRPr="00D64E43" w:rsidRDefault="00D64E43" w:rsidP="008D5916">
      <w:pPr>
        <w:rPr>
          <w:rFonts w:ascii="Arial" w:hAnsi="Arial" w:cs="Arial"/>
          <w:sz w:val="24"/>
          <w:szCs w:val="24"/>
        </w:rPr>
      </w:pPr>
    </w:p>
    <w:p w14:paraId="50EBC9A9" w14:textId="77777777" w:rsidR="00E141B9" w:rsidRDefault="00E141B9" w:rsidP="00E141B9">
      <w:pPr>
        <w:rPr>
          <w:rFonts w:ascii="Arial" w:hAnsi="Arial" w:cs="Arial"/>
          <w:i/>
          <w:sz w:val="24"/>
          <w:szCs w:val="24"/>
        </w:rPr>
      </w:pPr>
      <w:r w:rsidRPr="0038251E">
        <w:rPr>
          <w:rFonts w:asciiTheme="majorHAnsi" w:eastAsiaTheme="majorEastAsia" w:hAnsiTheme="majorHAnsi" w:cstheme="majorBidi"/>
          <w:b/>
          <w:i/>
          <w:color w:val="2E74B5" w:themeColor="accent1" w:themeShade="BF"/>
          <w:sz w:val="28"/>
          <w:szCs w:val="28"/>
        </w:rPr>
        <w:t xml:space="preserve">Benefits to </w:t>
      </w:r>
      <w:proofErr w:type="spellStart"/>
      <w:r w:rsidRPr="0038251E">
        <w:rPr>
          <w:rFonts w:asciiTheme="majorHAnsi" w:eastAsiaTheme="majorEastAsia" w:hAnsiTheme="majorHAnsi" w:cstheme="majorBidi"/>
          <w:b/>
          <w:i/>
          <w:color w:val="2E74B5" w:themeColor="accent1" w:themeShade="BF"/>
          <w:sz w:val="28"/>
          <w:szCs w:val="28"/>
        </w:rPr>
        <w:t>SVRA’s</w:t>
      </w:r>
      <w:proofErr w:type="spellEnd"/>
      <w:r w:rsidRPr="0038251E">
        <w:rPr>
          <w:rFonts w:asciiTheme="majorHAnsi" w:eastAsiaTheme="majorEastAsia" w:hAnsiTheme="majorHAnsi" w:cstheme="majorBidi"/>
          <w:b/>
          <w:i/>
          <w:color w:val="2E74B5" w:themeColor="accent1" w:themeShade="BF"/>
          <w:sz w:val="28"/>
          <w:szCs w:val="28"/>
        </w:rPr>
        <w:t xml:space="preserve"> as a result of good working relationships with Employment Networks (</w:t>
      </w:r>
      <w:proofErr w:type="spellStart"/>
      <w:r w:rsidRPr="0038251E">
        <w:rPr>
          <w:rFonts w:asciiTheme="majorHAnsi" w:eastAsiaTheme="majorEastAsia" w:hAnsiTheme="majorHAnsi" w:cstheme="majorBidi"/>
          <w:b/>
          <w:i/>
          <w:color w:val="2E74B5" w:themeColor="accent1" w:themeShade="BF"/>
          <w:sz w:val="28"/>
          <w:szCs w:val="28"/>
        </w:rPr>
        <w:t>ENs</w:t>
      </w:r>
      <w:proofErr w:type="spellEnd"/>
      <w:r w:rsidRPr="0038251E">
        <w:rPr>
          <w:rFonts w:asciiTheme="majorHAnsi" w:eastAsiaTheme="majorEastAsia" w:hAnsiTheme="majorHAnsi" w:cstheme="majorBidi"/>
          <w:b/>
          <w:i/>
          <w:color w:val="2E74B5" w:themeColor="accent1" w:themeShade="BF"/>
          <w:sz w:val="28"/>
          <w:szCs w:val="28"/>
        </w:rPr>
        <w:t xml:space="preserve">) (from a draft resource developed by </w:t>
      </w:r>
      <w:proofErr w:type="spellStart"/>
      <w:r w:rsidRPr="0038251E">
        <w:rPr>
          <w:rFonts w:asciiTheme="majorHAnsi" w:eastAsiaTheme="majorEastAsia" w:hAnsiTheme="majorHAnsi" w:cstheme="majorBidi"/>
          <w:b/>
          <w:i/>
          <w:color w:val="2E74B5" w:themeColor="accent1" w:themeShade="BF"/>
          <w:sz w:val="28"/>
          <w:szCs w:val="28"/>
        </w:rPr>
        <w:t>NENA</w:t>
      </w:r>
      <w:proofErr w:type="spellEnd"/>
      <w:r>
        <w:rPr>
          <w:rFonts w:ascii="Arial" w:hAnsi="Arial" w:cs="Arial"/>
          <w:i/>
          <w:sz w:val="24"/>
          <w:szCs w:val="24"/>
        </w:rPr>
        <w:t>)</w:t>
      </w:r>
    </w:p>
    <w:p w14:paraId="00A44B44" w14:textId="77777777" w:rsidR="00E141B9" w:rsidRPr="00B40EAD" w:rsidRDefault="00E141B9" w:rsidP="00E141B9">
      <w:pPr>
        <w:rPr>
          <w:rFonts w:ascii="Arial" w:hAnsi="Arial" w:cs="Arial"/>
          <w:b/>
          <w:i/>
          <w:sz w:val="24"/>
          <w:szCs w:val="24"/>
        </w:rPr>
      </w:pPr>
    </w:p>
    <w:p w14:paraId="39E80E46" w14:textId="77777777" w:rsidR="00E141B9" w:rsidRDefault="00E141B9" w:rsidP="00E141B9">
      <w:pPr>
        <w:pStyle w:val="ListParagraph"/>
        <w:numPr>
          <w:ilvl w:val="0"/>
          <w:numId w:val="4"/>
        </w:numPr>
        <w:rPr>
          <w:rFonts w:ascii="Arial" w:hAnsi="Arial" w:cs="Arial"/>
        </w:rPr>
      </w:pPr>
      <w:r w:rsidRPr="0038251E">
        <w:rPr>
          <w:rFonts w:ascii="Arial" w:hAnsi="Arial" w:cs="Arial"/>
        </w:rPr>
        <w:t xml:space="preserve">The client is more likely, with support, to achieve nine months of earnings over SGA, which results in cost </w:t>
      </w:r>
      <w:r>
        <w:rPr>
          <w:rFonts w:ascii="Arial" w:hAnsi="Arial" w:cs="Arial"/>
        </w:rPr>
        <w:t>reimbursement.</w:t>
      </w:r>
    </w:p>
    <w:p w14:paraId="16787178" w14:textId="77777777" w:rsidR="00E141B9" w:rsidRPr="0038251E" w:rsidRDefault="00E141B9" w:rsidP="00E141B9">
      <w:pPr>
        <w:pStyle w:val="ListParagraph"/>
        <w:numPr>
          <w:ilvl w:val="0"/>
          <w:numId w:val="4"/>
        </w:numPr>
        <w:rPr>
          <w:rFonts w:ascii="Arial" w:hAnsi="Arial" w:cs="Arial"/>
        </w:rPr>
      </w:pPr>
      <w:proofErr w:type="spellStart"/>
      <w:r w:rsidRPr="0038251E">
        <w:rPr>
          <w:rFonts w:ascii="Arial" w:hAnsi="Arial" w:cs="Arial"/>
        </w:rPr>
        <w:t>EN</w:t>
      </w:r>
      <w:proofErr w:type="spellEnd"/>
      <w:r w:rsidRPr="0038251E">
        <w:rPr>
          <w:rFonts w:ascii="Arial" w:hAnsi="Arial" w:cs="Arial"/>
        </w:rPr>
        <w:t xml:space="preserve"> support may result in better outcomes reported to </w:t>
      </w:r>
      <w:proofErr w:type="spellStart"/>
      <w:r w:rsidRPr="0038251E">
        <w:rPr>
          <w:rFonts w:ascii="Arial" w:hAnsi="Arial" w:cs="Arial"/>
        </w:rPr>
        <w:t>WIOA</w:t>
      </w:r>
      <w:proofErr w:type="spellEnd"/>
      <w:r w:rsidRPr="0038251E">
        <w:rPr>
          <w:rFonts w:ascii="Arial" w:hAnsi="Arial" w:cs="Arial"/>
        </w:rPr>
        <w:t>.</w:t>
      </w:r>
    </w:p>
    <w:p w14:paraId="25A5C5F6" w14:textId="77777777" w:rsidR="00E141B9" w:rsidRPr="0038251E" w:rsidRDefault="00E141B9" w:rsidP="00E141B9">
      <w:pPr>
        <w:pStyle w:val="ListParagraph"/>
        <w:numPr>
          <w:ilvl w:val="0"/>
          <w:numId w:val="4"/>
        </w:numPr>
        <w:rPr>
          <w:rFonts w:ascii="Arial" w:hAnsi="Arial" w:cs="Arial"/>
        </w:rPr>
      </w:pPr>
      <w:r w:rsidRPr="0038251E">
        <w:rPr>
          <w:rFonts w:ascii="Arial" w:hAnsi="Arial" w:cs="Arial"/>
        </w:rPr>
        <w:t xml:space="preserve">Help in obtaining average quarterly hourly earnings </w:t>
      </w:r>
      <w:r>
        <w:rPr>
          <w:rFonts w:ascii="Arial" w:hAnsi="Arial" w:cs="Arial"/>
        </w:rPr>
        <w:t>Second</w:t>
      </w:r>
      <w:r w:rsidRPr="0038251E">
        <w:rPr>
          <w:rFonts w:ascii="Arial" w:hAnsi="Arial" w:cs="Arial"/>
        </w:rPr>
        <w:t xml:space="preserve"> and </w:t>
      </w:r>
      <w:r>
        <w:rPr>
          <w:rFonts w:ascii="Arial" w:hAnsi="Arial" w:cs="Arial"/>
        </w:rPr>
        <w:t>Fourth</w:t>
      </w:r>
      <w:r w:rsidRPr="0038251E">
        <w:rPr>
          <w:rFonts w:ascii="Arial" w:hAnsi="Arial" w:cs="Arial"/>
        </w:rPr>
        <w:t xml:space="preserve"> quarters after exit from VR services (</w:t>
      </w:r>
      <w:proofErr w:type="spellStart"/>
      <w:r w:rsidRPr="0038251E">
        <w:rPr>
          <w:rFonts w:ascii="Arial" w:hAnsi="Arial" w:cs="Arial"/>
        </w:rPr>
        <w:t>WIOA</w:t>
      </w:r>
      <w:proofErr w:type="spellEnd"/>
      <w:r w:rsidRPr="0038251E">
        <w:rPr>
          <w:rFonts w:ascii="Arial" w:hAnsi="Arial" w:cs="Arial"/>
        </w:rPr>
        <w:t>).</w:t>
      </w:r>
    </w:p>
    <w:p w14:paraId="63A83F23" w14:textId="77777777" w:rsidR="00E141B9" w:rsidRPr="0038251E" w:rsidRDefault="00E141B9" w:rsidP="00E141B9">
      <w:pPr>
        <w:pStyle w:val="ListParagraph"/>
        <w:numPr>
          <w:ilvl w:val="0"/>
          <w:numId w:val="4"/>
        </w:numPr>
        <w:rPr>
          <w:rFonts w:ascii="Arial" w:hAnsi="Arial" w:cs="Arial"/>
        </w:rPr>
      </w:pPr>
      <w:r w:rsidRPr="0038251E">
        <w:rPr>
          <w:rFonts w:ascii="Arial" w:hAnsi="Arial" w:cs="Arial"/>
        </w:rPr>
        <w:t>Increased job retention/decreased recidivism.</w:t>
      </w:r>
    </w:p>
    <w:p w14:paraId="488B1A93" w14:textId="77777777" w:rsidR="00E141B9" w:rsidRPr="0038251E" w:rsidRDefault="00E141B9" w:rsidP="00E141B9">
      <w:pPr>
        <w:pStyle w:val="ListParagraph"/>
        <w:numPr>
          <w:ilvl w:val="0"/>
          <w:numId w:val="4"/>
        </w:numPr>
        <w:rPr>
          <w:rFonts w:ascii="Arial" w:hAnsi="Arial" w:cs="Arial"/>
        </w:rPr>
      </w:pPr>
      <w:r w:rsidRPr="0038251E">
        <w:rPr>
          <w:rFonts w:ascii="Arial" w:hAnsi="Arial" w:cs="Arial"/>
        </w:rPr>
        <w:t>Promotes self-sufficiency and decreases dependency on VR.</w:t>
      </w:r>
    </w:p>
    <w:p w14:paraId="1B8752B8" w14:textId="77777777" w:rsidR="00E141B9" w:rsidRPr="0038251E" w:rsidRDefault="00E141B9" w:rsidP="00E141B9">
      <w:pPr>
        <w:pStyle w:val="ListParagraph"/>
        <w:numPr>
          <w:ilvl w:val="0"/>
          <w:numId w:val="4"/>
        </w:numPr>
        <w:rPr>
          <w:rFonts w:ascii="Arial" w:hAnsi="Arial" w:cs="Arial"/>
        </w:rPr>
      </w:pPr>
      <w:r w:rsidRPr="0038251E">
        <w:rPr>
          <w:rFonts w:ascii="Arial" w:hAnsi="Arial" w:cs="Arial"/>
        </w:rPr>
        <w:t>Hourly earnings (better outcomes for VR clients on benefits)</w:t>
      </w:r>
      <w:r>
        <w:rPr>
          <w:rFonts w:ascii="Arial" w:hAnsi="Arial" w:cs="Arial"/>
        </w:rPr>
        <w:t>.</w:t>
      </w:r>
    </w:p>
    <w:p w14:paraId="317D241A" w14:textId="77777777" w:rsidR="00E141B9" w:rsidRPr="0038251E" w:rsidRDefault="00E141B9" w:rsidP="00E141B9">
      <w:pPr>
        <w:pStyle w:val="ListParagraph"/>
        <w:numPr>
          <w:ilvl w:val="0"/>
          <w:numId w:val="4"/>
        </w:numPr>
        <w:rPr>
          <w:rFonts w:ascii="Arial" w:hAnsi="Arial" w:cs="Arial"/>
        </w:rPr>
      </w:pPr>
      <w:r w:rsidRPr="0038251E">
        <w:rPr>
          <w:rFonts w:ascii="Arial" w:hAnsi="Arial" w:cs="Arial"/>
        </w:rPr>
        <w:t>Higher wages at exit from VR.</w:t>
      </w:r>
    </w:p>
    <w:p w14:paraId="28DEC952" w14:textId="77777777" w:rsidR="00E141B9" w:rsidRPr="0038251E" w:rsidRDefault="00E141B9" w:rsidP="00E141B9">
      <w:pPr>
        <w:pStyle w:val="ListParagraph"/>
        <w:numPr>
          <w:ilvl w:val="0"/>
          <w:numId w:val="4"/>
        </w:numPr>
        <w:rPr>
          <w:rFonts w:ascii="Arial" w:hAnsi="Arial" w:cs="Arial"/>
        </w:rPr>
      </w:pPr>
      <w:r w:rsidRPr="0038251E">
        <w:rPr>
          <w:rFonts w:ascii="Arial" w:hAnsi="Arial" w:cs="Arial"/>
        </w:rPr>
        <w:t xml:space="preserve">Create a stronger working relationship with the </w:t>
      </w:r>
      <w:proofErr w:type="spellStart"/>
      <w:r w:rsidRPr="0038251E">
        <w:rPr>
          <w:rFonts w:ascii="Arial" w:hAnsi="Arial" w:cs="Arial"/>
        </w:rPr>
        <w:t>EN</w:t>
      </w:r>
      <w:proofErr w:type="spellEnd"/>
      <w:r w:rsidRPr="0038251E">
        <w:rPr>
          <w:rFonts w:ascii="Arial" w:hAnsi="Arial" w:cs="Arial"/>
        </w:rPr>
        <w:t>.</w:t>
      </w:r>
    </w:p>
    <w:p w14:paraId="05DE1A65" w14:textId="77777777" w:rsidR="00E141B9" w:rsidRPr="0038251E" w:rsidRDefault="00E141B9" w:rsidP="00E141B9">
      <w:pPr>
        <w:pStyle w:val="ListParagraph"/>
        <w:numPr>
          <w:ilvl w:val="0"/>
          <w:numId w:val="4"/>
        </w:numPr>
        <w:rPr>
          <w:rFonts w:ascii="Arial" w:hAnsi="Arial" w:cs="Arial"/>
        </w:rPr>
      </w:pPr>
      <w:r w:rsidRPr="0038251E">
        <w:rPr>
          <w:rFonts w:ascii="Arial" w:hAnsi="Arial" w:cs="Arial"/>
        </w:rPr>
        <w:t>Encourages a collaborative working environment.</w:t>
      </w:r>
    </w:p>
    <w:p w14:paraId="34A752BC" w14:textId="77777777" w:rsidR="00E141B9" w:rsidRPr="0038251E" w:rsidRDefault="00E141B9" w:rsidP="00E141B9">
      <w:pPr>
        <w:pStyle w:val="ListParagraph"/>
        <w:numPr>
          <w:ilvl w:val="0"/>
          <w:numId w:val="4"/>
        </w:numPr>
        <w:rPr>
          <w:rFonts w:ascii="Arial" w:hAnsi="Arial" w:cs="Arial"/>
        </w:rPr>
      </w:pPr>
      <w:proofErr w:type="spellStart"/>
      <w:r w:rsidRPr="0038251E">
        <w:rPr>
          <w:rFonts w:ascii="Arial" w:hAnsi="Arial" w:cs="Arial"/>
        </w:rPr>
        <w:lastRenderedPageBreak/>
        <w:t>ENs</w:t>
      </w:r>
      <w:proofErr w:type="spellEnd"/>
      <w:r w:rsidRPr="0038251E">
        <w:rPr>
          <w:rFonts w:ascii="Arial" w:hAnsi="Arial" w:cs="Arial"/>
        </w:rPr>
        <w:t xml:space="preserve"> become an additional referral source for VR clients.</w:t>
      </w:r>
    </w:p>
    <w:p w14:paraId="121DB910" w14:textId="77777777" w:rsidR="00E141B9" w:rsidRPr="0038251E" w:rsidRDefault="00E141B9" w:rsidP="00E141B9">
      <w:pPr>
        <w:pStyle w:val="ListParagraph"/>
        <w:numPr>
          <w:ilvl w:val="0"/>
          <w:numId w:val="4"/>
        </w:numPr>
        <w:rPr>
          <w:rFonts w:ascii="Arial" w:hAnsi="Arial" w:cs="Arial"/>
        </w:rPr>
      </w:pPr>
      <w:r w:rsidRPr="0038251E">
        <w:rPr>
          <w:rFonts w:ascii="Arial" w:hAnsi="Arial" w:cs="Arial"/>
        </w:rPr>
        <w:t>Smoother transition when leaving VR.</w:t>
      </w:r>
    </w:p>
    <w:p w14:paraId="19514839" w14:textId="5E4C6907" w:rsidR="00E141B9" w:rsidRDefault="00E141B9" w:rsidP="00E141B9">
      <w:pPr>
        <w:pStyle w:val="ListParagraph"/>
        <w:numPr>
          <w:ilvl w:val="0"/>
          <w:numId w:val="4"/>
        </w:numPr>
        <w:rPr>
          <w:rFonts w:ascii="Arial" w:hAnsi="Arial" w:cs="Arial"/>
        </w:rPr>
      </w:pPr>
      <w:r w:rsidRPr="0038251E">
        <w:rPr>
          <w:rFonts w:ascii="Arial" w:hAnsi="Arial" w:cs="Arial"/>
        </w:rPr>
        <w:t>Better long-term supports.</w:t>
      </w:r>
    </w:p>
    <w:p w14:paraId="346625D5" w14:textId="77777777" w:rsidR="00E141B9" w:rsidRPr="0038251E" w:rsidRDefault="00E141B9" w:rsidP="00E141B9">
      <w:pPr>
        <w:pStyle w:val="ListParagraph"/>
        <w:rPr>
          <w:rFonts w:ascii="Arial" w:hAnsi="Arial" w:cs="Arial"/>
        </w:rPr>
      </w:pPr>
    </w:p>
    <w:p w14:paraId="69DE5F9E" w14:textId="77777777" w:rsidR="00E141B9" w:rsidRDefault="00E141B9" w:rsidP="00E141B9">
      <w:pPr>
        <w:pStyle w:val="Heading1"/>
        <w:rPr>
          <w:b/>
          <w:i/>
          <w:sz w:val="28"/>
          <w:szCs w:val="28"/>
        </w:rPr>
      </w:pPr>
      <w:r>
        <w:rPr>
          <w:b/>
          <w:i/>
          <w:sz w:val="28"/>
          <w:szCs w:val="28"/>
        </w:rPr>
        <w:t>Recommendations</w:t>
      </w:r>
    </w:p>
    <w:p w14:paraId="13072D28" w14:textId="77777777" w:rsidR="00E141B9" w:rsidRPr="00A06DC4" w:rsidRDefault="00E141B9" w:rsidP="00E141B9"/>
    <w:p w14:paraId="155C1B92" w14:textId="77777777" w:rsidR="00E141B9" w:rsidRPr="0038251E" w:rsidRDefault="00E141B9" w:rsidP="00E141B9">
      <w:pPr>
        <w:pStyle w:val="ListParagraph"/>
        <w:numPr>
          <w:ilvl w:val="0"/>
          <w:numId w:val="5"/>
        </w:numPr>
        <w:rPr>
          <w:rFonts w:ascii="Arial" w:hAnsi="Arial" w:cs="Arial"/>
          <w:sz w:val="24"/>
          <w:szCs w:val="24"/>
        </w:rPr>
      </w:pPr>
      <w:r w:rsidRPr="0038251E">
        <w:rPr>
          <w:rFonts w:ascii="Arial" w:hAnsi="Arial" w:cs="Arial"/>
          <w:sz w:val="24"/>
          <w:szCs w:val="24"/>
        </w:rPr>
        <w:t xml:space="preserve">Establish agreements with all </w:t>
      </w:r>
      <w:proofErr w:type="spellStart"/>
      <w:r w:rsidRPr="0038251E">
        <w:rPr>
          <w:rFonts w:ascii="Arial" w:hAnsi="Arial" w:cs="Arial"/>
          <w:sz w:val="24"/>
          <w:szCs w:val="24"/>
        </w:rPr>
        <w:t>ENs</w:t>
      </w:r>
      <w:proofErr w:type="spellEnd"/>
      <w:r w:rsidRPr="0038251E">
        <w:rPr>
          <w:rFonts w:ascii="Arial" w:hAnsi="Arial" w:cs="Arial"/>
          <w:sz w:val="24"/>
          <w:szCs w:val="24"/>
        </w:rPr>
        <w:t xml:space="preserve">, including workforce </w:t>
      </w:r>
      <w:proofErr w:type="spellStart"/>
      <w:r w:rsidRPr="0038251E">
        <w:rPr>
          <w:rFonts w:ascii="Arial" w:hAnsi="Arial" w:cs="Arial"/>
          <w:sz w:val="24"/>
          <w:szCs w:val="24"/>
        </w:rPr>
        <w:t>ENs</w:t>
      </w:r>
      <w:proofErr w:type="spellEnd"/>
      <w:r w:rsidRPr="0038251E">
        <w:rPr>
          <w:rFonts w:ascii="Arial" w:hAnsi="Arial" w:cs="Arial"/>
          <w:sz w:val="24"/>
          <w:szCs w:val="24"/>
        </w:rPr>
        <w:t xml:space="preserve">, in a manner that establishes cooperation and understanding between agencies and removes a competitive spirit that might exist in some areas.  </w:t>
      </w:r>
    </w:p>
    <w:p w14:paraId="099A60D2" w14:textId="77777777" w:rsidR="00E141B9" w:rsidRPr="0038251E" w:rsidRDefault="00E141B9" w:rsidP="00E141B9">
      <w:pPr>
        <w:pStyle w:val="ListParagraph"/>
        <w:numPr>
          <w:ilvl w:val="0"/>
          <w:numId w:val="5"/>
        </w:numPr>
        <w:rPr>
          <w:rFonts w:ascii="Arial" w:hAnsi="Arial" w:cs="Arial"/>
          <w:sz w:val="24"/>
          <w:szCs w:val="24"/>
        </w:rPr>
      </w:pPr>
      <w:r w:rsidRPr="0038251E">
        <w:rPr>
          <w:rFonts w:ascii="Arial" w:hAnsi="Arial" w:cs="Arial"/>
          <w:sz w:val="24"/>
          <w:szCs w:val="24"/>
        </w:rPr>
        <w:t xml:space="preserve">Coordinate with all </w:t>
      </w:r>
      <w:proofErr w:type="spellStart"/>
      <w:r w:rsidRPr="0038251E">
        <w:rPr>
          <w:rFonts w:ascii="Arial" w:hAnsi="Arial" w:cs="Arial"/>
          <w:sz w:val="24"/>
          <w:szCs w:val="24"/>
        </w:rPr>
        <w:t>ENs</w:t>
      </w:r>
      <w:proofErr w:type="spellEnd"/>
      <w:r w:rsidRPr="0038251E">
        <w:rPr>
          <w:rFonts w:ascii="Arial" w:hAnsi="Arial" w:cs="Arial"/>
          <w:sz w:val="24"/>
          <w:szCs w:val="24"/>
        </w:rPr>
        <w:t xml:space="preserve"> to establish collaborative outreach to the disability community. Misinformation about </w:t>
      </w:r>
      <w:proofErr w:type="spellStart"/>
      <w:r w:rsidRPr="0038251E">
        <w:rPr>
          <w:rFonts w:ascii="Arial" w:hAnsi="Arial" w:cs="Arial"/>
          <w:sz w:val="24"/>
          <w:szCs w:val="24"/>
        </w:rPr>
        <w:t>SSA</w:t>
      </w:r>
      <w:proofErr w:type="spellEnd"/>
      <w:r w:rsidRPr="0038251E">
        <w:rPr>
          <w:rFonts w:ascii="Arial" w:hAnsi="Arial" w:cs="Arial"/>
          <w:sz w:val="24"/>
          <w:szCs w:val="24"/>
        </w:rPr>
        <w:t xml:space="preserve"> disability benefits is often an insurmountable barrier for many beneficiaries.</w:t>
      </w:r>
    </w:p>
    <w:p w14:paraId="02811549" w14:textId="77777777" w:rsidR="00E141B9" w:rsidRPr="0038251E" w:rsidRDefault="00E141B9" w:rsidP="00E141B9">
      <w:pPr>
        <w:pStyle w:val="ListParagraph"/>
        <w:numPr>
          <w:ilvl w:val="0"/>
          <w:numId w:val="5"/>
        </w:numPr>
        <w:rPr>
          <w:rFonts w:ascii="Arial" w:hAnsi="Arial" w:cs="Arial"/>
          <w:sz w:val="24"/>
          <w:szCs w:val="24"/>
        </w:rPr>
      </w:pPr>
      <w:r w:rsidRPr="0038251E">
        <w:rPr>
          <w:rFonts w:ascii="Arial" w:hAnsi="Arial" w:cs="Arial"/>
          <w:sz w:val="24"/>
          <w:szCs w:val="24"/>
        </w:rPr>
        <w:t xml:space="preserve">Work together with other </w:t>
      </w:r>
      <w:proofErr w:type="spellStart"/>
      <w:r w:rsidRPr="0038251E">
        <w:rPr>
          <w:rFonts w:ascii="Arial" w:hAnsi="Arial" w:cs="Arial"/>
          <w:sz w:val="24"/>
          <w:szCs w:val="24"/>
        </w:rPr>
        <w:t>ENs</w:t>
      </w:r>
      <w:proofErr w:type="spellEnd"/>
      <w:r w:rsidRPr="0038251E">
        <w:rPr>
          <w:rFonts w:ascii="Arial" w:hAnsi="Arial" w:cs="Arial"/>
          <w:sz w:val="24"/>
          <w:szCs w:val="24"/>
        </w:rPr>
        <w:t xml:space="preserve"> with regard to the investment of new resources in ways that will enhance their ability to connect individuals with disabilities into the career pathways of the community. This can include the enhancement of tools in the job center such as customized employment and </w:t>
      </w:r>
      <w:proofErr w:type="spellStart"/>
      <w:r w:rsidRPr="0038251E">
        <w:rPr>
          <w:rFonts w:ascii="Arial" w:hAnsi="Arial" w:cs="Arial"/>
          <w:sz w:val="24"/>
          <w:szCs w:val="24"/>
        </w:rPr>
        <w:t>SSA</w:t>
      </w:r>
      <w:proofErr w:type="spellEnd"/>
      <w:r w:rsidRPr="0038251E">
        <w:rPr>
          <w:rFonts w:ascii="Arial" w:hAnsi="Arial" w:cs="Arial"/>
          <w:sz w:val="24"/>
          <w:szCs w:val="24"/>
        </w:rPr>
        <w:t xml:space="preserve"> disability work incentives advisement and benefits planning.  </w:t>
      </w:r>
    </w:p>
    <w:p w14:paraId="2D1A3F74" w14:textId="77777777" w:rsidR="00E141B9" w:rsidRPr="0038251E" w:rsidRDefault="00E141B9" w:rsidP="00E141B9">
      <w:pPr>
        <w:pStyle w:val="ListParagraph"/>
        <w:numPr>
          <w:ilvl w:val="0"/>
          <w:numId w:val="5"/>
        </w:numPr>
        <w:rPr>
          <w:rFonts w:ascii="Arial" w:hAnsi="Arial" w:cs="Arial"/>
          <w:sz w:val="24"/>
          <w:szCs w:val="24"/>
        </w:rPr>
      </w:pPr>
      <w:r w:rsidRPr="0038251E">
        <w:rPr>
          <w:rFonts w:ascii="Arial" w:hAnsi="Arial" w:cs="Arial"/>
          <w:sz w:val="24"/>
          <w:szCs w:val="24"/>
        </w:rPr>
        <w:t xml:space="preserve">Work with AJC partner agencies in the development of guidance to Workforce Development Boards in their development of the </w:t>
      </w:r>
      <w:proofErr w:type="spellStart"/>
      <w:r w:rsidRPr="0038251E">
        <w:rPr>
          <w:rFonts w:ascii="Arial" w:hAnsi="Arial" w:cs="Arial"/>
          <w:sz w:val="24"/>
          <w:szCs w:val="24"/>
        </w:rPr>
        <w:t>MOU’s</w:t>
      </w:r>
      <w:proofErr w:type="spellEnd"/>
      <w:r w:rsidRPr="0038251E">
        <w:rPr>
          <w:rFonts w:ascii="Arial" w:hAnsi="Arial" w:cs="Arial"/>
          <w:sz w:val="24"/>
          <w:szCs w:val="24"/>
        </w:rPr>
        <w:t xml:space="preserve"> with their Job Center partner agencies. If the Job Center is operating as an Employment Network, it is a suggested practice for successful workforce Employment Networks that the </w:t>
      </w:r>
      <w:proofErr w:type="spellStart"/>
      <w:r w:rsidRPr="0038251E">
        <w:rPr>
          <w:rFonts w:ascii="Arial" w:hAnsi="Arial" w:cs="Arial"/>
          <w:sz w:val="24"/>
          <w:szCs w:val="24"/>
        </w:rPr>
        <w:t>EN</w:t>
      </w:r>
      <w:proofErr w:type="spellEnd"/>
      <w:r w:rsidRPr="0038251E">
        <w:rPr>
          <w:rFonts w:ascii="Arial" w:hAnsi="Arial" w:cs="Arial"/>
          <w:sz w:val="24"/>
          <w:szCs w:val="24"/>
        </w:rPr>
        <w:t xml:space="preserve"> oversite be collaborative in integrating the operation into the overall customer service operation. It is also suggested that decisions on the investment of the Ticket to Work payments be made collaboratively as well, so that the diversity of expertise in the full Job Center partnership be allowed to contribute to the success of the operation. The success of the Job Center </w:t>
      </w:r>
      <w:proofErr w:type="spellStart"/>
      <w:r w:rsidRPr="0038251E">
        <w:rPr>
          <w:rFonts w:ascii="Arial" w:hAnsi="Arial" w:cs="Arial"/>
          <w:sz w:val="24"/>
          <w:szCs w:val="24"/>
        </w:rPr>
        <w:t>EN</w:t>
      </w:r>
      <w:proofErr w:type="spellEnd"/>
      <w:r w:rsidRPr="0038251E">
        <w:rPr>
          <w:rFonts w:ascii="Arial" w:hAnsi="Arial" w:cs="Arial"/>
          <w:sz w:val="24"/>
          <w:szCs w:val="24"/>
        </w:rPr>
        <w:t xml:space="preserve"> will boost outcomes for all job center partners (and other community partners) if done collaboratively. This could be outlined in the </w:t>
      </w:r>
      <w:proofErr w:type="spellStart"/>
      <w:r w:rsidRPr="0038251E">
        <w:rPr>
          <w:rFonts w:ascii="Arial" w:hAnsi="Arial" w:cs="Arial"/>
          <w:sz w:val="24"/>
          <w:szCs w:val="24"/>
        </w:rPr>
        <w:t>MOU</w:t>
      </w:r>
      <w:proofErr w:type="spellEnd"/>
      <w:r w:rsidRPr="0038251E">
        <w:rPr>
          <w:rFonts w:ascii="Arial" w:hAnsi="Arial" w:cs="Arial"/>
          <w:sz w:val="24"/>
          <w:szCs w:val="24"/>
        </w:rPr>
        <w:t xml:space="preserve"> with the Local Workforce Development Board.</w:t>
      </w:r>
    </w:p>
    <w:p w14:paraId="630105E1" w14:textId="77777777" w:rsidR="00E141B9" w:rsidRDefault="00E141B9" w:rsidP="00E141B9">
      <w:pPr>
        <w:pStyle w:val="Heading1"/>
        <w:rPr>
          <w:b/>
          <w:i/>
          <w:sz w:val="28"/>
          <w:szCs w:val="28"/>
        </w:rPr>
      </w:pPr>
      <w:r w:rsidRPr="0038251E">
        <w:rPr>
          <w:b/>
          <w:i/>
          <w:sz w:val="28"/>
          <w:szCs w:val="28"/>
        </w:rPr>
        <w:t>For More infor</w:t>
      </w:r>
      <w:r>
        <w:rPr>
          <w:b/>
          <w:i/>
          <w:sz w:val="28"/>
          <w:szCs w:val="28"/>
        </w:rPr>
        <w:t>mation and Technical Assistance</w:t>
      </w:r>
    </w:p>
    <w:p w14:paraId="394B772F" w14:textId="77777777" w:rsidR="00E141B9" w:rsidRPr="00A06DC4" w:rsidRDefault="00E141B9" w:rsidP="00E141B9"/>
    <w:p w14:paraId="1F2815E0" w14:textId="77777777" w:rsidR="00E141B9" w:rsidRDefault="00E141B9" w:rsidP="00E141B9">
      <w:pPr>
        <w:contextualSpacing/>
        <w:rPr>
          <w:rFonts w:ascii="Arial" w:hAnsi="Arial" w:cs="Arial"/>
          <w:sz w:val="24"/>
          <w:szCs w:val="24"/>
        </w:rPr>
      </w:pPr>
      <w:r w:rsidRPr="0038251E">
        <w:rPr>
          <w:rFonts w:ascii="Arial" w:hAnsi="Arial" w:cs="Arial"/>
          <w:b/>
          <w:sz w:val="24"/>
          <w:szCs w:val="24"/>
        </w:rPr>
        <w:t>Doug Keast</w:t>
      </w:r>
      <w:r>
        <w:rPr>
          <w:rFonts w:ascii="Arial" w:hAnsi="Arial" w:cs="Arial"/>
          <w:sz w:val="24"/>
          <w:szCs w:val="24"/>
        </w:rPr>
        <w:t xml:space="preserve">, </w:t>
      </w:r>
      <w:proofErr w:type="spellStart"/>
      <w:r>
        <w:rPr>
          <w:rFonts w:ascii="Arial" w:hAnsi="Arial" w:cs="Arial"/>
          <w:sz w:val="24"/>
          <w:szCs w:val="24"/>
        </w:rPr>
        <w:t>WINTAC</w:t>
      </w:r>
      <w:proofErr w:type="spellEnd"/>
    </w:p>
    <w:p w14:paraId="5FDBF702" w14:textId="77777777" w:rsidR="00E141B9" w:rsidRDefault="00E141B9" w:rsidP="00E141B9">
      <w:pPr>
        <w:contextualSpacing/>
        <w:rPr>
          <w:rStyle w:val="Hyperlink"/>
          <w:rFonts w:ascii="Arial" w:hAnsi="Arial" w:cs="Arial"/>
          <w:sz w:val="24"/>
          <w:szCs w:val="24"/>
        </w:rPr>
      </w:pPr>
      <w:r>
        <w:rPr>
          <w:rFonts w:ascii="Arial" w:hAnsi="Arial" w:cs="Arial"/>
          <w:sz w:val="24"/>
          <w:szCs w:val="24"/>
        </w:rPr>
        <w:t xml:space="preserve">(515) 707-8828  </w:t>
      </w:r>
      <w:hyperlink r:id="rId5" w:history="1">
        <w:proofErr w:type="spellStart"/>
        <w:r w:rsidRPr="003D59F4">
          <w:rPr>
            <w:rStyle w:val="Hyperlink"/>
            <w:rFonts w:ascii="Arial" w:hAnsi="Arial" w:cs="Arial"/>
            <w:sz w:val="24"/>
            <w:szCs w:val="24"/>
          </w:rPr>
          <w:t>doug.keast@wintac.org</w:t>
        </w:r>
        <w:proofErr w:type="spellEnd"/>
      </w:hyperlink>
    </w:p>
    <w:p w14:paraId="149FF041" w14:textId="77777777" w:rsidR="00E141B9" w:rsidRDefault="00E141B9" w:rsidP="00E141B9">
      <w:pPr>
        <w:contextualSpacing/>
        <w:rPr>
          <w:rStyle w:val="Hyperlink"/>
          <w:rFonts w:ascii="Arial" w:hAnsi="Arial" w:cs="Arial"/>
          <w:sz w:val="24"/>
          <w:szCs w:val="24"/>
        </w:rPr>
      </w:pPr>
    </w:p>
    <w:p w14:paraId="56D0B000" w14:textId="77777777" w:rsidR="00E141B9" w:rsidRPr="00CB0663" w:rsidRDefault="00E141B9" w:rsidP="00E141B9">
      <w:pPr>
        <w:contextualSpacing/>
        <w:rPr>
          <w:rStyle w:val="Hyperlink"/>
          <w:rFonts w:ascii="Arial" w:hAnsi="Arial" w:cs="Arial"/>
          <w:color w:val="auto"/>
          <w:sz w:val="24"/>
          <w:szCs w:val="24"/>
          <w:u w:val="none"/>
        </w:rPr>
      </w:pPr>
      <w:r w:rsidRPr="0038251E">
        <w:rPr>
          <w:rStyle w:val="Hyperlink"/>
          <w:rFonts w:ascii="Arial" w:hAnsi="Arial" w:cs="Arial"/>
          <w:b/>
          <w:color w:val="auto"/>
          <w:sz w:val="24"/>
          <w:szCs w:val="24"/>
          <w:u w:val="none"/>
        </w:rPr>
        <w:t>Ana Morales</w:t>
      </w:r>
      <w:r>
        <w:rPr>
          <w:rStyle w:val="Hyperlink"/>
          <w:rFonts w:ascii="Arial" w:hAnsi="Arial" w:cs="Arial"/>
          <w:color w:val="auto"/>
          <w:sz w:val="24"/>
          <w:szCs w:val="24"/>
          <w:u w:val="none"/>
        </w:rPr>
        <w:t>,</w:t>
      </w:r>
      <w:r w:rsidRPr="00CB0663">
        <w:rPr>
          <w:rStyle w:val="Hyperlink"/>
          <w:rFonts w:ascii="Arial" w:hAnsi="Arial" w:cs="Arial"/>
          <w:color w:val="auto"/>
          <w:sz w:val="24"/>
          <w:szCs w:val="24"/>
          <w:u w:val="none"/>
        </w:rPr>
        <w:t xml:space="preserve"> MAXIMUS</w:t>
      </w:r>
    </w:p>
    <w:p w14:paraId="1EFCC74B" w14:textId="77777777" w:rsidR="00E141B9" w:rsidRDefault="00E141B9" w:rsidP="00E141B9">
      <w:pPr>
        <w:contextualSpacing/>
        <w:rPr>
          <w:rStyle w:val="Hyperlink"/>
          <w:rFonts w:ascii="Arial" w:hAnsi="Arial" w:cs="Arial"/>
          <w:sz w:val="24"/>
          <w:szCs w:val="24"/>
        </w:rPr>
      </w:pPr>
      <w:hyperlink r:id="rId6" w:history="1">
        <w:proofErr w:type="spellStart"/>
        <w:r w:rsidRPr="00496F54">
          <w:rPr>
            <w:rStyle w:val="Hyperlink"/>
            <w:rFonts w:ascii="Arial" w:hAnsi="Arial" w:cs="Arial"/>
            <w:sz w:val="24"/>
            <w:szCs w:val="24"/>
          </w:rPr>
          <w:t>anamorales@maximus.com</w:t>
        </w:r>
        <w:proofErr w:type="spellEnd"/>
      </w:hyperlink>
    </w:p>
    <w:p w14:paraId="4191332A" w14:textId="631CFB37" w:rsidR="00CB0663" w:rsidRDefault="00CB0663" w:rsidP="00E141B9">
      <w:pPr>
        <w:rPr>
          <w:rStyle w:val="Hyperlink"/>
          <w:rFonts w:ascii="Arial" w:hAnsi="Arial" w:cs="Arial"/>
          <w:sz w:val="24"/>
          <w:szCs w:val="24"/>
        </w:rPr>
      </w:pPr>
    </w:p>
    <w:sectPr w:rsidR="00CB0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38D"/>
    <w:multiLevelType w:val="multilevel"/>
    <w:tmpl w:val="8BCCB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31A52"/>
    <w:multiLevelType w:val="hybridMultilevel"/>
    <w:tmpl w:val="6BDA1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2633E"/>
    <w:multiLevelType w:val="hybridMultilevel"/>
    <w:tmpl w:val="7160F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E32C7"/>
    <w:multiLevelType w:val="hybridMultilevel"/>
    <w:tmpl w:val="74EE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123ED"/>
    <w:multiLevelType w:val="hybridMultilevel"/>
    <w:tmpl w:val="FD82F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B1"/>
    <w:rsid w:val="000C747D"/>
    <w:rsid w:val="000F053E"/>
    <w:rsid w:val="00297EFD"/>
    <w:rsid w:val="002A303F"/>
    <w:rsid w:val="002B4701"/>
    <w:rsid w:val="00362723"/>
    <w:rsid w:val="00415919"/>
    <w:rsid w:val="004E4621"/>
    <w:rsid w:val="0054594C"/>
    <w:rsid w:val="00621FD2"/>
    <w:rsid w:val="00665AC9"/>
    <w:rsid w:val="006676F5"/>
    <w:rsid w:val="0069659F"/>
    <w:rsid w:val="006F29BE"/>
    <w:rsid w:val="0072639F"/>
    <w:rsid w:val="00727588"/>
    <w:rsid w:val="00775026"/>
    <w:rsid w:val="007C0114"/>
    <w:rsid w:val="0087161A"/>
    <w:rsid w:val="008A28B3"/>
    <w:rsid w:val="008B1CBC"/>
    <w:rsid w:val="008D10D0"/>
    <w:rsid w:val="008D5916"/>
    <w:rsid w:val="0097498D"/>
    <w:rsid w:val="009B22D8"/>
    <w:rsid w:val="00A2380C"/>
    <w:rsid w:val="00A313A0"/>
    <w:rsid w:val="00B40EAD"/>
    <w:rsid w:val="00B827D8"/>
    <w:rsid w:val="00BC259A"/>
    <w:rsid w:val="00C13355"/>
    <w:rsid w:val="00C15242"/>
    <w:rsid w:val="00C52B2B"/>
    <w:rsid w:val="00C76ED8"/>
    <w:rsid w:val="00C91FE6"/>
    <w:rsid w:val="00CB0663"/>
    <w:rsid w:val="00CD5426"/>
    <w:rsid w:val="00D23077"/>
    <w:rsid w:val="00D64E43"/>
    <w:rsid w:val="00D8399D"/>
    <w:rsid w:val="00D83AAF"/>
    <w:rsid w:val="00E141B9"/>
    <w:rsid w:val="00F63BB1"/>
    <w:rsid w:val="00F667A7"/>
    <w:rsid w:val="00F8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A2BD"/>
  <w15:chartTrackingRefBased/>
  <w15:docId w15:val="{792EE931-6205-4CA3-8B22-AAC7608C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41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39F"/>
    <w:pPr>
      <w:ind w:left="720"/>
      <w:contextualSpacing/>
    </w:pPr>
  </w:style>
  <w:style w:type="character" w:styleId="CommentReference">
    <w:name w:val="annotation reference"/>
    <w:basedOn w:val="DefaultParagraphFont"/>
    <w:uiPriority w:val="99"/>
    <w:semiHidden/>
    <w:unhideWhenUsed/>
    <w:rsid w:val="00F667A7"/>
    <w:rPr>
      <w:sz w:val="16"/>
      <w:szCs w:val="16"/>
    </w:rPr>
  </w:style>
  <w:style w:type="paragraph" w:styleId="CommentText">
    <w:name w:val="annotation text"/>
    <w:basedOn w:val="Normal"/>
    <w:link w:val="CommentTextChar"/>
    <w:uiPriority w:val="99"/>
    <w:semiHidden/>
    <w:unhideWhenUsed/>
    <w:rsid w:val="00F667A7"/>
    <w:pPr>
      <w:spacing w:line="240" w:lineRule="auto"/>
    </w:pPr>
    <w:rPr>
      <w:sz w:val="20"/>
      <w:szCs w:val="20"/>
    </w:rPr>
  </w:style>
  <w:style w:type="character" w:customStyle="1" w:styleId="CommentTextChar">
    <w:name w:val="Comment Text Char"/>
    <w:basedOn w:val="DefaultParagraphFont"/>
    <w:link w:val="CommentText"/>
    <w:uiPriority w:val="99"/>
    <w:semiHidden/>
    <w:rsid w:val="00F667A7"/>
    <w:rPr>
      <w:sz w:val="20"/>
      <w:szCs w:val="20"/>
    </w:rPr>
  </w:style>
  <w:style w:type="paragraph" w:styleId="CommentSubject">
    <w:name w:val="annotation subject"/>
    <w:basedOn w:val="CommentText"/>
    <w:next w:val="CommentText"/>
    <w:link w:val="CommentSubjectChar"/>
    <w:uiPriority w:val="99"/>
    <w:semiHidden/>
    <w:unhideWhenUsed/>
    <w:rsid w:val="00F667A7"/>
    <w:rPr>
      <w:b/>
      <w:bCs/>
    </w:rPr>
  </w:style>
  <w:style w:type="character" w:customStyle="1" w:styleId="CommentSubjectChar">
    <w:name w:val="Comment Subject Char"/>
    <w:basedOn w:val="CommentTextChar"/>
    <w:link w:val="CommentSubject"/>
    <w:uiPriority w:val="99"/>
    <w:semiHidden/>
    <w:rsid w:val="00F667A7"/>
    <w:rPr>
      <w:b/>
      <w:bCs/>
      <w:sz w:val="20"/>
      <w:szCs w:val="20"/>
    </w:rPr>
  </w:style>
  <w:style w:type="paragraph" w:styleId="BalloonText">
    <w:name w:val="Balloon Text"/>
    <w:basedOn w:val="Normal"/>
    <w:link w:val="BalloonTextChar"/>
    <w:uiPriority w:val="99"/>
    <w:semiHidden/>
    <w:unhideWhenUsed/>
    <w:rsid w:val="00F6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7A7"/>
    <w:rPr>
      <w:rFonts w:ascii="Segoe UI" w:hAnsi="Segoe UI" w:cs="Segoe UI"/>
      <w:sz w:val="18"/>
      <w:szCs w:val="18"/>
    </w:rPr>
  </w:style>
  <w:style w:type="character" w:styleId="Hyperlink">
    <w:name w:val="Hyperlink"/>
    <w:basedOn w:val="DefaultParagraphFont"/>
    <w:uiPriority w:val="99"/>
    <w:unhideWhenUsed/>
    <w:rsid w:val="00D83AAF"/>
    <w:rPr>
      <w:color w:val="0563C1" w:themeColor="hyperlink"/>
      <w:u w:val="single"/>
    </w:rPr>
  </w:style>
  <w:style w:type="character" w:customStyle="1" w:styleId="Heading1Char">
    <w:name w:val="Heading 1 Char"/>
    <w:basedOn w:val="DefaultParagraphFont"/>
    <w:link w:val="Heading1"/>
    <w:uiPriority w:val="9"/>
    <w:rsid w:val="00E141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9392">
      <w:bodyDiv w:val="1"/>
      <w:marLeft w:val="0"/>
      <w:marRight w:val="0"/>
      <w:marTop w:val="0"/>
      <w:marBottom w:val="0"/>
      <w:divBdr>
        <w:top w:val="none" w:sz="0" w:space="0" w:color="auto"/>
        <w:left w:val="none" w:sz="0" w:space="0" w:color="auto"/>
        <w:bottom w:val="none" w:sz="0" w:space="0" w:color="auto"/>
        <w:right w:val="none" w:sz="0" w:space="0" w:color="auto"/>
      </w:divBdr>
    </w:div>
    <w:div w:id="7752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morales@maximus.com" TargetMode="External"/><Relationship Id="rId5" Type="http://schemas.openxmlformats.org/officeDocument/2006/relationships/hyperlink" Target="mailto:doug.keast@winta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Keast</dc:creator>
  <cp:keywords/>
  <dc:description/>
  <cp:lastModifiedBy>Christa Nieminen</cp:lastModifiedBy>
  <cp:revision>4</cp:revision>
  <dcterms:created xsi:type="dcterms:W3CDTF">2017-04-03T13:12:00Z</dcterms:created>
  <dcterms:modified xsi:type="dcterms:W3CDTF">2017-05-07T22:09:00Z</dcterms:modified>
</cp:coreProperties>
</file>