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671" w:rsidRPr="005F6BA0" w:rsidRDefault="001D3216" w:rsidP="005F6BA0">
      <w:pPr>
        <w:pStyle w:val="BodyText"/>
        <w:jc w:val="center"/>
        <w:rPr>
          <w:rFonts w:cs="Times New Roman"/>
          <w:b/>
        </w:rPr>
      </w:pPr>
      <w:bookmarkStart w:id="0" w:name="_GoBack"/>
      <w:bookmarkEnd w:id="0"/>
      <w:r w:rsidRPr="005F6BA0">
        <w:rPr>
          <w:rFonts w:cs="Times New Roman"/>
          <w:b/>
        </w:rPr>
        <w:t>UNITED STATES DEPARTMENT OF</w:t>
      </w:r>
      <w:r w:rsidRPr="005F6BA0">
        <w:rPr>
          <w:rFonts w:cs="Times New Roman"/>
          <w:b/>
          <w:spacing w:val="-3"/>
        </w:rPr>
        <w:t xml:space="preserve"> </w:t>
      </w:r>
      <w:r w:rsidRPr="005F6BA0">
        <w:rPr>
          <w:rFonts w:cs="Times New Roman"/>
          <w:b/>
        </w:rPr>
        <w:t>EDUCATION</w:t>
      </w:r>
    </w:p>
    <w:p w:rsidR="00881671" w:rsidRPr="005F6BA0" w:rsidRDefault="001D3216" w:rsidP="005F6BA0">
      <w:pPr>
        <w:pStyle w:val="BodyText"/>
        <w:jc w:val="center"/>
        <w:rPr>
          <w:rFonts w:cs="Times New Roman"/>
          <w:b/>
        </w:rPr>
      </w:pPr>
      <w:r w:rsidRPr="005F6BA0">
        <w:rPr>
          <w:rFonts w:cs="Times New Roman"/>
          <w:b/>
          <w:i/>
        </w:rPr>
        <w:t xml:space="preserve">Office </w:t>
      </w:r>
      <w:r w:rsidRPr="005F6BA0">
        <w:rPr>
          <w:rFonts w:cs="Times New Roman"/>
          <w:b/>
          <w:i/>
          <w:spacing w:val="1"/>
        </w:rPr>
        <w:t>of</w:t>
      </w:r>
      <w:r w:rsidRPr="005F6BA0">
        <w:rPr>
          <w:rFonts w:cs="Times New Roman"/>
          <w:b/>
          <w:i/>
        </w:rPr>
        <w:t xml:space="preserve"> Special Education and Rehabilitative Service</w:t>
      </w:r>
      <w:r w:rsidR="00721071" w:rsidRPr="005F6BA0">
        <w:rPr>
          <w:rFonts w:cs="Times New Roman"/>
          <w:b/>
          <w:i/>
        </w:rPr>
        <w:t>s</w:t>
      </w:r>
      <w:r w:rsidRPr="005F6BA0">
        <w:rPr>
          <w:rFonts w:cs="Times New Roman"/>
          <w:b/>
          <w:i/>
          <w:spacing w:val="55"/>
        </w:rPr>
        <w:t xml:space="preserve"> </w:t>
      </w:r>
      <w:r w:rsidR="00950720" w:rsidRPr="005F6BA0">
        <w:rPr>
          <w:rFonts w:cs="Times New Roman"/>
          <w:b/>
          <w:i/>
          <w:spacing w:val="55"/>
        </w:rPr>
        <w:br/>
      </w:r>
      <w:r w:rsidRPr="005F6BA0">
        <w:rPr>
          <w:rFonts w:cs="Times New Roman"/>
          <w:b/>
          <w:i/>
        </w:rPr>
        <w:t>Rehabilitation Services Administration</w:t>
      </w:r>
    </w:p>
    <w:p w:rsidR="00950720" w:rsidRPr="005F6BA0" w:rsidRDefault="00950720" w:rsidP="005F6BA0">
      <w:pPr>
        <w:pStyle w:val="BodyText"/>
        <w:jc w:val="center"/>
        <w:rPr>
          <w:rFonts w:cs="Times New Roman"/>
          <w:b/>
          <w:i/>
        </w:rPr>
      </w:pPr>
    </w:p>
    <w:p w:rsidR="003B32CC" w:rsidRPr="005F6BA0" w:rsidRDefault="003B32CC" w:rsidP="005F6BA0">
      <w:pPr>
        <w:pStyle w:val="BodyText"/>
        <w:jc w:val="center"/>
        <w:rPr>
          <w:rFonts w:cs="Times New Roman"/>
          <w:b/>
          <w:caps/>
        </w:rPr>
      </w:pPr>
      <w:r w:rsidRPr="005F6BA0">
        <w:rPr>
          <w:rFonts w:cs="Times New Roman"/>
          <w:b/>
          <w:caps/>
        </w:rPr>
        <w:t xml:space="preserve">State Supported Employment Services – </w:t>
      </w:r>
      <w:r w:rsidR="009C6BC0" w:rsidRPr="005F6BA0">
        <w:rPr>
          <w:rFonts w:cs="Times New Roman"/>
          <w:b/>
          <w:caps/>
        </w:rPr>
        <w:t>A</w:t>
      </w:r>
      <w:r w:rsidRPr="005F6BA0">
        <w:rPr>
          <w:rFonts w:cs="Times New Roman"/>
          <w:b/>
          <w:caps/>
        </w:rPr>
        <w:t xml:space="preserve"> </w:t>
      </w:r>
    </w:p>
    <w:p w:rsidR="00881671" w:rsidRPr="005F6BA0" w:rsidRDefault="003B32CC" w:rsidP="005F6BA0">
      <w:pPr>
        <w:pStyle w:val="BodyText"/>
        <w:jc w:val="center"/>
        <w:rPr>
          <w:rFonts w:cs="Times New Roman"/>
          <w:b/>
        </w:rPr>
      </w:pPr>
      <w:r w:rsidRPr="005F6BA0">
        <w:rPr>
          <w:rFonts w:cs="Times New Roman"/>
          <w:b/>
        </w:rPr>
        <w:t>GENERAL</w:t>
      </w:r>
      <w:r w:rsidR="00BF7C12" w:rsidRPr="005F6BA0">
        <w:rPr>
          <w:rFonts w:cs="Times New Roman"/>
          <w:b/>
        </w:rPr>
        <w:t xml:space="preserve"> </w:t>
      </w:r>
      <w:r w:rsidR="004A4B94" w:rsidRPr="005F6BA0">
        <w:rPr>
          <w:rFonts w:cs="Times New Roman"/>
          <w:b/>
        </w:rPr>
        <w:t>REQUIREMENTS</w:t>
      </w:r>
    </w:p>
    <w:p w:rsidR="00881671" w:rsidRPr="005F6BA0" w:rsidRDefault="00881671" w:rsidP="005F6BA0">
      <w:pPr>
        <w:rPr>
          <w:rFonts w:ascii="Times New Roman" w:eastAsia="Times New Roman" w:hAnsi="Times New Roman" w:cs="Times New Roman"/>
          <w:b/>
          <w:bCs/>
          <w:sz w:val="24"/>
          <w:szCs w:val="24"/>
        </w:rPr>
      </w:pPr>
    </w:p>
    <w:p w:rsidR="00F21E28" w:rsidRPr="005F6BA0" w:rsidRDefault="00F21E28" w:rsidP="005F6BA0">
      <w:pPr>
        <w:pStyle w:val="ListParagraph"/>
        <w:numPr>
          <w:ilvl w:val="0"/>
          <w:numId w:val="9"/>
        </w:numPr>
        <w:ind w:left="360" w:hanging="360"/>
        <w:rPr>
          <w:rFonts w:ascii="Times New Roman" w:hAnsi="Times New Roman" w:cs="Times New Roman"/>
          <w:sz w:val="24"/>
          <w:szCs w:val="24"/>
          <w:u w:val="single"/>
        </w:rPr>
      </w:pPr>
      <w:r w:rsidRPr="005F6BA0">
        <w:rPr>
          <w:rFonts w:ascii="Times New Roman" w:hAnsi="Times New Roman" w:cs="Times New Roman"/>
          <w:sz w:val="24"/>
          <w:szCs w:val="24"/>
          <w:u w:val="single"/>
        </w:rPr>
        <w:t>Applicable Program:</w:t>
      </w:r>
    </w:p>
    <w:p w:rsidR="00F21E28" w:rsidRPr="005F6BA0" w:rsidRDefault="00F21E28" w:rsidP="005F6BA0">
      <w:pPr>
        <w:widowControl/>
        <w:contextualSpacing/>
        <w:rPr>
          <w:rFonts w:ascii="Times New Roman" w:hAnsi="Times New Roman" w:cs="Times New Roman"/>
          <w:sz w:val="24"/>
          <w:szCs w:val="24"/>
        </w:rPr>
      </w:pPr>
    </w:p>
    <w:p w:rsidR="00645FD1" w:rsidRPr="005F6BA0" w:rsidRDefault="00645FD1" w:rsidP="005F6BA0">
      <w:pPr>
        <w:pStyle w:val="ListParagraph"/>
        <w:widowControl/>
        <w:numPr>
          <w:ilvl w:val="0"/>
          <w:numId w:val="8"/>
        </w:numPr>
        <w:contextualSpacing/>
        <w:rPr>
          <w:rFonts w:ascii="Times New Roman" w:hAnsi="Times New Roman" w:cs="Times New Roman"/>
          <w:sz w:val="24"/>
          <w:szCs w:val="24"/>
        </w:rPr>
      </w:pPr>
      <w:r w:rsidRPr="005F6BA0">
        <w:rPr>
          <w:rFonts w:ascii="Times New Roman" w:hAnsi="Times New Roman" w:cs="Times New Roman"/>
          <w:sz w:val="24"/>
          <w:szCs w:val="24"/>
        </w:rPr>
        <w:t xml:space="preserve">State Supported Employment Services – </w:t>
      </w:r>
      <w:r w:rsidR="009C6BC0" w:rsidRPr="005F6BA0">
        <w:rPr>
          <w:rFonts w:ascii="Times New Roman" w:hAnsi="Times New Roman" w:cs="Times New Roman"/>
          <w:sz w:val="24"/>
          <w:szCs w:val="24"/>
        </w:rPr>
        <w:t>A</w:t>
      </w:r>
      <w:r w:rsidRPr="005F6BA0">
        <w:rPr>
          <w:rFonts w:ascii="Times New Roman" w:hAnsi="Times New Roman" w:cs="Times New Roman"/>
          <w:sz w:val="24"/>
          <w:szCs w:val="24"/>
        </w:rPr>
        <w:t xml:space="preserve"> (SE-</w:t>
      </w:r>
      <w:r w:rsidR="009C6BC0" w:rsidRPr="005F6BA0">
        <w:rPr>
          <w:rFonts w:ascii="Times New Roman" w:hAnsi="Times New Roman" w:cs="Times New Roman"/>
          <w:sz w:val="24"/>
          <w:szCs w:val="24"/>
        </w:rPr>
        <w:t>A) (CFDA 84.187A</w:t>
      </w:r>
      <w:r w:rsidRPr="005F6BA0">
        <w:rPr>
          <w:rFonts w:ascii="Times New Roman" w:hAnsi="Times New Roman" w:cs="Times New Roman"/>
          <w:sz w:val="24"/>
          <w:szCs w:val="24"/>
        </w:rPr>
        <w:t>)</w:t>
      </w:r>
    </w:p>
    <w:p w:rsidR="00F21E28" w:rsidRPr="005F6BA0" w:rsidRDefault="00F21E28" w:rsidP="005F6BA0">
      <w:pPr>
        <w:pStyle w:val="BodyText"/>
        <w:ind w:left="0" w:right="193"/>
        <w:rPr>
          <w:rFonts w:cs="Times New Roman"/>
        </w:rPr>
      </w:pPr>
    </w:p>
    <w:p w:rsidR="00E6241B" w:rsidRPr="005F6BA0" w:rsidRDefault="00F20479" w:rsidP="005F6BA0">
      <w:pPr>
        <w:pStyle w:val="BodyText"/>
        <w:numPr>
          <w:ilvl w:val="0"/>
          <w:numId w:val="9"/>
        </w:numPr>
        <w:ind w:left="360" w:right="247" w:hanging="360"/>
        <w:rPr>
          <w:rFonts w:cs="Times New Roman"/>
          <w:u w:val="single"/>
        </w:rPr>
      </w:pPr>
      <w:r w:rsidRPr="005F6BA0">
        <w:rPr>
          <w:rFonts w:cs="Times New Roman"/>
          <w:u w:val="single"/>
        </w:rPr>
        <w:t xml:space="preserve">Expenditure </w:t>
      </w:r>
      <w:r w:rsidR="00E6241B" w:rsidRPr="005F6BA0">
        <w:rPr>
          <w:rFonts w:cs="Times New Roman"/>
          <w:u w:val="single"/>
        </w:rPr>
        <w:t>Requirement:</w:t>
      </w:r>
    </w:p>
    <w:p w:rsidR="00E6241B" w:rsidRPr="005F6BA0" w:rsidRDefault="00E6241B" w:rsidP="005F6BA0">
      <w:pPr>
        <w:pStyle w:val="BodyText"/>
        <w:ind w:left="360" w:right="247"/>
        <w:rPr>
          <w:rFonts w:cs="Times New Roman"/>
        </w:rPr>
      </w:pPr>
    </w:p>
    <w:p w:rsidR="00A87283" w:rsidRPr="00AC38A4" w:rsidRDefault="00AC38A4" w:rsidP="00AC38A4">
      <w:pPr>
        <w:widowControl/>
        <w:autoSpaceDE w:val="0"/>
        <w:autoSpaceDN w:val="0"/>
        <w:adjustRightInd w:val="0"/>
        <w:ind w:left="360"/>
        <w:rPr>
          <w:rFonts w:ascii="Times New Roman" w:hAnsi="Times New Roman" w:cs="Times New Roman"/>
          <w:color w:val="000000"/>
          <w:sz w:val="24"/>
          <w:szCs w:val="24"/>
        </w:rPr>
      </w:pPr>
      <w:r w:rsidRPr="00AC38A4">
        <w:rPr>
          <w:rFonts w:ascii="Times New Roman" w:hAnsi="Times New Roman" w:cs="Times New Roman"/>
          <w:sz w:val="24"/>
          <w:szCs w:val="24"/>
        </w:rPr>
        <w:t xml:space="preserve">In accordance with section 603 of the </w:t>
      </w:r>
      <w:r>
        <w:rPr>
          <w:rFonts w:ascii="Times New Roman" w:hAnsi="Times New Roman" w:cs="Times New Roman"/>
          <w:sz w:val="24"/>
          <w:szCs w:val="24"/>
        </w:rPr>
        <w:t xml:space="preserve">Rehabilitation </w:t>
      </w:r>
      <w:r w:rsidRPr="00AC38A4">
        <w:rPr>
          <w:rFonts w:ascii="Times New Roman" w:hAnsi="Times New Roman" w:cs="Times New Roman"/>
          <w:sz w:val="24"/>
          <w:szCs w:val="24"/>
        </w:rPr>
        <w:t xml:space="preserve">Act, the State must reserve and expend 50 percent of its Supported Employment allotment for the provision of supported employment services to youth with the </w:t>
      </w:r>
      <w:r w:rsidR="00EB1AD3">
        <w:rPr>
          <w:rFonts w:ascii="Times New Roman" w:hAnsi="Times New Roman" w:cs="Times New Roman"/>
          <w:sz w:val="24"/>
          <w:szCs w:val="24"/>
        </w:rPr>
        <w:t xml:space="preserve">most significant disabilities. </w:t>
      </w:r>
      <w:r w:rsidRPr="00AC38A4">
        <w:rPr>
          <w:rFonts w:ascii="Times New Roman" w:hAnsi="Times New Roman" w:cs="Times New Roman"/>
          <w:sz w:val="24"/>
          <w:szCs w:val="24"/>
        </w:rPr>
        <w:t>While RSA has divided the SE allotment into separate grants each constituting 50</w:t>
      </w:r>
      <w:r w:rsidR="00503C45">
        <w:rPr>
          <w:rFonts w:ascii="Times New Roman" w:hAnsi="Times New Roman" w:cs="Times New Roman"/>
          <w:sz w:val="24"/>
          <w:szCs w:val="24"/>
        </w:rPr>
        <w:t xml:space="preserve"> percent</w:t>
      </w:r>
      <w:r w:rsidRPr="00AC38A4">
        <w:rPr>
          <w:rFonts w:ascii="Times New Roman" w:hAnsi="Times New Roman" w:cs="Times New Roman"/>
          <w:sz w:val="24"/>
          <w:szCs w:val="24"/>
        </w:rPr>
        <w:t xml:space="preserve"> of the allotment</w:t>
      </w:r>
      <w:r w:rsidR="00503C45">
        <w:rPr>
          <w:rFonts w:ascii="Times New Roman" w:hAnsi="Times New Roman" w:cs="Times New Roman"/>
          <w:sz w:val="24"/>
          <w:szCs w:val="24"/>
        </w:rPr>
        <w:t xml:space="preserve"> (SE-A and SE-B)</w:t>
      </w:r>
      <w:r w:rsidRPr="00AC38A4">
        <w:rPr>
          <w:rFonts w:ascii="Times New Roman" w:hAnsi="Times New Roman" w:cs="Times New Roman"/>
          <w:sz w:val="24"/>
          <w:szCs w:val="24"/>
        </w:rPr>
        <w:t>, the State’s SE allotment is considered the total of both those grants, and the State’s obligation to reserve and expend half of its grant on youth with significant disabilities continues regardless of whether the size of the total al</w:t>
      </w:r>
      <w:r w:rsidR="00503C45">
        <w:rPr>
          <w:rFonts w:ascii="Times New Roman" w:hAnsi="Times New Roman" w:cs="Times New Roman"/>
          <w:sz w:val="24"/>
          <w:szCs w:val="24"/>
        </w:rPr>
        <w:t xml:space="preserve">lotment increases or decreases. </w:t>
      </w:r>
      <w:r w:rsidR="00BB001D">
        <w:rPr>
          <w:rFonts w:ascii="Times New Roman" w:hAnsi="Times New Roman" w:cs="Times New Roman"/>
          <w:sz w:val="24"/>
          <w:szCs w:val="24"/>
        </w:rPr>
        <w:t>A State may spend its SE-A grant on youth with significant disabilities</w:t>
      </w:r>
      <w:r w:rsidR="00A51500">
        <w:rPr>
          <w:rFonts w:ascii="Times New Roman" w:hAnsi="Times New Roman" w:cs="Times New Roman"/>
          <w:sz w:val="24"/>
          <w:szCs w:val="24"/>
        </w:rPr>
        <w:t xml:space="preserve"> without matching that expenditure</w:t>
      </w:r>
      <w:r w:rsidR="00BB001D">
        <w:rPr>
          <w:rFonts w:ascii="Times New Roman" w:hAnsi="Times New Roman" w:cs="Times New Roman"/>
          <w:sz w:val="24"/>
          <w:szCs w:val="24"/>
        </w:rPr>
        <w:t xml:space="preserve">, but it is still obligated to </w:t>
      </w:r>
      <w:r w:rsidR="00A51500">
        <w:rPr>
          <w:rFonts w:ascii="Times New Roman" w:hAnsi="Times New Roman" w:cs="Times New Roman"/>
          <w:sz w:val="24"/>
          <w:szCs w:val="24"/>
        </w:rPr>
        <w:t xml:space="preserve">expend its </w:t>
      </w:r>
      <w:r w:rsidR="00BB001D">
        <w:rPr>
          <w:rFonts w:ascii="Times New Roman" w:hAnsi="Times New Roman" w:cs="Times New Roman"/>
          <w:sz w:val="24"/>
          <w:szCs w:val="24"/>
        </w:rPr>
        <w:t>SE-B grant</w:t>
      </w:r>
      <w:r w:rsidR="00A51500">
        <w:rPr>
          <w:rFonts w:ascii="Times New Roman" w:hAnsi="Times New Roman" w:cs="Times New Roman"/>
          <w:sz w:val="24"/>
          <w:szCs w:val="24"/>
        </w:rPr>
        <w:t xml:space="preserve"> on youth with significant disabilities and match at least 10 percent of the amount of the SE-B grant. </w:t>
      </w:r>
      <w:r w:rsidR="00B11C4A">
        <w:rPr>
          <w:rFonts w:ascii="Times New Roman" w:hAnsi="Times New Roman" w:cs="Times New Roman"/>
          <w:sz w:val="24"/>
          <w:szCs w:val="24"/>
        </w:rPr>
        <w:t>If a State does not expend and fully match its SE-B grant, it cannot carry over either its SE-A or SE</w:t>
      </w:r>
      <w:r w:rsidR="007C4867">
        <w:rPr>
          <w:rFonts w:ascii="Times New Roman" w:hAnsi="Times New Roman" w:cs="Times New Roman"/>
          <w:sz w:val="24"/>
          <w:szCs w:val="24"/>
        </w:rPr>
        <w:t>-</w:t>
      </w:r>
      <w:r w:rsidR="00B11C4A">
        <w:rPr>
          <w:rFonts w:ascii="Times New Roman" w:hAnsi="Times New Roman" w:cs="Times New Roman"/>
          <w:sz w:val="24"/>
          <w:szCs w:val="24"/>
        </w:rPr>
        <w:t xml:space="preserve">B grant to the subsequent fiscal year. </w:t>
      </w:r>
      <w:r w:rsidR="00A51500">
        <w:rPr>
          <w:rFonts w:ascii="Times New Roman" w:hAnsi="Times New Roman" w:cs="Times New Roman"/>
          <w:sz w:val="24"/>
          <w:szCs w:val="24"/>
        </w:rPr>
        <w:t>A</w:t>
      </w:r>
      <w:r w:rsidRPr="00AC38A4">
        <w:rPr>
          <w:rFonts w:ascii="Times New Roman" w:hAnsi="Times New Roman" w:cs="Times New Roman"/>
          <w:sz w:val="24"/>
          <w:szCs w:val="24"/>
        </w:rPr>
        <w:t xml:space="preserve"> State cannot avoid its match obligation by giving back its SE-B grant to the Department because the amount of its SE-A grant </w:t>
      </w:r>
      <w:r w:rsidR="00A51500">
        <w:rPr>
          <w:rFonts w:ascii="Times New Roman" w:hAnsi="Times New Roman" w:cs="Times New Roman"/>
          <w:sz w:val="24"/>
          <w:szCs w:val="24"/>
        </w:rPr>
        <w:t xml:space="preserve">then </w:t>
      </w:r>
      <w:r w:rsidRPr="00AC38A4">
        <w:rPr>
          <w:rFonts w:ascii="Times New Roman" w:hAnsi="Times New Roman" w:cs="Times New Roman"/>
          <w:sz w:val="24"/>
          <w:szCs w:val="24"/>
        </w:rPr>
        <w:t>becomes its SE allotment, and the State would be required to reserve and expend 50</w:t>
      </w:r>
      <w:r w:rsidR="00503C45">
        <w:rPr>
          <w:rFonts w:ascii="Times New Roman" w:hAnsi="Times New Roman" w:cs="Times New Roman"/>
          <w:sz w:val="24"/>
          <w:szCs w:val="24"/>
        </w:rPr>
        <w:t xml:space="preserve"> percent</w:t>
      </w:r>
      <w:r w:rsidRPr="00AC38A4">
        <w:rPr>
          <w:rFonts w:ascii="Times New Roman" w:hAnsi="Times New Roman" w:cs="Times New Roman"/>
          <w:sz w:val="24"/>
          <w:szCs w:val="24"/>
        </w:rPr>
        <w:t xml:space="preserve"> of that amount on youth with the most significant disabilities and match at least 10</w:t>
      </w:r>
      <w:r w:rsidR="00503C45">
        <w:rPr>
          <w:rFonts w:ascii="Times New Roman" w:hAnsi="Times New Roman" w:cs="Times New Roman"/>
          <w:sz w:val="24"/>
          <w:szCs w:val="24"/>
        </w:rPr>
        <w:t xml:space="preserve"> percent of that amount.</w:t>
      </w:r>
      <w:r w:rsidRPr="00AC38A4">
        <w:rPr>
          <w:rFonts w:ascii="Times New Roman" w:hAnsi="Times New Roman" w:cs="Times New Roman"/>
          <w:sz w:val="24"/>
          <w:szCs w:val="24"/>
        </w:rPr>
        <w:t xml:space="preserve"> </w:t>
      </w:r>
      <w:r w:rsidR="00A51500">
        <w:rPr>
          <w:rFonts w:ascii="Times New Roman" w:hAnsi="Times New Roman" w:cs="Times New Roman"/>
          <w:sz w:val="24"/>
          <w:szCs w:val="24"/>
        </w:rPr>
        <w:t>T</w:t>
      </w:r>
      <w:r w:rsidRPr="00AC38A4">
        <w:rPr>
          <w:rFonts w:ascii="Times New Roman" w:hAnsi="Times New Roman" w:cs="Times New Roman"/>
          <w:sz w:val="24"/>
          <w:szCs w:val="24"/>
        </w:rPr>
        <w:t>he amount to be reserved and expended will be affected by adjustments to a State’s allotment made throughout the year of appropriation, such as adjustments</w:t>
      </w:r>
      <w:r w:rsidR="00503C45">
        <w:rPr>
          <w:rFonts w:ascii="Times New Roman" w:hAnsi="Times New Roman" w:cs="Times New Roman"/>
          <w:sz w:val="24"/>
          <w:szCs w:val="24"/>
        </w:rPr>
        <w:t xml:space="preserve"> </w:t>
      </w:r>
      <w:r w:rsidRPr="00AC38A4">
        <w:rPr>
          <w:rFonts w:ascii="Times New Roman" w:hAnsi="Times New Roman" w:cs="Times New Roman"/>
          <w:sz w:val="24"/>
          <w:szCs w:val="24"/>
        </w:rPr>
        <w:t>made during the real</w:t>
      </w:r>
      <w:r w:rsidR="00503C45">
        <w:rPr>
          <w:rFonts w:ascii="Times New Roman" w:hAnsi="Times New Roman" w:cs="Times New Roman"/>
          <w:sz w:val="24"/>
          <w:szCs w:val="24"/>
        </w:rPr>
        <w:t>lotment process, if applicable</w:t>
      </w:r>
      <w:r w:rsidR="00C66B1E">
        <w:rPr>
          <w:rFonts w:ascii="Times New Roman" w:hAnsi="Times New Roman" w:cs="Times New Roman"/>
          <w:sz w:val="24"/>
          <w:szCs w:val="24"/>
        </w:rPr>
        <w:t xml:space="preserve"> (See Section IV below)</w:t>
      </w:r>
      <w:r w:rsidR="00503C45">
        <w:rPr>
          <w:rFonts w:ascii="Times New Roman" w:hAnsi="Times New Roman" w:cs="Times New Roman"/>
          <w:sz w:val="24"/>
          <w:szCs w:val="24"/>
        </w:rPr>
        <w:t xml:space="preserve">. </w:t>
      </w:r>
    </w:p>
    <w:p w:rsidR="00A87283" w:rsidRDefault="00A87283" w:rsidP="00A87283">
      <w:pPr>
        <w:widowControl/>
        <w:autoSpaceDE w:val="0"/>
        <w:autoSpaceDN w:val="0"/>
        <w:adjustRightInd w:val="0"/>
        <w:rPr>
          <w:rFonts w:ascii="Times New Roman" w:hAnsi="Times New Roman" w:cs="Times New Roman"/>
          <w:color w:val="000000"/>
          <w:sz w:val="23"/>
          <w:szCs w:val="23"/>
        </w:rPr>
      </w:pPr>
    </w:p>
    <w:p w:rsidR="00A87283" w:rsidRPr="00EB1AD3" w:rsidRDefault="00A87283" w:rsidP="00EB1AD3">
      <w:pPr>
        <w:widowControl/>
        <w:autoSpaceDE w:val="0"/>
        <w:autoSpaceDN w:val="0"/>
        <w:adjustRightInd w:val="0"/>
        <w:ind w:left="360"/>
        <w:rPr>
          <w:rFonts w:ascii="Times New Roman" w:hAnsi="Times New Roman" w:cs="Times New Roman"/>
          <w:color w:val="000000"/>
          <w:sz w:val="24"/>
          <w:szCs w:val="24"/>
        </w:rPr>
      </w:pPr>
      <w:r w:rsidRPr="00EB1AD3">
        <w:rPr>
          <w:rFonts w:ascii="Times New Roman" w:hAnsi="Times New Roman" w:cs="Times New Roman"/>
          <w:color w:val="000000"/>
          <w:sz w:val="24"/>
          <w:szCs w:val="24"/>
        </w:rPr>
        <w:t xml:space="preserve">SEC. 603. ALLOTMENTS. </w:t>
      </w:r>
    </w:p>
    <w:p w:rsidR="00A87283" w:rsidRPr="00EB1AD3" w:rsidRDefault="00A87283" w:rsidP="00EB1AD3">
      <w:pPr>
        <w:widowControl/>
        <w:autoSpaceDE w:val="0"/>
        <w:autoSpaceDN w:val="0"/>
        <w:adjustRightInd w:val="0"/>
        <w:ind w:left="360"/>
        <w:rPr>
          <w:rFonts w:ascii="Times New Roman" w:hAnsi="Times New Roman" w:cs="Times New Roman"/>
          <w:color w:val="000000"/>
          <w:sz w:val="24"/>
          <w:szCs w:val="24"/>
        </w:rPr>
      </w:pPr>
      <w:r w:rsidRPr="00EB1AD3">
        <w:rPr>
          <w:rFonts w:ascii="Times New Roman" w:hAnsi="Times New Roman" w:cs="Times New Roman"/>
          <w:color w:val="000000"/>
          <w:sz w:val="24"/>
          <w:szCs w:val="24"/>
        </w:rPr>
        <w:t xml:space="preserve">**** </w:t>
      </w:r>
    </w:p>
    <w:p w:rsidR="00A87283" w:rsidRDefault="00A87283" w:rsidP="00EB1AD3">
      <w:pPr>
        <w:widowControl/>
        <w:autoSpaceDE w:val="0"/>
        <w:autoSpaceDN w:val="0"/>
        <w:adjustRightInd w:val="0"/>
        <w:ind w:left="360"/>
        <w:rPr>
          <w:rFonts w:ascii="Times New Roman" w:hAnsi="Times New Roman" w:cs="Times New Roman"/>
          <w:color w:val="000000"/>
          <w:sz w:val="24"/>
          <w:szCs w:val="24"/>
        </w:rPr>
      </w:pPr>
      <w:r w:rsidRPr="00EB1AD3">
        <w:rPr>
          <w:rFonts w:ascii="Times New Roman" w:hAnsi="Times New Roman" w:cs="Times New Roman"/>
          <w:color w:val="000000"/>
          <w:sz w:val="24"/>
          <w:szCs w:val="24"/>
        </w:rPr>
        <w:t xml:space="preserve">(d) Services for Youth with the Most Significant Disabilities. – A State that receives an allotment under this title shall reserve and expend half of such allotment for the provision of supported employment services, including extended services, to youth with the most significant disabilities in order to assist those youth in achieving an employment outcome in supported employment. </w:t>
      </w:r>
    </w:p>
    <w:p w:rsidR="009350CA" w:rsidRPr="00EB1AD3" w:rsidRDefault="009350CA" w:rsidP="00EB1AD3">
      <w:pPr>
        <w:widowControl/>
        <w:autoSpaceDE w:val="0"/>
        <w:autoSpaceDN w:val="0"/>
        <w:adjustRightInd w:val="0"/>
        <w:ind w:left="360"/>
        <w:rPr>
          <w:rFonts w:ascii="Times New Roman" w:hAnsi="Times New Roman" w:cs="Times New Roman"/>
          <w:color w:val="000000"/>
          <w:sz w:val="24"/>
          <w:szCs w:val="24"/>
        </w:rPr>
      </w:pPr>
    </w:p>
    <w:p w:rsidR="00A87283" w:rsidRPr="00EB1AD3" w:rsidRDefault="00A87283" w:rsidP="00EB1AD3">
      <w:pPr>
        <w:widowControl/>
        <w:autoSpaceDE w:val="0"/>
        <w:autoSpaceDN w:val="0"/>
        <w:adjustRightInd w:val="0"/>
        <w:ind w:left="360"/>
        <w:rPr>
          <w:rFonts w:ascii="Times New Roman" w:hAnsi="Times New Roman" w:cs="Times New Roman"/>
          <w:color w:val="000000"/>
          <w:sz w:val="24"/>
          <w:szCs w:val="24"/>
        </w:rPr>
      </w:pPr>
      <w:r w:rsidRPr="00EB1AD3">
        <w:rPr>
          <w:rFonts w:ascii="Times New Roman" w:hAnsi="Times New Roman" w:cs="Times New Roman"/>
          <w:color w:val="000000"/>
          <w:sz w:val="24"/>
          <w:szCs w:val="24"/>
        </w:rPr>
        <w:t xml:space="preserve">The State allotment, which forms the basis for the 50 percent reservation, refers to the funds awarded pursuant to section 603 of the Rehabilitation Act. State allotment, in this context, does not refer to an allotment of State funds awarded by the State, nor does it refer to any title I State Vocational Rehabilitation Services (VR) funds that the State elects to use in providing SE services. </w:t>
      </w:r>
    </w:p>
    <w:p w:rsidR="00A87283" w:rsidRPr="00EB1AD3" w:rsidRDefault="00A87283" w:rsidP="00EB1AD3">
      <w:pPr>
        <w:widowControl/>
        <w:autoSpaceDE w:val="0"/>
        <w:autoSpaceDN w:val="0"/>
        <w:adjustRightInd w:val="0"/>
        <w:rPr>
          <w:rFonts w:ascii="Times New Roman" w:hAnsi="Times New Roman" w:cs="Times New Roman"/>
          <w:color w:val="000000"/>
          <w:sz w:val="24"/>
          <w:szCs w:val="24"/>
        </w:rPr>
      </w:pPr>
    </w:p>
    <w:p w:rsidR="00A51500" w:rsidRPr="00EB1AD3" w:rsidRDefault="00A51500" w:rsidP="00EB1AD3">
      <w:pPr>
        <w:widowControl/>
        <w:ind w:left="360"/>
        <w:rPr>
          <w:rFonts w:ascii="Times New Roman" w:eastAsia="Calibri" w:hAnsi="Times New Roman" w:cs="Times New Roman"/>
          <w:bCs/>
          <w:sz w:val="24"/>
          <w:szCs w:val="24"/>
        </w:rPr>
      </w:pPr>
      <w:r w:rsidRPr="00EB1AD3">
        <w:rPr>
          <w:rFonts w:ascii="Times New Roman" w:eastAsia="Calibri" w:hAnsi="Times New Roman" w:cs="Times New Roman"/>
          <w:bCs/>
          <w:sz w:val="24"/>
          <w:szCs w:val="24"/>
        </w:rPr>
        <w:lastRenderedPageBreak/>
        <w:t>SEC. 606. STATE PLAN.</w:t>
      </w:r>
    </w:p>
    <w:p w:rsidR="00A51500" w:rsidRPr="00EB1AD3" w:rsidRDefault="00A51500" w:rsidP="00EB1AD3">
      <w:pPr>
        <w:widowControl/>
        <w:ind w:left="360"/>
        <w:rPr>
          <w:rFonts w:ascii="Times New Roman" w:eastAsia="Calibri" w:hAnsi="Times New Roman" w:cs="Times New Roman"/>
          <w:bCs/>
          <w:sz w:val="24"/>
          <w:szCs w:val="24"/>
        </w:rPr>
      </w:pPr>
      <w:r w:rsidRPr="00EB1AD3">
        <w:rPr>
          <w:rFonts w:ascii="Times New Roman" w:eastAsia="Calibri" w:hAnsi="Times New Roman" w:cs="Times New Roman"/>
          <w:bCs/>
          <w:sz w:val="24"/>
          <w:szCs w:val="24"/>
        </w:rPr>
        <w:t>****</w:t>
      </w:r>
    </w:p>
    <w:p w:rsidR="00A51500" w:rsidRPr="00EB1AD3" w:rsidRDefault="00A51500" w:rsidP="00EB1AD3">
      <w:pPr>
        <w:widowControl/>
        <w:ind w:left="360"/>
        <w:rPr>
          <w:rFonts w:ascii="Times New Roman" w:eastAsia="Calibri" w:hAnsi="Times New Roman" w:cs="Times New Roman"/>
          <w:bCs/>
          <w:sz w:val="24"/>
          <w:szCs w:val="24"/>
        </w:rPr>
      </w:pPr>
      <w:r w:rsidRPr="00EB1AD3">
        <w:rPr>
          <w:rFonts w:ascii="Times New Roman" w:eastAsia="Calibri" w:hAnsi="Times New Roman" w:cs="Times New Roman"/>
          <w:bCs/>
          <w:sz w:val="24"/>
          <w:szCs w:val="24"/>
        </w:rPr>
        <w:t>(b) Each such plan supplement shall –</w:t>
      </w:r>
    </w:p>
    <w:p w:rsidR="00A51500" w:rsidRPr="00EB1AD3" w:rsidRDefault="00A51500" w:rsidP="00EB1AD3">
      <w:pPr>
        <w:widowControl/>
        <w:ind w:left="360"/>
        <w:rPr>
          <w:rFonts w:ascii="Times New Roman" w:eastAsia="Calibri" w:hAnsi="Times New Roman" w:cs="Times New Roman"/>
          <w:bCs/>
          <w:sz w:val="24"/>
          <w:szCs w:val="24"/>
        </w:rPr>
      </w:pPr>
      <w:r w:rsidRPr="00EB1AD3">
        <w:rPr>
          <w:rFonts w:ascii="Times New Roman" w:eastAsia="Calibri" w:hAnsi="Times New Roman" w:cs="Times New Roman"/>
          <w:bCs/>
          <w:sz w:val="24"/>
          <w:szCs w:val="24"/>
        </w:rPr>
        <w:t>****</w:t>
      </w:r>
    </w:p>
    <w:p w:rsidR="00A51500" w:rsidRPr="00EB1AD3" w:rsidRDefault="00A51500" w:rsidP="00EB1AD3">
      <w:pPr>
        <w:widowControl/>
        <w:ind w:left="360"/>
        <w:rPr>
          <w:rFonts w:ascii="Times New Roman" w:eastAsia="Calibri" w:hAnsi="Times New Roman" w:cs="Times New Roman"/>
          <w:bCs/>
          <w:sz w:val="24"/>
          <w:szCs w:val="24"/>
        </w:rPr>
      </w:pPr>
      <w:r w:rsidRPr="00EB1AD3">
        <w:rPr>
          <w:rFonts w:ascii="Times New Roman" w:eastAsia="Calibri" w:hAnsi="Times New Roman" w:cs="Times New Roman"/>
          <w:bCs/>
          <w:sz w:val="24"/>
          <w:szCs w:val="24"/>
        </w:rPr>
        <w:t xml:space="preserve">(7) provide assurances that --  </w:t>
      </w:r>
    </w:p>
    <w:p w:rsidR="00A51500" w:rsidRPr="00EB1AD3" w:rsidRDefault="00A51500" w:rsidP="00EB1AD3">
      <w:pPr>
        <w:widowControl/>
        <w:ind w:left="360"/>
        <w:rPr>
          <w:rFonts w:ascii="Times New Roman" w:eastAsia="Calibri" w:hAnsi="Times New Roman" w:cs="Times New Roman"/>
          <w:bCs/>
          <w:sz w:val="24"/>
          <w:szCs w:val="24"/>
        </w:rPr>
      </w:pPr>
      <w:r w:rsidRPr="00EB1AD3">
        <w:rPr>
          <w:rFonts w:ascii="Times New Roman" w:eastAsia="Calibri" w:hAnsi="Times New Roman" w:cs="Times New Roman"/>
          <w:bCs/>
          <w:sz w:val="24"/>
          <w:szCs w:val="24"/>
        </w:rPr>
        <w:t>****</w:t>
      </w:r>
    </w:p>
    <w:p w:rsidR="00A51500" w:rsidRPr="00EB1AD3" w:rsidRDefault="00A51500" w:rsidP="00EB1AD3">
      <w:pPr>
        <w:widowControl/>
        <w:numPr>
          <w:ilvl w:val="0"/>
          <w:numId w:val="11"/>
        </w:numPr>
        <w:rPr>
          <w:rFonts w:ascii="Times New Roman" w:eastAsia="Calibri" w:hAnsi="Times New Roman" w:cs="Times New Roman"/>
          <w:bCs/>
          <w:sz w:val="24"/>
          <w:szCs w:val="24"/>
        </w:rPr>
      </w:pPr>
      <w:r w:rsidRPr="00EB1AD3">
        <w:rPr>
          <w:rFonts w:ascii="Times New Roman" w:eastAsia="Calibri" w:hAnsi="Times New Roman" w:cs="Times New Roman"/>
          <w:bCs/>
          <w:sz w:val="24"/>
          <w:szCs w:val="24"/>
        </w:rPr>
        <w:t>With respect to supported employment services provided to youth with the most significant disabilities pursuant to section 603(d), the designated State agency will provide, directly or indirectly, through public or private entities, non-Federal contributions in an amount that is not less than 10 percent of the costs of carrying out such services. . . .</w:t>
      </w:r>
    </w:p>
    <w:p w:rsidR="00A51500" w:rsidRPr="00EB1AD3" w:rsidRDefault="00A51500" w:rsidP="00EB1AD3">
      <w:pPr>
        <w:widowControl/>
        <w:autoSpaceDE w:val="0"/>
        <w:autoSpaceDN w:val="0"/>
        <w:adjustRightInd w:val="0"/>
        <w:rPr>
          <w:rFonts w:ascii="Times New Roman" w:hAnsi="Times New Roman" w:cs="Times New Roman"/>
          <w:color w:val="000000"/>
          <w:sz w:val="24"/>
          <w:szCs w:val="24"/>
        </w:rPr>
      </w:pPr>
    </w:p>
    <w:p w:rsidR="00E6241B" w:rsidRPr="00EB1AD3" w:rsidRDefault="00E6241B" w:rsidP="00EB1AD3">
      <w:pPr>
        <w:pStyle w:val="BodyText"/>
        <w:ind w:left="360" w:right="247"/>
        <w:rPr>
          <w:rFonts w:cs="Times New Roman"/>
        </w:rPr>
      </w:pPr>
      <w:r w:rsidRPr="00EB1AD3">
        <w:rPr>
          <w:rFonts w:cs="Times New Roman"/>
        </w:rPr>
        <w:t>34 CFR</w:t>
      </w:r>
      <w:r w:rsidR="001F6D1E" w:rsidRPr="00EB1AD3">
        <w:rPr>
          <w:rFonts w:cs="Times New Roman"/>
        </w:rPr>
        <w:t xml:space="preserve"> §</w:t>
      </w:r>
      <w:r w:rsidRPr="00EB1AD3">
        <w:rPr>
          <w:rFonts w:cs="Times New Roman"/>
        </w:rPr>
        <w:t xml:space="preserve"> 363.23(a)(2)(ii)</w:t>
      </w:r>
    </w:p>
    <w:p w:rsidR="00E6241B" w:rsidRPr="00EB1AD3" w:rsidRDefault="00E6241B" w:rsidP="00EB1AD3">
      <w:pPr>
        <w:pStyle w:val="BodyText"/>
        <w:ind w:left="360" w:right="247"/>
        <w:rPr>
          <w:rFonts w:cs="Times New Roman"/>
          <w:color w:val="333333"/>
          <w:shd w:val="clear" w:color="auto" w:fill="FFFFFF"/>
        </w:rPr>
      </w:pPr>
    </w:p>
    <w:p w:rsidR="00E6241B" w:rsidRPr="00EB1AD3" w:rsidRDefault="00E6241B" w:rsidP="00EB1AD3">
      <w:pPr>
        <w:pStyle w:val="BodyText"/>
        <w:ind w:left="360" w:right="247"/>
        <w:rPr>
          <w:rFonts w:cs="Times New Roman"/>
        </w:rPr>
      </w:pPr>
      <w:r w:rsidRPr="00EB1AD3">
        <w:rPr>
          <w:rFonts w:cs="Times New Roman"/>
          <w:shd w:val="clear" w:color="auto" w:fill="FFFFFF"/>
        </w:rPr>
        <w:t>In the event that a designated State agency uses more than 50 percent of its allotment under this part to provide supported employment services to youth with the most signific</w:t>
      </w:r>
      <w:r w:rsidR="005F6BA0" w:rsidRPr="00EB1AD3">
        <w:rPr>
          <w:rFonts w:cs="Times New Roman"/>
          <w:shd w:val="clear" w:color="auto" w:fill="FFFFFF"/>
        </w:rPr>
        <w:t xml:space="preserve">ant disabilities as required by </w:t>
      </w:r>
      <w:r w:rsidR="00F20479" w:rsidRPr="00EB1AD3">
        <w:rPr>
          <w:rFonts w:cs="Times New Roman"/>
          <w:shd w:val="clear" w:color="auto" w:fill="FFFFFF"/>
        </w:rPr>
        <w:t>34 CFR § 363.22,</w:t>
      </w:r>
      <w:r w:rsidRPr="00EB1AD3">
        <w:rPr>
          <w:rFonts w:cs="Times New Roman"/>
          <w:shd w:val="clear" w:color="auto" w:fill="FFFFFF"/>
        </w:rPr>
        <w:t xml:space="preserve"> there is no requirement that a designated State agency provide non-Federal expenditures to match the excess Federal funds spent for this purpose.</w:t>
      </w:r>
      <w:r w:rsidRPr="00EB1AD3">
        <w:rPr>
          <w:rFonts w:cs="Times New Roman"/>
        </w:rPr>
        <w:t xml:space="preserve"> </w:t>
      </w:r>
    </w:p>
    <w:p w:rsidR="00E6241B" w:rsidRPr="00EB1AD3" w:rsidRDefault="00E6241B" w:rsidP="00EB1AD3">
      <w:pPr>
        <w:pStyle w:val="BodyText"/>
        <w:ind w:left="0" w:right="193"/>
        <w:rPr>
          <w:rFonts w:cs="Times New Roman"/>
        </w:rPr>
      </w:pPr>
    </w:p>
    <w:p w:rsidR="00881671" w:rsidRPr="00EB1AD3" w:rsidRDefault="001D3216" w:rsidP="00EB1AD3">
      <w:pPr>
        <w:pStyle w:val="BodyText"/>
        <w:numPr>
          <w:ilvl w:val="0"/>
          <w:numId w:val="9"/>
        </w:numPr>
        <w:ind w:left="360" w:hanging="360"/>
        <w:rPr>
          <w:rFonts w:cs="Times New Roman"/>
          <w:u w:val="single" w:color="000000"/>
        </w:rPr>
      </w:pPr>
      <w:r w:rsidRPr="00EB1AD3">
        <w:rPr>
          <w:rFonts w:cs="Times New Roman"/>
          <w:u w:val="single" w:color="000000"/>
        </w:rPr>
        <w:t>Administrative Costs</w:t>
      </w:r>
      <w:r w:rsidR="00F20479" w:rsidRPr="00EB1AD3">
        <w:rPr>
          <w:rFonts w:cs="Times New Roman"/>
          <w:u w:val="single" w:color="000000"/>
        </w:rPr>
        <w:t>:</w:t>
      </w:r>
    </w:p>
    <w:p w:rsidR="002E07AB" w:rsidRPr="00EB1AD3" w:rsidRDefault="002E07AB" w:rsidP="00EB1AD3">
      <w:pPr>
        <w:pStyle w:val="BodyText"/>
        <w:ind w:left="0"/>
        <w:rPr>
          <w:rFonts w:cs="Times New Roman"/>
        </w:rPr>
      </w:pPr>
    </w:p>
    <w:p w:rsidR="00881671" w:rsidRPr="00EB1AD3" w:rsidRDefault="001D3216" w:rsidP="004B258E">
      <w:pPr>
        <w:pStyle w:val="BodyText"/>
        <w:ind w:left="360" w:right="247"/>
        <w:rPr>
          <w:rFonts w:cs="Times New Roman"/>
        </w:rPr>
      </w:pPr>
      <w:r w:rsidRPr="00EB1AD3">
        <w:rPr>
          <w:rFonts w:cs="Times New Roman"/>
        </w:rPr>
        <w:t xml:space="preserve">States may </w:t>
      </w:r>
      <w:r w:rsidR="00C353B7" w:rsidRPr="00EB1AD3">
        <w:rPr>
          <w:rFonts w:cs="Times New Roman"/>
        </w:rPr>
        <w:t>only use SE-A funds for administrative costs. However, such costs must not exceed 2.5 percent of the total amount of the</w:t>
      </w:r>
      <w:r w:rsidR="0010596F" w:rsidRPr="00EB1AD3">
        <w:rPr>
          <w:rFonts w:cs="Times New Roman"/>
        </w:rPr>
        <w:t xml:space="preserve"> State’s</w:t>
      </w:r>
      <w:r w:rsidR="00115435" w:rsidRPr="00EB1AD3">
        <w:rPr>
          <w:rFonts w:cs="Times New Roman"/>
        </w:rPr>
        <w:t xml:space="preserve"> supported employment allotment (</w:t>
      </w:r>
      <w:r w:rsidRPr="00EB1AD3">
        <w:rPr>
          <w:rFonts w:cs="Times New Roman"/>
        </w:rPr>
        <w:t>S</w:t>
      </w:r>
      <w:r w:rsidR="00C353B7" w:rsidRPr="00EB1AD3">
        <w:rPr>
          <w:rFonts w:cs="Times New Roman"/>
        </w:rPr>
        <w:t xml:space="preserve">E-A </w:t>
      </w:r>
      <w:r w:rsidR="00115435" w:rsidRPr="00EB1AD3">
        <w:rPr>
          <w:rFonts w:cs="Times New Roman"/>
        </w:rPr>
        <w:t>+</w:t>
      </w:r>
      <w:r w:rsidR="00C353B7" w:rsidRPr="00EB1AD3">
        <w:rPr>
          <w:rFonts w:cs="Times New Roman"/>
        </w:rPr>
        <w:t xml:space="preserve"> SE-B</w:t>
      </w:r>
      <w:r w:rsidR="00115435" w:rsidRPr="00EB1AD3">
        <w:rPr>
          <w:rFonts w:cs="Times New Roman"/>
        </w:rPr>
        <w:t>)</w:t>
      </w:r>
      <w:r w:rsidR="00C353B7" w:rsidRPr="00EB1AD3">
        <w:rPr>
          <w:rFonts w:cs="Times New Roman"/>
        </w:rPr>
        <w:t>.</w:t>
      </w:r>
      <w:r w:rsidR="0010596F" w:rsidRPr="00EB1AD3">
        <w:rPr>
          <w:rFonts w:cs="Times New Roman"/>
        </w:rPr>
        <w:t xml:space="preserve"> </w:t>
      </w:r>
      <w:r w:rsidRPr="00EB1AD3">
        <w:rPr>
          <w:rFonts w:cs="Times New Roman"/>
        </w:rPr>
        <w:t>Section 603(c) reads as follows:</w:t>
      </w:r>
    </w:p>
    <w:p w:rsidR="002E07AB" w:rsidRPr="00EB1AD3" w:rsidRDefault="002E07AB" w:rsidP="00EB1AD3">
      <w:pPr>
        <w:pStyle w:val="BodyText"/>
        <w:ind w:left="0" w:right="247"/>
        <w:rPr>
          <w:rFonts w:cs="Times New Roman"/>
        </w:rPr>
      </w:pPr>
    </w:p>
    <w:p w:rsidR="00881671" w:rsidRPr="00EB1AD3" w:rsidRDefault="001D3216" w:rsidP="00EB1AD3">
      <w:pPr>
        <w:pStyle w:val="BodyText"/>
        <w:numPr>
          <w:ilvl w:val="0"/>
          <w:numId w:val="4"/>
        </w:numPr>
        <w:tabs>
          <w:tab w:val="left" w:pos="1260"/>
        </w:tabs>
        <w:ind w:left="1260" w:right="188" w:hanging="540"/>
        <w:rPr>
          <w:rFonts w:cs="Times New Roman"/>
        </w:rPr>
      </w:pPr>
      <w:r w:rsidRPr="00EB1AD3">
        <w:rPr>
          <w:rFonts w:cs="Times New Roman"/>
        </w:rPr>
        <w:t>LIMITATIONS ON ADMINISTRATIVE COSTS.-A State that receives an allotment under this title shall not use more than 2.5 percent of such allotment to pay for administrative costs.</w:t>
      </w:r>
    </w:p>
    <w:p w:rsidR="0010596F" w:rsidRPr="00EB1AD3" w:rsidRDefault="0010596F" w:rsidP="00EB1AD3">
      <w:pPr>
        <w:pStyle w:val="BodyText"/>
        <w:tabs>
          <w:tab w:val="left" w:pos="1260"/>
        </w:tabs>
        <w:ind w:right="188"/>
        <w:rPr>
          <w:rFonts w:cs="Times New Roman"/>
        </w:rPr>
      </w:pPr>
    </w:p>
    <w:p w:rsidR="0010596F" w:rsidRPr="00EB1AD3" w:rsidRDefault="0010596F" w:rsidP="00EB1AD3">
      <w:pPr>
        <w:pStyle w:val="BodyText"/>
        <w:numPr>
          <w:ilvl w:val="0"/>
          <w:numId w:val="9"/>
        </w:numPr>
        <w:tabs>
          <w:tab w:val="left" w:pos="1260"/>
        </w:tabs>
        <w:ind w:left="360" w:right="188" w:hanging="360"/>
        <w:rPr>
          <w:rFonts w:cs="Times New Roman"/>
          <w:u w:val="single"/>
        </w:rPr>
      </w:pPr>
      <w:r w:rsidRPr="00EB1AD3">
        <w:rPr>
          <w:rFonts w:cs="Times New Roman"/>
          <w:u w:val="single"/>
        </w:rPr>
        <w:t>Reallotment:</w:t>
      </w:r>
    </w:p>
    <w:p w:rsidR="00881671" w:rsidRPr="00EB1AD3" w:rsidRDefault="00881671" w:rsidP="00EB1AD3">
      <w:pPr>
        <w:rPr>
          <w:rFonts w:ascii="Times New Roman" w:eastAsia="Times New Roman" w:hAnsi="Times New Roman" w:cs="Times New Roman"/>
          <w:sz w:val="24"/>
          <w:szCs w:val="24"/>
        </w:rPr>
      </w:pPr>
    </w:p>
    <w:p w:rsidR="00E61B1E" w:rsidRDefault="00C66B1E" w:rsidP="004B258E">
      <w:pPr>
        <w:pStyle w:val="Default"/>
        <w:ind w:left="360"/>
      </w:pPr>
      <w:r w:rsidRPr="00EB1AD3">
        <w:t>As noted above, t</w:t>
      </w:r>
      <w:r w:rsidR="0010596F" w:rsidRPr="00EB1AD3">
        <w:t>he State</w:t>
      </w:r>
      <w:r w:rsidR="00395C9A" w:rsidRPr="00EB1AD3">
        <w:t>’s</w:t>
      </w:r>
      <w:r w:rsidR="0010596F" w:rsidRPr="00EB1AD3">
        <w:t xml:space="preserve"> </w:t>
      </w:r>
      <w:r w:rsidR="00395C9A" w:rsidRPr="00EB1AD3">
        <w:t xml:space="preserve">supported employment </w:t>
      </w:r>
      <w:r w:rsidR="0010596F" w:rsidRPr="00EB1AD3">
        <w:t>allotment</w:t>
      </w:r>
      <w:r w:rsidR="00395C9A" w:rsidRPr="00EB1AD3">
        <w:t xml:space="preserve"> refers to </w:t>
      </w:r>
      <w:r w:rsidR="003A54AA" w:rsidRPr="00EB1AD3">
        <w:t xml:space="preserve">the total </w:t>
      </w:r>
      <w:r w:rsidR="00115435" w:rsidRPr="00EB1AD3">
        <w:t xml:space="preserve">amount of </w:t>
      </w:r>
      <w:r w:rsidR="00395C9A" w:rsidRPr="00EB1AD3">
        <w:t>SE-A and SE-B funds awarded</w:t>
      </w:r>
      <w:r w:rsidR="0010596F" w:rsidRPr="00EB1AD3">
        <w:t xml:space="preserve"> pursuant to section 603 of the Rehabilitation Act.</w:t>
      </w:r>
      <w:r w:rsidR="003A54AA" w:rsidRPr="00EB1AD3">
        <w:t xml:space="preserve"> Therefore, the </w:t>
      </w:r>
      <w:r w:rsidR="00115435" w:rsidRPr="00EB1AD3">
        <w:t>total allotment amount must remain balanced in order to comply with the statutory requirements</w:t>
      </w:r>
      <w:r w:rsidR="006C13B7" w:rsidRPr="00EB1AD3">
        <w:rPr>
          <w:rFonts w:asciiTheme="minorHAnsi" w:hAnsiTheme="minorHAnsi" w:cstheme="minorBidi"/>
          <w:color w:val="auto"/>
        </w:rPr>
        <w:t xml:space="preserve"> </w:t>
      </w:r>
      <w:r w:rsidR="006C13B7" w:rsidRPr="00EB1AD3">
        <w:t>to reserve and expend funds for the provision of supported employment services for youth with the most significant disabilities and the req</w:t>
      </w:r>
      <w:r w:rsidR="006C13B7" w:rsidRPr="006C13B7">
        <w:t>uirement to provide match for the half of the allotment reserved for youth with the most significant disabilities</w:t>
      </w:r>
      <w:r w:rsidR="00115435">
        <w:t xml:space="preserve"> (50 percent in the SE-A award and 50 percent in the SE-B award). </w:t>
      </w:r>
      <w:r w:rsidR="00E61B1E">
        <w:t xml:space="preserve">In order to maintain this balance during the reallotment process, grantees will continue to submit only one request for reallotment of supported employment funds. The amount of supported employments funds relinquished or requested will automatically be assigned 50 percent to the SE-A award and 50 percent to the SE-B award. </w:t>
      </w:r>
      <w:r w:rsidR="003A54AA" w:rsidRPr="005F6BA0">
        <w:t xml:space="preserve">For example, if a </w:t>
      </w:r>
      <w:r w:rsidR="00E61B1E">
        <w:t>grantee</w:t>
      </w:r>
      <w:r w:rsidR="003A54AA" w:rsidRPr="005F6BA0">
        <w:t xml:space="preserve"> relinquish</w:t>
      </w:r>
      <w:r w:rsidR="00E61B1E">
        <w:t>es</w:t>
      </w:r>
      <w:r w:rsidR="003A54AA" w:rsidRPr="005F6BA0">
        <w:t xml:space="preserve"> $100,000 in supported employment funds, $50,000 would be deobligated from its SE-A award and $50,000 from the SE-B award. </w:t>
      </w:r>
      <w:r w:rsidR="00E61B1E">
        <w:t xml:space="preserve">Similarly, if a grantee requested and received an additional $50,000 during reallotment, $25,000 would be awarded to the SE-A award and $25,000 to the SE-B award. </w:t>
      </w:r>
    </w:p>
    <w:p w:rsidR="00E61B1E" w:rsidRDefault="00E61B1E" w:rsidP="005F6BA0">
      <w:pPr>
        <w:pStyle w:val="Default"/>
      </w:pPr>
    </w:p>
    <w:p w:rsidR="00E61B1E" w:rsidRPr="00CA5C1A" w:rsidRDefault="00E61B1E" w:rsidP="00EB1AD3">
      <w:pPr>
        <w:pStyle w:val="Default"/>
        <w:keepNext/>
        <w:numPr>
          <w:ilvl w:val="0"/>
          <w:numId w:val="9"/>
        </w:numPr>
        <w:ind w:left="360" w:hanging="360"/>
        <w:rPr>
          <w:u w:val="single"/>
        </w:rPr>
      </w:pPr>
      <w:r w:rsidRPr="00CA5C1A">
        <w:rPr>
          <w:u w:val="single"/>
        </w:rPr>
        <w:t>Transfers:</w:t>
      </w:r>
    </w:p>
    <w:p w:rsidR="00E61B1E" w:rsidRDefault="00E61B1E" w:rsidP="00EB1AD3">
      <w:pPr>
        <w:pStyle w:val="Default"/>
        <w:keepNext/>
      </w:pPr>
    </w:p>
    <w:p w:rsidR="007E61F8" w:rsidRDefault="005F6BA0" w:rsidP="004B258E">
      <w:pPr>
        <w:pStyle w:val="Default"/>
        <w:keepNext/>
        <w:ind w:left="360"/>
      </w:pPr>
      <w:r w:rsidRPr="005F6BA0">
        <w:t xml:space="preserve">The </w:t>
      </w:r>
      <w:r w:rsidR="00913241">
        <w:t xml:space="preserve">requirement to reserve and expend funds for the provision of supported employment services for youth with the most significant disabilities and the requirement </w:t>
      </w:r>
      <w:r w:rsidR="00913241" w:rsidRPr="00913241">
        <w:t>to provide match for the half of the allotment reserved for youth with the most significant disabilities</w:t>
      </w:r>
      <w:r w:rsidR="00913241" w:rsidRPr="00913241" w:rsidDel="00913241">
        <w:t xml:space="preserve"> </w:t>
      </w:r>
      <w:r w:rsidRPr="005F6BA0">
        <w:t xml:space="preserve">is a State </w:t>
      </w:r>
      <w:r w:rsidR="00913241">
        <w:t xml:space="preserve">requirement. </w:t>
      </w:r>
      <w:r w:rsidR="006C13B7" w:rsidRPr="006C13B7">
        <w:t>When there are two State VR agencies, the reservation of funds for the provision of supported employment services and the provision of match is a State matter that must be resolved at the State level. RSA encourages agencies to use this flexibility to coordinate in order to ensure State compliance with the reservation and the match requirement. </w:t>
      </w:r>
      <w:r w:rsidR="007E61F8" w:rsidRPr="007F1587">
        <w:t xml:space="preserve">On occasion, one of the State’s agencies may desire to transfer a portion of its </w:t>
      </w:r>
      <w:r w:rsidR="007E61F8">
        <w:rPr>
          <w:rFonts w:eastAsia="Times New Roman"/>
        </w:rPr>
        <w:t>Supported Employment</w:t>
      </w:r>
      <w:r w:rsidR="007E61F8" w:rsidRPr="007F1587">
        <w:t xml:space="preserve"> funds to the other </w:t>
      </w:r>
      <w:r w:rsidR="007E61F8">
        <w:t>agency</w:t>
      </w:r>
      <w:r w:rsidR="007E61F8" w:rsidRPr="007F1587">
        <w:t xml:space="preserve"> in order to ensure the utilization of all available funds. In such instances, States must formally request that RSA transfer allotted </w:t>
      </w:r>
      <w:r w:rsidR="007E61F8">
        <w:t>S</w:t>
      </w:r>
      <w:r w:rsidR="007E61F8">
        <w:rPr>
          <w:rFonts w:eastAsia="Times New Roman"/>
        </w:rPr>
        <w:t>upported Employment</w:t>
      </w:r>
      <w:r w:rsidR="007E61F8" w:rsidRPr="007F1587">
        <w:t xml:space="preserve"> grant funds from one agency to the other. </w:t>
      </w:r>
      <w:r w:rsidR="007E61F8">
        <w:t xml:space="preserve">Funds can only be transferred from an SE-A to SE-A or SE-B to SE-B award. </w:t>
      </w:r>
    </w:p>
    <w:p w:rsidR="007E61F8" w:rsidRDefault="007E61F8" w:rsidP="00CA5C1A">
      <w:pPr>
        <w:pStyle w:val="Default"/>
      </w:pPr>
    </w:p>
    <w:p w:rsidR="007E61F8" w:rsidRDefault="007E61F8" w:rsidP="004B258E">
      <w:pPr>
        <w:pStyle w:val="Default"/>
        <w:ind w:left="360"/>
      </w:pPr>
      <w:r w:rsidRPr="007F1587">
        <w:t>In order to facilitate a transfer, States must submit a formal letter to RSA that includes:</w:t>
      </w:r>
    </w:p>
    <w:p w:rsidR="007E61F8" w:rsidRPr="007F1587" w:rsidRDefault="007E61F8" w:rsidP="007E61F8">
      <w:pPr>
        <w:rPr>
          <w:rFonts w:ascii="Times New Roman" w:hAnsi="Times New Roman" w:cs="Times New Roman"/>
          <w:sz w:val="24"/>
          <w:szCs w:val="24"/>
        </w:rPr>
      </w:pPr>
    </w:p>
    <w:p w:rsidR="007E61F8" w:rsidRPr="007F1587" w:rsidRDefault="007E61F8" w:rsidP="007E61F8">
      <w:pPr>
        <w:pStyle w:val="ListParagraph"/>
        <w:widowControl/>
        <w:numPr>
          <w:ilvl w:val="0"/>
          <w:numId w:val="10"/>
        </w:numPr>
        <w:contextualSpacing/>
        <w:rPr>
          <w:rFonts w:ascii="Times New Roman" w:hAnsi="Times New Roman" w:cs="Times New Roman"/>
          <w:sz w:val="24"/>
          <w:szCs w:val="24"/>
        </w:rPr>
      </w:pPr>
      <w:r w:rsidRPr="007F1587">
        <w:rPr>
          <w:rFonts w:ascii="Times New Roman" w:hAnsi="Times New Roman" w:cs="Times New Roman"/>
          <w:sz w:val="24"/>
          <w:szCs w:val="24"/>
        </w:rPr>
        <w:t>the name of the agency, grant award number</w:t>
      </w:r>
      <w:r>
        <w:rPr>
          <w:rFonts w:ascii="Times New Roman" w:hAnsi="Times New Roman" w:cs="Times New Roman"/>
          <w:sz w:val="24"/>
          <w:szCs w:val="24"/>
        </w:rPr>
        <w:t>,</w:t>
      </w:r>
      <w:r w:rsidRPr="007F1587">
        <w:rPr>
          <w:rFonts w:ascii="Times New Roman" w:hAnsi="Times New Roman" w:cs="Times New Roman"/>
          <w:sz w:val="24"/>
          <w:szCs w:val="24"/>
        </w:rPr>
        <w:t xml:space="preserve"> and amount of funds to be de-obligated from the agency relinquishing funds; and</w:t>
      </w:r>
    </w:p>
    <w:p w:rsidR="007E61F8" w:rsidRPr="007F1587" w:rsidRDefault="007E61F8" w:rsidP="007E61F8">
      <w:pPr>
        <w:pStyle w:val="ListParagraph"/>
        <w:widowControl/>
        <w:numPr>
          <w:ilvl w:val="0"/>
          <w:numId w:val="10"/>
        </w:numPr>
        <w:contextualSpacing/>
        <w:rPr>
          <w:rFonts w:ascii="Times New Roman" w:hAnsi="Times New Roman" w:cs="Times New Roman"/>
          <w:sz w:val="24"/>
          <w:szCs w:val="24"/>
        </w:rPr>
      </w:pPr>
      <w:r w:rsidRPr="007F1587">
        <w:rPr>
          <w:rFonts w:ascii="Times New Roman" w:hAnsi="Times New Roman" w:cs="Times New Roman"/>
          <w:sz w:val="24"/>
          <w:szCs w:val="24"/>
        </w:rPr>
        <w:t>the name of the agency, grant award number</w:t>
      </w:r>
      <w:r>
        <w:rPr>
          <w:rFonts w:ascii="Times New Roman" w:hAnsi="Times New Roman" w:cs="Times New Roman"/>
          <w:sz w:val="24"/>
          <w:szCs w:val="24"/>
        </w:rPr>
        <w:t>,</w:t>
      </w:r>
      <w:r w:rsidRPr="007F1587">
        <w:rPr>
          <w:rFonts w:ascii="Times New Roman" w:hAnsi="Times New Roman" w:cs="Times New Roman"/>
          <w:sz w:val="24"/>
          <w:szCs w:val="24"/>
        </w:rPr>
        <w:t xml:space="preserve"> and amount of funds to be obligated to the agency receiving funds</w:t>
      </w:r>
      <w:r w:rsidR="009350CA">
        <w:rPr>
          <w:rFonts w:ascii="Times New Roman" w:hAnsi="Times New Roman" w:cs="Times New Roman"/>
          <w:sz w:val="24"/>
          <w:szCs w:val="24"/>
        </w:rPr>
        <w:t>.</w:t>
      </w:r>
      <w:r w:rsidRPr="007F1587">
        <w:rPr>
          <w:rFonts w:ascii="Times New Roman" w:hAnsi="Times New Roman" w:cs="Times New Roman"/>
          <w:sz w:val="24"/>
          <w:szCs w:val="24"/>
        </w:rPr>
        <w:t xml:space="preserve"> </w:t>
      </w:r>
    </w:p>
    <w:p w:rsidR="007E61F8" w:rsidRDefault="007E61F8" w:rsidP="007E61F8">
      <w:pPr>
        <w:rPr>
          <w:rFonts w:ascii="Times New Roman" w:hAnsi="Times New Roman" w:cs="Times New Roman"/>
          <w:sz w:val="24"/>
          <w:szCs w:val="24"/>
        </w:rPr>
      </w:pPr>
    </w:p>
    <w:p w:rsidR="007E61F8" w:rsidRPr="007F1587" w:rsidRDefault="007E61F8" w:rsidP="004B258E">
      <w:pPr>
        <w:ind w:left="360"/>
        <w:rPr>
          <w:rFonts w:ascii="Times New Roman" w:hAnsi="Times New Roman" w:cs="Times New Roman"/>
          <w:sz w:val="24"/>
          <w:szCs w:val="24"/>
        </w:rPr>
      </w:pPr>
      <w:r w:rsidRPr="007F1587">
        <w:rPr>
          <w:rFonts w:ascii="Times New Roman" w:hAnsi="Times New Roman" w:cs="Times New Roman"/>
          <w:sz w:val="24"/>
          <w:szCs w:val="24"/>
        </w:rPr>
        <w:t xml:space="preserve">The letter must be signed and dated by the Director of the Designated State Agencies </w:t>
      </w:r>
      <w:r>
        <w:rPr>
          <w:rFonts w:ascii="Times New Roman" w:hAnsi="Times New Roman" w:cs="Times New Roman"/>
          <w:sz w:val="24"/>
          <w:szCs w:val="24"/>
        </w:rPr>
        <w:t>or</w:t>
      </w:r>
      <w:r w:rsidRPr="007F1587">
        <w:rPr>
          <w:rFonts w:ascii="Times New Roman" w:hAnsi="Times New Roman" w:cs="Times New Roman"/>
          <w:sz w:val="24"/>
          <w:szCs w:val="24"/>
        </w:rPr>
        <w:t xml:space="preserve"> Designated State Units, as applicable, and submitted to the RSA Financial Management Specialist assigned to the State.  </w:t>
      </w:r>
    </w:p>
    <w:p w:rsidR="007E61F8" w:rsidRDefault="007E61F8" w:rsidP="00EB1AD3">
      <w:pPr>
        <w:jc w:val="right"/>
        <w:rPr>
          <w:rFonts w:ascii="Times New Roman" w:hAnsi="Times New Roman" w:cs="Times New Roman"/>
          <w:sz w:val="24"/>
          <w:szCs w:val="24"/>
        </w:rPr>
      </w:pPr>
    </w:p>
    <w:p w:rsidR="007E61F8" w:rsidRPr="007F1587" w:rsidRDefault="007E61F8" w:rsidP="004B258E">
      <w:pPr>
        <w:ind w:left="360"/>
        <w:rPr>
          <w:rFonts w:ascii="Times New Roman" w:hAnsi="Times New Roman" w:cs="Times New Roman"/>
          <w:sz w:val="24"/>
          <w:szCs w:val="24"/>
        </w:rPr>
      </w:pPr>
      <w:r w:rsidRPr="007F1587">
        <w:rPr>
          <w:rFonts w:ascii="Times New Roman" w:hAnsi="Times New Roman" w:cs="Times New Roman"/>
          <w:sz w:val="24"/>
          <w:szCs w:val="24"/>
        </w:rPr>
        <w:t xml:space="preserve">Please note that transfers should be the product of ongoing communication between both agencies, and transfers will only be processed if both agencies are in agreement as indicated by the authorized signatures on the transfer request letter. </w:t>
      </w:r>
    </w:p>
    <w:p w:rsidR="007E61F8" w:rsidRPr="005F6BA0" w:rsidRDefault="007E61F8" w:rsidP="005F6BA0">
      <w:pPr>
        <w:pStyle w:val="Default"/>
      </w:pPr>
    </w:p>
    <w:p w:rsidR="0082314C" w:rsidRPr="001832C0" w:rsidRDefault="003B32CC" w:rsidP="005F6BA0">
      <w:pPr>
        <w:tabs>
          <w:tab w:val="left" w:pos="5808"/>
        </w:tabs>
        <w:jc w:val="right"/>
        <w:rPr>
          <w:rFonts w:ascii="Times New Roman" w:hAnsi="Times New Roman" w:cs="Times New Roman"/>
          <w:sz w:val="24"/>
          <w:szCs w:val="24"/>
        </w:rPr>
      </w:pPr>
      <w:r w:rsidRPr="001832C0">
        <w:rPr>
          <w:rFonts w:ascii="Times New Roman" w:hAnsi="Times New Roman" w:cs="Times New Roman"/>
          <w:sz w:val="24"/>
          <w:szCs w:val="24"/>
        </w:rPr>
        <w:t>Rev. 5</w:t>
      </w:r>
      <w:r w:rsidR="00EB1AD3" w:rsidRPr="001832C0">
        <w:rPr>
          <w:rFonts w:ascii="Times New Roman" w:hAnsi="Times New Roman" w:cs="Times New Roman"/>
          <w:sz w:val="24"/>
          <w:szCs w:val="24"/>
        </w:rPr>
        <w:t>/23/</w:t>
      </w:r>
      <w:r w:rsidR="0082314C" w:rsidRPr="001832C0">
        <w:rPr>
          <w:rFonts w:ascii="Times New Roman" w:hAnsi="Times New Roman" w:cs="Times New Roman"/>
          <w:sz w:val="24"/>
          <w:szCs w:val="24"/>
        </w:rPr>
        <w:t>201</w:t>
      </w:r>
      <w:r w:rsidRPr="001832C0">
        <w:rPr>
          <w:rFonts w:ascii="Times New Roman" w:hAnsi="Times New Roman" w:cs="Times New Roman"/>
          <w:sz w:val="24"/>
          <w:szCs w:val="24"/>
        </w:rPr>
        <w:t>8</w:t>
      </w:r>
    </w:p>
    <w:sectPr w:rsidR="0082314C" w:rsidRPr="001832C0" w:rsidSect="00614B5B">
      <w:headerReference w:type="default" r:id="rId8"/>
      <w:footerReference w:type="default" r:id="rId9"/>
      <w:footerReference w:type="first" r:id="rId10"/>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84B" w:rsidRDefault="003B484B">
      <w:r>
        <w:separator/>
      </w:r>
    </w:p>
  </w:endnote>
  <w:endnote w:type="continuationSeparator" w:id="0">
    <w:p w:rsidR="003B484B" w:rsidRDefault="003B484B">
      <w:r>
        <w:continuationSeparator/>
      </w:r>
    </w:p>
  </w:endnote>
  <w:endnote w:type="continuationNotice" w:id="1">
    <w:p w:rsidR="003B484B" w:rsidRDefault="003B48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720" w:rsidRPr="0082314C" w:rsidRDefault="0082314C" w:rsidP="0082314C">
    <w:pPr>
      <w:pStyle w:val="Footer"/>
      <w:jc w:val="right"/>
      <w:rPr>
        <w:rFonts w:ascii="Times New Roman" w:hAnsi="Times New Roman" w:cs="Times New Roman"/>
        <w:sz w:val="24"/>
        <w:szCs w:val="24"/>
      </w:rPr>
    </w:pPr>
    <w:r>
      <w:tab/>
    </w:r>
    <w:r>
      <w:tab/>
    </w:r>
    <w:r w:rsidR="00902483" w:rsidRPr="0082314C">
      <w:rPr>
        <w:rFonts w:ascii="Times New Roman" w:hAnsi="Times New Roman" w:cs="Times New Roman"/>
        <w:sz w:val="24"/>
        <w:szCs w:val="24"/>
      </w:rPr>
      <w:tab/>
    </w:r>
    <w:r w:rsidR="00902483" w:rsidRPr="0082314C">
      <w:rPr>
        <w:rFonts w:ascii="Times New Roman" w:hAnsi="Times New Roman" w:cs="Times New Roman"/>
        <w:noProof/>
        <w:sz w:val="24"/>
        <w:szCs w:val="2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568" w:rsidRPr="00B32568" w:rsidRDefault="00B32568" w:rsidP="00B32568">
    <w:pPr>
      <w:pStyle w:val="Footer"/>
      <w:jc w:val="right"/>
      <w:rPr>
        <w:rFonts w:ascii="Times New Roman" w:hAnsi="Times New Roman" w:cs="Times New Roman"/>
      </w:rPr>
    </w:pPr>
    <w:r w:rsidRPr="00B32568">
      <w:rPr>
        <w:rFonts w:ascii="Times New Roman" w:hAnsi="Times New Roman" w:cs="Times New Roman"/>
      </w:rPr>
      <w:t>Rev. 6/15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84B" w:rsidRDefault="003B484B">
      <w:r>
        <w:separator/>
      </w:r>
    </w:p>
  </w:footnote>
  <w:footnote w:type="continuationSeparator" w:id="0">
    <w:p w:rsidR="003B484B" w:rsidRDefault="003B484B">
      <w:r>
        <w:continuationSeparator/>
      </w:r>
    </w:p>
  </w:footnote>
  <w:footnote w:type="continuationNotice" w:id="1">
    <w:p w:rsidR="003B484B" w:rsidRDefault="003B48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F0A" w:rsidRPr="00B32568" w:rsidRDefault="00087F0A" w:rsidP="00BF7C12">
    <w:pPr>
      <w:pStyle w:val="Header"/>
      <w:rPr>
        <w:rFonts w:ascii="Times New Roman" w:hAnsi="Times New Roman" w:cs="Times New Roman"/>
        <w:sz w:val="24"/>
        <w:szCs w:val="24"/>
      </w:rPr>
    </w:pPr>
    <w:r w:rsidRPr="00B32568">
      <w:rPr>
        <w:rFonts w:ascii="Times New Roman" w:hAnsi="Times New Roman" w:cs="Times New Roman"/>
        <w:sz w:val="24"/>
        <w:szCs w:val="24"/>
      </w:rPr>
      <w:t>RSA-SE-</w:t>
    </w:r>
    <w:r w:rsidR="0010596F">
      <w:rPr>
        <w:rFonts w:ascii="Times New Roman" w:hAnsi="Times New Roman" w:cs="Times New Roman"/>
        <w:sz w:val="24"/>
        <w:szCs w:val="24"/>
      </w:rPr>
      <w:t>A</w:t>
    </w:r>
    <w:r w:rsidR="00BF7C12">
      <w:rPr>
        <w:rFonts w:ascii="Times New Roman" w:hAnsi="Times New Roman" w:cs="Times New Roman"/>
        <w:sz w:val="24"/>
        <w:szCs w:val="24"/>
      </w:rPr>
      <w:tab/>
    </w:r>
    <w:r w:rsidR="00BF7C12">
      <w:rPr>
        <w:rFonts w:ascii="Times New Roman" w:hAnsi="Times New Roman" w:cs="Times New Roman"/>
        <w:sz w:val="24"/>
        <w:szCs w:val="24"/>
      </w:rPr>
      <w:tab/>
    </w:r>
    <w:r w:rsidRPr="00B32568">
      <w:rPr>
        <w:rFonts w:ascii="Times New Roman" w:hAnsi="Times New Roman" w:cs="Times New Roman"/>
        <w:sz w:val="24"/>
        <w:szCs w:val="24"/>
      </w:rPr>
      <w:t xml:space="preserve"> </w:t>
    </w:r>
    <w:r w:rsidR="0083281D" w:rsidRPr="0083281D">
      <w:rPr>
        <w:rFonts w:ascii="Times New Roman" w:hAnsi="Times New Roman" w:cs="Times New Roman"/>
        <w:sz w:val="24"/>
        <w:szCs w:val="24"/>
      </w:rPr>
      <w:t xml:space="preserve">Page </w:t>
    </w:r>
    <w:r w:rsidR="0083281D" w:rsidRPr="0083281D">
      <w:rPr>
        <w:rFonts w:ascii="Times New Roman" w:hAnsi="Times New Roman" w:cs="Times New Roman"/>
        <w:sz w:val="24"/>
        <w:szCs w:val="24"/>
      </w:rPr>
      <w:fldChar w:fldCharType="begin"/>
    </w:r>
    <w:r w:rsidR="0083281D" w:rsidRPr="0083281D">
      <w:rPr>
        <w:rFonts w:ascii="Times New Roman" w:hAnsi="Times New Roman" w:cs="Times New Roman"/>
        <w:sz w:val="24"/>
        <w:szCs w:val="24"/>
      </w:rPr>
      <w:instrText xml:space="preserve"> PAGE  \* Arabic  \* MERGEFORMAT </w:instrText>
    </w:r>
    <w:r w:rsidR="0083281D" w:rsidRPr="0083281D">
      <w:rPr>
        <w:rFonts w:ascii="Times New Roman" w:hAnsi="Times New Roman" w:cs="Times New Roman"/>
        <w:sz w:val="24"/>
        <w:szCs w:val="24"/>
      </w:rPr>
      <w:fldChar w:fldCharType="separate"/>
    </w:r>
    <w:r w:rsidR="00C95CD1">
      <w:rPr>
        <w:rFonts w:ascii="Times New Roman" w:hAnsi="Times New Roman" w:cs="Times New Roman"/>
        <w:noProof/>
        <w:sz w:val="24"/>
        <w:szCs w:val="24"/>
      </w:rPr>
      <w:t>1</w:t>
    </w:r>
    <w:r w:rsidR="0083281D" w:rsidRPr="0083281D">
      <w:rPr>
        <w:rFonts w:ascii="Times New Roman" w:hAnsi="Times New Roman" w:cs="Times New Roman"/>
        <w:sz w:val="24"/>
        <w:szCs w:val="24"/>
      </w:rPr>
      <w:fldChar w:fldCharType="end"/>
    </w:r>
    <w:r w:rsidR="0083281D" w:rsidRPr="0083281D">
      <w:rPr>
        <w:rFonts w:ascii="Times New Roman" w:hAnsi="Times New Roman" w:cs="Times New Roman"/>
        <w:sz w:val="24"/>
        <w:szCs w:val="24"/>
      </w:rPr>
      <w:t xml:space="preserve"> of </w:t>
    </w:r>
    <w:r w:rsidR="0083281D" w:rsidRPr="0083281D">
      <w:rPr>
        <w:rFonts w:ascii="Times New Roman" w:hAnsi="Times New Roman" w:cs="Times New Roman"/>
        <w:sz w:val="24"/>
        <w:szCs w:val="24"/>
      </w:rPr>
      <w:fldChar w:fldCharType="begin"/>
    </w:r>
    <w:r w:rsidR="0083281D" w:rsidRPr="0083281D">
      <w:rPr>
        <w:rFonts w:ascii="Times New Roman" w:hAnsi="Times New Roman" w:cs="Times New Roman"/>
        <w:sz w:val="24"/>
        <w:szCs w:val="24"/>
      </w:rPr>
      <w:instrText xml:space="preserve"> NUMPAGES  \* Arabic  \* MERGEFORMAT </w:instrText>
    </w:r>
    <w:r w:rsidR="0083281D" w:rsidRPr="0083281D">
      <w:rPr>
        <w:rFonts w:ascii="Times New Roman" w:hAnsi="Times New Roman" w:cs="Times New Roman"/>
        <w:sz w:val="24"/>
        <w:szCs w:val="24"/>
      </w:rPr>
      <w:fldChar w:fldCharType="separate"/>
    </w:r>
    <w:r w:rsidR="00C95CD1">
      <w:rPr>
        <w:rFonts w:ascii="Times New Roman" w:hAnsi="Times New Roman" w:cs="Times New Roman"/>
        <w:noProof/>
        <w:sz w:val="24"/>
        <w:szCs w:val="24"/>
      </w:rPr>
      <w:t>3</w:t>
    </w:r>
    <w:r w:rsidR="0083281D" w:rsidRPr="0083281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66A9"/>
    <w:multiLevelType w:val="hybridMultilevel"/>
    <w:tmpl w:val="7894429E"/>
    <w:lvl w:ilvl="0" w:tplc="FC12FF9A">
      <w:start w:val="2"/>
      <w:numFmt w:val="lowerLetter"/>
      <w:lvlText w:val="(%1)"/>
      <w:lvlJc w:val="left"/>
      <w:pPr>
        <w:ind w:left="820" w:hanging="339"/>
      </w:pPr>
      <w:rPr>
        <w:rFonts w:ascii="Times New Roman" w:eastAsia="Times New Roman" w:hAnsi="Times New Roman" w:hint="default"/>
        <w:spacing w:val="-1"/>
        <w:sz w:val="24"/>
        <w:szCs w:val="24"/>
      </w:rPr>
    </w:lvl>
    <w:lvl w:ilvl="1" w:tplc="76889B38">
      <w:start w:val="1"/>
      <w:numFmt w:val="bullet"/>
      <w:lvlText w:val="•"/>
      <w:lvlJc w:val="left"/>
      <w:pPr>
        <w:ind w:left="1696" w:hanging="339"/>
      </w:pPr>
      <w:rPr>
        <w:rFonts w:hint="default"/>
      </w:rPr>
    </w:lvl>
    <w:lvl w:ilvl="2" w:tplc="589E26E0">
      <w:start w:val="1"/>
      <w:numFmt w:val="bullet"/>
      <w:lvlText w:val="•"/>
      <w:lvlJc w:val="left"/>
      <w:pPr>
        <w:ind w:left="2572" w:hanging="339"/>
      </w:pPr>
      <w:rPr>
        <w:rFonts w:hint="default"/>
      </w:rPr>
    </w:lvl>
    <w:lvl w:ilvl="3" w:tplc="D8E45AD8">
      <w:start w:val="1"/>
      <w:numFmt w:val="bullet"/>
      <w:lvlText w:val="•"/>
      <w:lvlJc w:val="left"/>
      <w:pPr>
        <w:ind w:left="3448" w:hanging="339"/>
      </w:pPr>
      <w:rPr>
        <w:rFonts w:hint="default"/>
      </w:rPr>
    </w:lvl>
    <w:lvl w:ilvl="4" w:tplc="7C680412">
      <w:start w:val="1"/>
      <w:numFmt w:val="bullet"/>
      <w:lvlText w:val="•"/>
      <w:lvlJc w:val="left"/>
      <w:pPr>
        <w:ind w:left="4324" w:hanging="339"/>
      </w:pPr>
      <w:rPr>
        <w:rFonts w:hint="default"/>
      </w:rPr>
    </w:lvl>
    <w:lvl w:ilvl="5" w:tplc="5F54AB82">
      <w:start w:val="1"/>
      <w:numFmt w:val="bullet"/>
      <w:lvlText w:val="•"/>
      <w:lvlJc w:val="left"/>
      <w:pPr>
        <w:ind w:left="5200" w:hanging="339"/>
      </w:pPr>
      <w:rPr>
        <w:rFonts w:hint="default"/>
      </w:rPr>
    </w:lvl>
    <w:lvl w:ilvl="6" w:tplc="0DF4BBEC">
      <w:start w:val="1"/>
      <w:numFmt w:val="bullet"/>
      <w:lvlText w:val="•"/>
      <w:lvlJc w:val="left"/>
      <w:pPr>
        <w:ind w:left="6076" w:hanging="339"/>
      </w:pPr>
      <w:rPr>
        <w:rFonts w:hint="default"/>
      </w:rPr>
    </w:lvl>
    <w:lvl w:ilvl="7" w:tplc="CE3EA90E">
      <w:start w:val="1"/>
      <w:numFmt w:val="bullet"/>
      <w:lvlText w:val="•"/>
      <w:lvlJc w:val="left"/>
      <w:pPr>
        <w:ind w:left="6952" w:hanging="339"/>
      </w:pPr>
      <w:rPr>
        <w:rFonts w:hint="default"/>
      </w:rPr>
    </w:lvl>
    <w:lvl w:ilvl="8" w:tplc="2D244D94">
      <w:start w:val="1"/>
      <w:numFmt w:val="bullet"/>
      <w:lvlText w:val="•"/>
      <w:lvlJc w:val="left"/>
      <w:pPr>
        <w:ind w:left="7828" w:hanging="339"/>
      </w:pPr>
      <w:rPr>
        <w:rFonts w:hint="default"/>
      </w:rPr>
    </w:lvl>
  </w:abstractNum>
  <w:abstractNum w:abstractNumId="1" w15:restartNumberingAfterBreak="0">
    <w:nsid w:val="126D0EDF"/>
    <w:multiLevelType w:val="hybridMultilevel"/>
    <w:tmpl w:val="CF208980"/>
    <w:lvl w:ilvl="0" w:tplc="7906449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490264"/>
    <w:multiLevelType w:val="hybridMultilevel"/>
    <w:tmpl w:val="DB76F67C"/>
    <w:lvl w:ilvl="0" w:tplc="9E5A591C">
      <w:start w:val="7"/>
      <w:numFmt w:val="decimal"/>
      <w:lvlText w:val="(%1)"/>
      <w:lvlJc w:val="left"/>
      <w:pPr>
        <w:ind w:left="1178" w:hanging="339"/>
      </w:pPr>
      <w:rPr>
        <w:rFonts w:ascii="Times New Roman" w:eastAsia="Times New Roman" w:hAnsi="Times New Roman" w:hint="default"/>
        <w:spacing w:val="-1"/>
        <w:sz w:val="24"/>
        <w:szCs w:val="24"/>
      </w:rPr>
    </w:lvl>
    <w:lvl w:ilvl="1" w:tplc="1FD23E4C">
      <w:start w:val="1"/>
      <w:numFmt w:val="upperRoman"/>
      <w:lvlText w:val="(%2)"/>
      <w:lvlJc w:val="left"/>
      <w:pPr>
        <w:ind w:left="840" w:hanging="298"/>
      </w:pPr>
      <w:rPr>
        <w:rFonts w:ascii="Times New Roman" w:eastAsia="Times New Roman" w:hAnsi="Times New Roman" w:hint="default"/>
        <w:spacing w:val="1"/>
        <w:sz w:val="24"/>
        <w:szCs w:val="24"/>
      </w:rPr>
    </w:lvl>
    <w:lvl w:ilvl="2" w:tplc="5D4CC4DC">
      <w:start w:val="1"/>
      <w:numFmt w:val="bullet"/>
      <w:lvlText w:val="•"/>
      <w:lvlJc w:val="left"/>
      <w:pPr>
        <w:ind w:left="2111" w:hanging="298"/>
      </w:pPr>
      <w:rPr>
        <w:rFonts w:hint="default"/>
      </w:rPr>
    </w:lvl>
    <w:lvl w:ilvl="3" w:tplc="E8F22D4E">
      <w:start w:val="1"/>
      <w:numFmt w:val="bullet"/>
      <w:lvlText w:val="•"/>
      <w:lvlJc w:val="left"/>
      <w:pPr>
        <w:ind w:left="3045" w:hanging="298"/>
      </w:pPr>
      <w:rPr>
        <w:rFonts w:hint="default"/>
      </w:rPr>
    </w:lvl>
    <w:lvl w:ilvl="4" w:tplc="5CFCBA66">
      <w:start w:val="1"/>
      <w:numFmt w:val="bullet"/>
      <w:lvlText w:val="•"/>
      <w:lvlJc w:val="left"/>
      <w:pPr>
        <w:ind w:left="3978" w:hanging="298"/>
      </w:pPr>
      <w:rPr>
        <w:rFonts w:hint="default"/>
      </w:rPr>
    </w:lvl>
    <w:lvl w:ilvl="5" w:tplc="4A146C88">
      <w:start w:val="1"/>
      <w:numFmt w:val="bullet"/>
      <w:lvlText w:val="•"/>
      <w:lvlJc w:val="left"/>
      <w:pPr>
        <w:ind w:left="4912" w:hanging="298"/>
      </w:pPr>
      <w:rPr>
        <w:rFonts w:hint="default"/>
      </w:rPr>
    </w:lvl>
    <w:lvl w:ilvl="6" w:tplc="012A0F22">
      <w:start w:val="1"/>
      <w:numFmt w:val="bullet"/>
      <w:lvlText w:val="•"/>
      <w:lvlJc w:val="left"/>
      <w:pPr>
        <w:ind w:left="5845" w:hanging="298"/>
      </w:pPr>
      <w:rPr>
        <w:rFonts w:hint="default"/>
      </w:rPr>
    </w:lvl>
    <w:lvl w:ilvl="7" w:tplc="11EE23B6">
      <w:start w:val="1"/>
      <w:numFmt w:val="bullet"/>
      <w:lvlText w:val="•"/>
      <w:lvlJc w:val="left"/>
      <w:pPr>
        <w:ind w:left="6779" w:hanging="298"/>
      </w:pPr>
      <w:rPr>
        <w:rFonts w:hint="default"/>
      </w:rPr>
    </w:lvl>
    <w:lvl w:ilvl="8" w:tplc="6784C35A">
      <w:start w:val="1"/>
      <w:numFmt w:val="bullet"/>
      <w:lvlText w:val="•"/>
      <w:lvlJc w:val="left"/>
      <w:pPr>
        <w:ind w:left="7712" w:hanging="298"/>
      </w:pPr>
      <w:rPr>
        <w:rFonts w:hint="default"/>
      </w:rPr>
    </w:lvl>
  </w:abstractNum>
  <w:abstractNum w:abstractNumId="3" w15:restartNumberingAfterBreak="0">
    <w:nsid w:val="258E6149"/>
    <w:multiLevelType w:val="hybridMultilevel"/>
    <w:tmpl w:val="14B01F28"/>
    <w:lvl w:ilvl="0" w:tplc="B114D410">
      <w:start w:val="1"/>
      <w:numFmt w:val="lowerLetter"/>
      <w:lvlText w:val="(%1)"/>
      <w:lvlJc w:val="left"/>
      <w:pPr>
        <w:ind w:left="820" w:hanging="324"/>
      </w:pPr>
      <w:rPr>
        <w:rFonts w:ascii="Times New Roman" w:eastAsia="Times New Roman" w:hAnsi="Times New Roman" w:hint="default"/>
        <w:spacing w:val="-1"/>
        <w:sz w:val="24"/>
        <w:szCs w:val="24"/>
      </w:rPr>
    </w:lvl>
    <w:lvl w:ilvl="1" w:tplc="023AA47C">
      <w:start w:val="1"/>
      <w:numFmt w:val="decimal"/>
      <w:lvlText w:val="(%2)"/>
      <w:lvlJc w:val="left"/>
      <w:pPr>
        <w:ind w:left="820" w:hanging="339"/>
      </w:pPr>
      <w:rPr>
        <w:rFonts w:ascii="Times New Roman" w:eastAsia="Times New Roman" w:hAnsi="Times New Roman" w:hint="default"/>
        <w:spacing w:val="-1"/>
        <w:sz w:val="24"/>
        <w:szCs w:val="24"/>
      </w:rPr>
    </w:lvl>
    <w:lvl w:ilvl="2" w:tplc="B48CE144">
      <w:start w:val="1"/>
      <w:numFmt w:val="bullet"/>
      <w:lvlText w:val="•"/>
      <w:lvlJc w:val="left"/>
      <w:pPr>
        <w:ind w:left="1788" w:hanging="339"/>
      </w:pPr>
      <w:rPr>
        <w:rFonts w:hint="default"/>
      </w:rPr>
    </w:lvl>
    <w:lvl w:ilvl="3" w:tplc="8A50B5DE">
      <w:start w:val="1"/>
      <w:numFmt w:val="bullet"/>
      <w:lvlText w:val="•"/>
      <w:lvlJc w:val="left"/>
      <w:pPr>
        <w:ind w:left="2757" w:hanging="339"/>
      </w:pPr>
      <w:rPr>
        <w:rFonts w:hint="default"/>
      </w:rPr>
    </w:lvl>
    <w:lvl w:ilvl="4" w:tplc="8A9AB660">
      <w:start w:val="1"/>
      <w:numFmt w:val="bullet"/>
      <w:lvlText w:val="•"/>
      <w:lvlJc w:val="left"/>
      <w:pPr>
        <w:ind w:left="3726" w:hanging="339"/>
      </w:pPr>
      <w:rPr>
        <w:rFonts w:hint="default"/>
      </w:rPr>
    </w:lvl>
    <w:lvl w:ilvl="5" w:tplc="3156325C">
      <w:start w:val="1"/>
      <w:numFmt w:val="bullet"/>
      <w:lvlText w:val="•"/>
      <w:lvlJc w:val="left"/>
      <w:pPr>
        <w:ind w:left="4695" w:hanging="339"/>
      </w:pPr>
      <w:rPr>
        <w:rFonts w:hint="default"/>
      </w:rPr>
    </w:lvl>
    <w:lvl w:ilvl="6" w:tplc="3BE04ADA">
      <w:start w:val="1"/>
      <w:numFmt w:val="bullet"/>
      <w:lvlText w:val="•"/>
      <w:lvlJc w:val="left"/>
      <w:pPr>
        <w:ind w:left="5664" w:hanging="339"/>
      </w:pPr>
      <w:rPr>
        <w:rFonts w:hint="default"/>
      </w:rPr>
    </w:lvl>
    <w:lvl w:ilvl="7" w:tplc="E33E5764">
      <w:start w:val="1"/>
      <w:numFmt w:val="bullet"/>
      <w:lvlText w:val="•"/>
      <w:lvlJc w:val="left"/>
      <w:pPr>
        <w:ind w:left="6633" w:hanging="339"/>
      </w:pPr>
      <w:rPr>
        <w:rFonts w:hint="default"/>
      </w:rPr>
    </w:lvl>
    <w:lvl w:ilvl="8" w:tplc="2C74CBDA">
      <w:start w:val="1"/>
      <w:numFmt w:val="bullet"/>
      <w:lvlText w:val="•"/>
      <w:lvlJc w:val="left"/>
      <w:pPr>
        <w:ind w:left="7602" w:hanging="339"/>
      </w:pPr>
      <w:rPr>
        <w:rFonts w:hint="default"/>
      </w:rPr>
    </w:lvl>
  </w:abstractNum>
  <w:abstractNum w:abstractNumId="4" w15:restartNumberingAfterBreak="0">
    <w:nsid w:val="43247009"/>
    <w:multiLevelType w:val="hybridMultilevel"/>
    <w:tmpl w:val="B602FB00"/>
    <w:lvl w:ilvl="0" w:tplc="9660651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61C60EF"/>
    <w:multiLevelType w:val="hybridMultilevel"/>
    <w:tmpl w:val="FA368A48"/>
    <w:lvl w:ilvl="0" w:tplc="652001F6">
      <w:start w:val="42"/>
      <w:numFmt w:val="decimal"/>
      <w:lvlText w:val="(%1)"/>
      <w:lvlJc w:val="left"/>
      <w:pPr>
        <w:ind w:left="1298" w:hanging="459"/>
      </w:pPr>
      <w:rPr>
        <w:rFonts w:ascii="Times New Roman" w:eastAsia="Times New Roman" w:hAnsi="Times New Roman" w:hint="default"/>
        <w:spacing w:val="-1"/>
        <w:sz w:val="24"/>
        <w:szCs w:val="24"/>
      </w:rPr>
    </w:lvl>
    <w:lvl w:ilvl="1" w:tplc="73448484">
      <w:start w:val="1"/>
      <w:numFmt w:val="upperLetter"/>
      <w:lvlText w:val="(%2)"/>
      <w:lvlJc w:val="left"/>
      <w:pPr>
        <w:ind w:left="1560" w:hanging="394"/>
      </w:pPr>
      <w:rPr>
        <w:rFonts w:ascii="Times New Roman" w:eastAsia="Times New Roman" w:hAnsi="Times New Roman" w:hint="default"/>
        <w:spacing w:val="-1"/>
        <w:sz w:val="24"/>
        <w:szCs w:val="24"/>
      </w:rPr>
    </w:lvl>
    <w:lvl w:ilvl="2" w:tplc="659443CE">
      <w:start w:val="1"/>
      <w:numFmt w:val="lowerRoman"/>
      <w:lvlText w:val="(%3)"/>
      <w:lvlJc w:val="left"/>
      <w:pPr>
        <w:ind w:left="2266" w:hanging="286"/>
      </w:pPr>
      <w:rPr>
        <w:rFonts w:ascii="Times New Roman" w:eastAsia="Times New Roman" w:hAnsi="Times New Roman" w:hint="default"/>
        <w:spacing w:val="-1"/>
        <w:sz w:val="24"/>
        <w:szCs w:val="24"/>
      </w:rPr>
    </w:lvl>
    <w:lvl w:ilvl="3" w:tplc="9CF86A8C">
      <w:start w:val="1"/>
      <w:numFmt w:val="bullet"/>
      <w:lvlText w:val="•"/>
      <w:lvlJc w:val="left"/>
      <w:pPr>
        <w:ind w:left="3442" w:hanging="286"/>
      </w:pPr>
      <w:rPr>
        <w:rFonts w:hint="default"/>
      </w:rPr>
    </w:lvl>
    <w:lvl w:ilvl="4" w:tplc="144AD07E">
      <w:start w:val="1"/>
      <w:numFmt w:val="bullet"/>
      <w:lvlText w:val="•"/>
      <w:lvlJc w:val="left"/>
      <w:pPr>
        <w:ind w:left="4319" w:hanging="286"/>
      </w:pPr>
      <w:rPr>
        <w:rFonts w:hint="default"/>
      </w:rPr>
    </w:lvl>
    <w:lvl w:ilvl="5" w:tplc="235A7A9E">
      <w:start w:val="1"/>
      <w:numFmt w:val="bullet"/>
      <w:lvlText w:val="•"/>
      <w:lvlJc w:val="left"/>
      <w:pPr>
        <w:ind w:left="5196" w:hanging="286"/>
      </w:pPr>
      <w:rPr>
        <w:rFonts w:hint="default"/>
      </w:rPr>
    </w:lvl>
    <w:lvl w:ilvl="6" w:tplc="5C208E68">
      <w:start w:val="1"/>
      <w:numFmt w:val="bullet"/>
      <w:lvlText w:val="•"/>
      <w:lvlJc w:val="left"/>
      <w:pPr>
        <w:ind w:left="6072" w:hanging="286"/>
      </w:pPr>
      <w:rPr>
        <w:rFonts w:hint="default"/>
      </w:rPr>
    </w:lvl>
    <w:lvl w:ilvl="7" w:tplc="A95EE45C">
      <w:start w:val="1"/>
      <w:numFmt w:val="bullet"/>
      <w:lvlText w:val="•"/>
      <w:lvlJc w:val="left"/>
      <w:pPr>
        <w:ind w:left="6949" w:hanging="286"/>
      </w:pPr>
      <w:rPr>
        <w:rFonts w:hint="default"/>
      </w:rPr>
    </w:lvl>
    <w:lvl w:ilvl="8" w:tplc="58504AF2">
      <w:start w:val="1"/>
      <w:numFmt w:val="bullet"/>
      <w:lvlText w:val="•"/>
      <w:lvlJc w:val="left"/>
      <w:pPr>
        <w:ind w:left="7826" w:hanging="286"/>
      </w:pPr>
      <w:rPr>
        <w:rFonts w:hint="default"/>
      </w:rPr>
    </w:lvl>
  </w:abstractNum>
  <w:abstractNum w:abstractNumId="6" w15:restartNumberingAfterBreak="0">
    <w:nsid w:val="46B665AE"/>
    <w:multiLevelType w:val="hybridMultilevel"/>
    <w:tmpl w:val="1B20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FC3659"/>
    <w:multiLevelType w:val="hybridMultilevel"/>
    <w:tmpl w:val="A1AA7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74248B"/>
    <w:multiLevelType w:val="hybridMultilevel"/>
    <w:tmpl w:val="B27E206A"/>
    <w:lvl w:ilvl="0" w:tplc="5E60F7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DD30BC"/>
    <w:multiLevelType w:val="hybridMultilevel"/>
    <w:tmpl w:val="BF4EC32E"/>
    <w:lvl w:ilvl="0" w:tplc="2CF2B708">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9A66AA"/>
    <w:multiLevelType w:val="hybridMultilevel"/>
    <w:tmpl w:val="9A149C6A"/>
    <w:lvl w:ilvl="0" w:tplc="FDB6DF4C">
      <w:start w:val="1"/>
      <w:numFmt w:val="lowerLetter"/>
      <w:lvlText w:val="(%1)"/>
      <w:lvlJc w:val="left"/>
      <w:pPr>
        <w:ind w:left="1060" w:hanging="360"/>
      </w:pPr>
      <w:rPr>
        <w:rFonts w:ascii="Times New Roman" w:eastAsia="Times New Roman" w:hAnsi="Times New Roman" w:hint="default"/>
        <w:spacing w:val="-1"/>
        <w:sz w:val="24"/>
        <w:szCs w:val="24"/>
      </w:rPr>
    </w:lvl>
    <w:lvl w:ilvl="1" w:tplc="281652F2">
      <w:start w:val="1"/>
      <w:numFmt w:val="decimal"/>
      <w:lvlText w:val="(%2)"/>
      <w:lvlJc w:val="left"/>
      <w:pPr>
        <w:ind w:left="1091" w:hanging="341"/>
      </w:pPr>
      <w:rPr>
        <w:rFonts w:ascii="Times New Roman" w:eastAsia="Times New Roman" w:hAnsi="Times New Roman" w:hint="default"/>
        <w:spacing w:val="-1"/>
        <w:sz w:val="24"/>
        <w:szCs w:val="24"/>
      </w:rPr>
    </w:lvl>
    <w:lvl w:ilvl="2" w:tplc="A170D08C">
      <w:start w:val="1"/>
      <w:numFmt w:val="bullet"/>
      <w:lvlText w:val="•"/>
      <w:lvlJc w:val="left"/>
      <w:pPr>
        <w:ind w:left="2034" w:hanging="341"/>
      </w:pPr>
      <w:rPr>
        <w:rFonts w:hint="default"/>
      </w:rPr>
    </w:lvl>
    <w:lvl w:ilvl="3" w:tplc="2AC2E38A">
      <w:start w:val="1"/>
      <w:numFmt w:val="bullet"/>
      <w:lvlText w:val="•"/>
      <w:lvlJc w:val="left"/>
      <w:pPr>
        <w:ind w:left="2977" w:hanging="341"/>
      </w:pPr>
      <w:rPr>
        <w:rFonts w:hint="default"/>
      </w:rPr>
    </w:lvl>
    <w:lvl w:ilvl="4" w:tplc="AC663E8A">
      <w:start w:val="1"/>
      <w:numFmt w:val="bullet"/>
      <w:lvlText w:val="•"/>
      <w:lvlJc w:val="left"/>
      <w:pPr>
        <w:ind w:left="3920" w:hanging="341"/>
      </w:pPr>
      <w:rPr>
        <w:rFonts w:hint="default"/>
      </w:rPr>
    </w:lvl>
    <w:lvl w:ilvl="5" w:tplc="85989DEE">
      <w:start w:val="1"/>
      <w:numFmt w:val="bullet"/>
      <w:lvlText w:val="•"/>
      <w:lvlJc w:val="left"/>
      <w:pPr>
        <w:ind w:left="4864" w:hanging="341"/>
      </w:pPr>
      <w:rPr>
        <w:rFonts w:hint="default"/>
      </w:rPr>
    </w:lvl>
    <w:lvl w:ilvl="6" w:tplc="23F85CC0">
      <w:start w:val="1"/>
      <w:numFmt w:val="bullet"/>
      <w:lvlText w:val="•"/>
      <w:lvlJc w:val="left"/>
      <w:pPr>
        <w:ind w:left="5807" w:hanging="341"/>
      </w:pPr>
      <w:rPr>
        <w:rFonts w:hint="default"/>
      </w:rPr>
    </w:lvl>
    <w:lvl w:ilvl="7" w:tplc="9858FCDC">
      <w:start w:val="1"/>
      <w:numFmt w:val="bullet"/>
      <w:lvlText w:val="•"/>
      <w:lvlJc w:val="left"/>
      <w:pPr>
        <w:ind w:left="6750" w:hanging="341"/>
      </w:pPr>
      <w:rPr>
        <w:rFonts w:hint="default"/>
      </w:rPr>
    </w:lvl>
    <w:lvl w:ilvl="8" w:tplc="0E9CBCCA">
      <w:start w:val="1"/>
      <w:numFmt w:val="bullet"/>
      <w:lvlText w:val="•"/>
      <w:lvlJc w:val="left"/>
      <w:pPr>
        <w:ind w:left="7693" w:hanging="341"/>
      </w:pPr>
      <w:rPr>
        <w:rFonts w:hint="default"/>
      </w:rPr>
    </w:lvl>
  </w:abstractNum>
  <w:num w:numId="1">
    <w:abstractNumId w:val="3"/>
  </w:num>
  <w:num w:numId="2">
    <w:abstractNumId w:val="10"/>
  </w:num>
  <w:num w:numId="3">
    <w:abstractNumId w:val="2"/>
  </w:num>
  <w:num w:numId="4">
    <w:abstractNumId w:val="0"/>
  </w:num>
  <w:num w:numId="5">
    <w:abstractNumId w:val="5"/>
  </w:num>
  <w:num w:numId="6">
    <w:abstractNumId w:val="9"/>
  </w:num>
  <w:num w:numId="7">
    <w:abstractNumId w:val="1"/>
  </w:num>
  <w:num w:numId="8">
    <w:abstractNumId w:val="7"/>
  </w:num>
  <w:num w:numId="9">
    <w:abstractNumId w:val="8"/>
  </w:num>
  <w:num w:numId="10">
    <w:abstractNumId w:val="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671"/>
    <w:rsid w:val="00045075"/>
    <w:rsid w:val="00087F0A"/>
    <w:rsid w:val="000D7335"/>
    <w:rsid w:val="000E4422"/>
    <w:rsid w:val="0010288C"/>
    <w:rsid w:val="00104687"/>
    <w:rsid w:val="0010596F"/>
    <w:rsid w:val="00106FA8"/>
    <w:rsid w:val="00115435"/>
    <w:rsid w:val="001368D7"/>
    <w:rsid w:val="00141ABC"/>
    <w:rsid w:val="001538A6"/>
    <w:rsid w:val="00176AE5"/>
    <w:rsid w:val="001832C0"/>
    <w:rsid w:val="001D2763"/>
    <w:rsid w:val="001D3216"/>
    <w:rsid w:val="001D6689"/>
    <w:rsid w:val="001F6D1E"/>
    <w:rsid w:val="00203753"/>
    <w:rsid w:val="00251C10"/>
    <w:rsid w:val="002C5949"/>
    <w:rsid w:val="002E07AB"/>
    <w:rsid w:val="002F6633"/>
    <w:rsid w:val="00305EF1"/>
    <w:rsid w:val="00395460"/>
    <w:rsid w:val="00395C9A"/>
    <w:rsid w:val="003A0EB5"/>
    <w:rsid w:val="003A54AA"/>
    <w:rsid w:val="003B32CC"/>
    <w:rsid w:val="003B484B"/>
    <w:rsid w:val="003E7475"/>
    <w:rsid w:val="003F566D"/>
    <w:rsid w:val="004054D9"/>
    <w:rsid w:val="00452A06"/>
    <w:rsid w:val="004A4B94"/>
    <w:rsid w:val="004B258E"/>
    <w:rsid w:val="00503C45"/>
    <w:rsid w:val="005055D8"/>
    <w:rsid w:val="00506EFF"/>
    <w:rsid w:val="005602DF"/>
    <w:rsid w:val="005623B0"/>
    <w:rsid w:val="00592DBC"/>
    <w:rsid w:val="005B6999"/>
    <w:rsid w:val="005E281E"/>
    <w:rsid w:val="005F6BA0"/>
    <w:rsid w:val="00612802"/>
    <w:rsid w:val="00614B5B"/>
    <w:rsid w:val="00623597"/>
    <w:rsid w:val="00645FD1"/>
    <w:rsid w:val="0064783F"/>
    <w:rsid w:val="006546CB"/>
    <w:rsid w:val="006C13B7"/>
    <w:rsid w:val="006C700A"/>
    <w:rsid w:val="00721071"/>
    <w:rsid w:val="007549A4"/>
    <w:rsid w:val="007A4913"/>
    <w:rsid w:val="007B211B"/>
    <w:rsid w:val="007C4867"/>
    <w:rsid w:val="007D0F05"/>
    <w:rsid w:val="007D2BA1"/>
    <w:rsid w:val="007E61F8"/>
    <w:rsid w:val="007F42FC"/>
    <w:rsid w:val="0082314C"/>
    <w:rsid w:val="0083277B"/>
    <w:rsid w:val="0083281D"/>
    <w:rsid w:val="00833524"/>
    <w:rsid w:val="0084037D"/>
    <w:rsid w:val="00881671"/>
    <w:rsid w:val="008E584E"/>
    <w:rsid w:val="008E7945"/>
    <w:rsid w:val="00902483"/>
    <w:rsid w:val="00913241"/>
    <w:rsid w:val="00930599"/>
    <w:rsid w:val="009350CA"/>
    <w:rsid w:val="00950720"/>
    <w:rsid w:val="0095762A"/>
    <w:rsid w:val="00993FB7"/>
    <w:rsid w:val="009B162E"/>
    <w:rsid w:val="009C6BC0"/>
    <w:rsid w:val="00A2356E"/>
    <w:rsid w:val="00A51500"/>
    <w:rsid w:val="00A55880"/>
    <w:rsid w:val="00A630FB"/>
    <w:rsid w:val="00A87283"/>
    <w:rsid w:val="00A941FB"/>
    <w:rsid w:val="00AC38A4"/>
    <w:rsid w:val="00AC3BA9"/>
    <w:rsid w:val="00B00411"/>
    <w:rsid w:val="00B11C4A"/>
    <w:rsid w:val="00B32568"/>
    <w:rsid w:val="00B54354"/>
    <w:rsid w:val="00B81F9D"/>
    <w:rsid w:val="00B8643C"/>
    <w:rsid w:val="00BB001D"/>
    <w:rsid w:val="00BB0958"/>
    <w:rsid w:val="00BF7C12"/>
    <w:rsid w:val="00C353B7"/>
    <w:rsid w:val="00C429FB"/>
    <w:rsid w:val="00C5419A"/>
    <w:rsid w:val="00C66B1E"/>
    <w:rsid w:val="00C95CD1"/>
    <w:rsid w:val="00CA5C1A"/>
    <w:rsid w:val="00CA6EBE"/>
    <w:rsid w:val="00CB589C"/>
    <w:rsid w:val="00CD53B3"/>
    <w:rsid w:val="00CF58A7"/>
    <w:rsid w:val="00E030BD"/>
    <w:rsid w:val="00E50C80"/>
    <w:rsid w:val="00E61B1E"/>
    <w:rsid w:val="00E6241B"/>
    <w:rsid w:val="00E855D6"/>
    <w:rsid w:val="00E96387"/>
    <w:rsid w:val="00EB1AD3"/>
    <w:rsid w:val="00EF5C3C"/>
    <w:rsid w:val="00F15AAD"/>
    <w:rsid w:val="00F20479"/>
    <w:rsid w:val="00F21E28"/>
    <w:rsid w:val="00F36D4E"/>
    <w:rsid w:val="00F413FA"/>
    <w:rsid w:val="00F55B3E"/>
    <w:rsid w:val="00F56806"/>
    <w:rsid w:val="00F83129"/>
    <w:rsid w:val="00F83AC3"/>
    <w:rsid w:val="00F94647"/>
    <w:rsid w:val="00F95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DA3EC1-D232-44DA-BDD4-D7CE7185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911"/>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94647"/>
    <w:rPr>
      <w:sz w:val="16"/>
      <w:szCs w:val="16"/>
    </w:rPr>
  </w:style>
  <w:style w:type="paragraph" w:styleId="CommentText">
    <w:name w:val="annotation text"/>
    <w:basedOn w:val="Normal"/>
    <w:link w:val="CommentTextChar"/>
    <w:uiPriority w:val="99"/>
    <w:semiHidden/>
    <w:unhideWhenUsed/>
    <w:rsid w:val="00F94647"/>
    <w:rPr>
      <w:sz w:val="20"/>
      <w:szCs w:val="20"/>
    </w:rPr>
  </w:style>
  <w:style w:type="character" w:customStyle="1" w:styleId="CommentTextChar">
    <w:name w:val="Comment Text Char"/>
    <w:basedOn w:val="DefaultParagraphFont"/>
    <w:link w:val="CommentText"/>
    <w:uiPriority w:val="99"/>
    <w:semiHidden/>
    <w:rsid w:val="00F94647"/>
    <w:rPr>
      <w:sz w:val="20"/>
      <w:szCs w:val="20"/>
    </w:rPr>
  </w:style>
  <w:style w:type="paragraph" w:styleId="CommentSubject">
    <w:name w:val="annotation subject"/>
    <w:basedOn w:val="CommentText"/>
    <w:next w:val="CommentText"/>
    <w:link w:val="CommentSubjectChar"/>
    <w:uiPriority w:val="99"/>
    <w:semiHidden/>
    <w:unhideWhenUsed/>
    <w:rsid w:val="00F94647"/>
    <w:rPr>
      <w:b/>
      <w:bCs/>
    </w:rPr>
  </w:style>
  <w:style w:type="character" w:customStyle="1" w:styleId="CommentSubjectChar">
    <w:name w:val="Comment Subject Char"/>
    <w:basedOn w:val="CommentTextChar"/>
    <w:link w:val="CommentSubject"/>
    <w:uiPriority w:val="99"/>
    <w:semiHidden/>
    <w:rsid w:val="00F94647"/>
    <w:rPr>
      <w:b/>
      <w:bCs/>
      <w:sz w:val="20"/>
      <w:szCs w:val="20"/>
    </w:rPr>
  </w:style>
  <w:style w:type="paragraph" w:styleId="BalloonText">
    <w:name w:val="Balloon Text"/>
    <w:basedOn w:val="Normal"/>
    <w:link w:val="BalloonTextChar"/>
    <w:uiPriority w:val="99"/>
    <w:semiHidden/>
    <w:unhideWhenUsed/>
    <w:rsid w:val="00F94647"/>
    <w:rPr>
      <w:rFonts w:ascii="Tahoma" w:hAnsi="Tahoma" w:cs="Tahoma"/>
      <w:sz w:val="16"/>
      <w:szCs w:val="16"/>
    </w:rPr>
  </w:style>
  <w:style w:type="character" w:customStyle="1" w:styleId="BalloonTextChar">
    <w:name w:val="Balloon Text Char"/>
    <w:basedOn w:val="DefaultParagraphFont"/>
    <w:link w:val="BalloonText"/>
    <w:uiPriority w:val="99"/>
    <w:semiHidden/>
    <w:rsid w:val="00F94647"/>
    <w:rPr>
      <w:rFonts w:ascii="Tahoma" w:hAnsi="Tahoma" w:cs="Tahoma"/>
      <w:sz w:val="16"/>
      <w:szCs w:val="16"/>
    </w:rPr>
  </w:style>
  <w:style w:type="paragraph" w:styleId="Header">
    <w:name w:val="header"/>
    <w:basedOn w:val="Normal"/>
    <w:link w:val="HeaderChar"/>
    <w:uiPriority w:val="99"/>
    <w:unhideWhenUsed/>
    <w:rsid w:val="00950720"/>
    <w:pPr>
      <w:tabs>
        <w:tab w:val="center" w:pos="4680"/>
        <w:tab w:val="right" w:pos="9360"/>
      </w:tabs>
    </w:pPr>
  </w:style>
  <w:style w:type="character" w:customStyle="1" w:styleId="HeaderChar">
    <w:name w:val="Header Char"/>
    <w:basedOn w:val="DefaultParagraphFont"/>
    <w:link w:val="Header"/>
    <w:uiPriority w:val="99"/>
    <w:rsid w:val="00950720"/>
  </w:style>
  <w:style w:type="paragraph" w:styleId="Footer">
    <w:name w:val="footer"/>
    <w:basedOn w:val="Normal"/>
    <w:link w:val="FooterChar"/>
    <w:uiPriority w:val="99"/>
    <w:unhideWhenUsed/>
    <w:rsid w:val="00950720"/>
    <w:pPr>
      <w:tabs>
        <w:tab w:val="center" w:pos="4680"/>
        <w:tab w:val="right" w:pos="9360"/>
      </w:tabs>
    </w:pPr>
  </w:style>
  <w:style w:type="character" w:customStyle="1" w:styleId="FooterChar">
    <w:name w:val="Footer Char"/>
    <w:basedOn w:val="DefaultParagraphFont"/>
    <w:link w:val="Footer"/>
    <w:uiPriority w:val="99"/>
    <w:rsid w:val="00950720"/>
  </w:style>
  <w:style w:type="character" w:customStyle="1" w:styleId="enumxml">
    <w:name w:val="enumxml"/>
    <w:basedOn w:val="DefaultParagraphFont"/>
    <w:rsid w:val="00E6241B"/>
  </w:style>
  <w:style w:type="character" w:styleId="Hyperlink">
    <w:name w:val="Hyperlink"/>
    <w:basedOn w:val="DefaultParagraphFont"/>
    <w:uiPriority w:val="99"/>
    <w:semiHidden/>
    <w:unhideWhenUsed/>
    <w:rsid w:val="00E6241B"/>
    <w:rPr>
      <w:color w:val="0000FF"/>
      <w:u w:val="single"/>
    </w:rPr>
  </w:style>
  <w:style w:type="paragraph" w:customStyle="1" w:styleId="Default">
    <w:name w:val="Default"/>
    <w:rsid w:val="0010596F"/>
    <w:pPr>
      <w:widowControl/>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926933">
      <w:bodyDiv w:val="1"/>
      <w:marLeft w:val="0"/>
      <w:marRight w:val="0"/>
      <w:marTop w:val="0"/>
      <w:marBottom w:val="0"/>
      <w:divBdr>
        <w:top w:val="none" w:sz="0" w:space="0" w:color="auto"/>
        <w:left w:val="none" w:sz="0" w:space="0" w:color="auto"/>
        <w:bottom w:val="none" w:sz="0" w:space="0" w:color="auto"/>
        <w:right w:val="none" w:sz="0" w:space="0" w:color="auto"/>
      </w:divBdr>
    </w:div>
    <w:div w:id="1029911865">
      <w:bodyDiv w:val="1"/>
      <w:marLeft w:val="0"/>
      <w:marRight w:val="0"/>
      <w:marTop w:val="0"/>
      <w:marBottom w:val="0"/>
      <w:divBdr>
        <w:top w:val="none" w:sz="0" w:space="0" w:color="auto"/>
        <w:left w:val="none" w:sz="0" w:space="0" w:color="auto"/>
        <w:bottom w:val="none" w:sz="0" w:space="0" w:color="auto"/>
        <w:right w:val="none" w:sz="0" w:space="0" w:color="auto"/>
      </w:divBdr>
    </w:div>
    <w:div w:id="1195508383">
      <w:bodyDiv w:val="1"/>
      <w:marLeft w:val="0"/>
      <w:marRight w:val="0"/>
      <w:marTop w:val="0"/>
      <w:marBottom w:val="0"/>
      <w:divBdr>
        <w:top w:val="none" w:sz="0" w:space="0" w:color="auto"/>
        <w:left w:val="none" w:sz="0" w:space="0" w:color="auto"/>
        <w:bottom w:val="none" w:sz="0" w:space="0" w:color="auto"/>
        <w:right w:val="none" w:sz="0" w:space="0" w:color="auto"/>
      </w:divBdr>
    </w:div>
    <w:div w:id="1497382868">
      <w:bodyDiv w:val="1"/>
      <w:marLeft w:val="0"/>
      <w:marRight w:val="0"/>
      <w:marTop w:val="0"/>
      <w:marBottom w:val="0"/>
      <w:divBdr>
        <w:top w:val="none" w:sz="0" w:space="0" w:color="auto"/>
        <w:left w:val="none" w:sz="0" w:space="0" w:color="auto"/>
        <w:bottom w:val="none" w:sz="0" w:space="0" w:color="auto"/>
        <w:right w:val="none" w:sz="0" w:space="0" w:color="auto"/>
      </w:divBdr>
    </w:div>
    <w:div w:id="1673290684">
      <w:bodyDiv w:val="1"/>
      <w:marLeft w:val="0"/>
      <w:marRight w:val="0"/>
      <w:marTop w:val="0"/>
      <w:marBottom w:val="0"/>
      <w:divBdr>
        <w:top w:val="none" w:sz="0" w:space="0" w:color="auto"/>
        <w:left w:val="none" w:sz="0" w:space="0" w:color="auto"/>
        <w:bottom w:val="none" w:sz="0" w:space="0" w:color="auto"/>
        <w:right w:val="none" w:sz="0" w:space="0" w:color="auto"/>
      </w:divBdr>
    </w:div>
    <w:div w:id="2014019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339E3-D6EF-4E80-932C-D924FC9FC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7100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David.Steele@ed.gov</dc:creator>
  <cp:lastModifiedBy>Peggy Hale</cp:lastModifiedBy>
  <cp:revision>2</cp:revision>
  <cp:lastPrinted>2018-05-24T13:03:00Z</cp:lastPrinted>
  <dcterms:created xsi:type="dcterms:W3CDTF">2018-05-29T15:32:00Z</dcterms:created>
  <dcterms:modified xsi:type="dcterms:W3CDTF">2018-05-29T15:32:00Z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2014-10-02T00:00:00Z</vt:filetime>
  </property>
  <property fmtid="{D5CDD505-2E9C-101B-9397-08002B2CF9AE}" pid="3" name="LastSaved">
    <vt:filetime>2015-06-05T00:00:00Z</vt:filetime>
  </property>
</Properties>
</file>