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8.xml" ContentType="application/vnd.openxmlformats-officedocument.wordprocessingml.header+xml"/>
  <Override PartName="/word/footer21.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1.xml" ContentType="application/vnd.openxmlformats-officedocument.wordprocessingml.header+xml"/>
  <Override PartName="/word/footer24.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4.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27.xml" ContentType="application/vnd.openxmlformats-officedocument.wordprocessingml.header+xml"/>
  <Override PartName="/word/footer31.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0.xml" ContentType="application/vnd.openxmlformats-officedocument.wordprocessingml.header+xml"/>
  <Override PartName="/word/footer34.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3.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36.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39.xml" ContentType="application/vnd.openxmlformats-officedocument.wordprocessingml.header+xml"/>
  <Override PartName="/word/footer45.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2.xml" ContentType="application/vnd.openxmlformats-officedocument.wordprocessingml.header+xml"/>
  <Override PartName="/word/footer48.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45.xml" ContentType="application/vnd.openxmlformats-officedocument.wordprocessingml.header+xml"/>
  <Override PartName="/word/footer51.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48.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51.xml" ContentType="application/vnd.openxmlformats-officedocument.wordprocessingml.header+xml"/>
  <Override PartName="/word/footer58.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54.xml" ContentType="application/vnd.openxmlformats-officedocument.wordprocessingml.header+xml"/>
  <Override PartName="/word/footer6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AD78D6" w14:textId="36CD6087" w:rsidR="008A190D" w:rsidRPr="00AC6904" w:rsidRDefault="008A190D" w:rsidP="00FC3CB3">
      <w:pPr>
        <w:pStyle w:val="Title"/>
        <w:shd w:val="clear" w:color="auto" w:fill="auto"/>
        <w:spacing w:before="600"/>
        <w:ind w:left="1440" w:firstLine="0"/>
        <w:jc w:val="left"/>
        <w:rPr>
          <w:b w:val="0"/>
          <w:i/>
          <w:color w:val="2F5496" w:themeColor="accent1" w:themeShade="BF"/>
          <w:sz w:val="108"/>
          <w:szCs w:val="108"/>
        </w:rPr>
      </w:pPr>
      <w:bookmarkStart w:id="0" w:name="_Toc10215326"/>
      <w:bookmarkStart w:id="1" w:name="_Toc11007902"/>
      <w:bookmarkStart w:id="2" w:name="_Toc11010554"/>
      <w:bookmarkStart w:id="3" w:name="_Toc11010556"/>
      <w:bookmarkStart w:id="4" w:name="_Toc28011408"/>
      <w:r w:rsidRPr="00AC6904">
        <w:rPr>
          <w:b w:val="0"/>
          <w:i/>
          <w:color w:val="2F5496" w:themeColor="accent1" w:themeShade="BF"/>
          <w:sz w:val="108"/>
          <w:szCs w:val="108"/>
        </w:rPr>
        <w:t>Workforce</w:t>
      </w:r>
      <w:r w:rsidRPr="00AC6904">
        <w:rPr>
          <w:b w:val="0"/>
          <w:i/>
          <w:color w:val="2F5496" w:themeColor="accent1" w:themeShade="BF"/>
          <w:sz w:val="108"/>
          <w:szCs w:val="108"/>
        </w:rPr>
        <w:br/>
        <w:t xml:space="preserve">Innovation </w:t>
      </w:r>
      <w:r w:rsidRPr="00AC6904">
        <w:rPr>
          <w:b w:val="0"/>
          <w:i/>
          <w:color w:val="2F5496" w:themeColor="accent1" w:themeShade="BF"/>
          <w:sz w:val="108"/>
          <w:szCs w:val="108"/>
        </w:rPr>
        <w:br/>
        <w:t xml:space="preserve">Technical </w:t>
      </w:r>
      <w:r w:rsidRPr="00AC6904">
        <w:rPr>
          <w:b w:val="0"/>
          <w:i/>
          <w:color w:val="2F5496" w:themeColor="accent1" w:themeShade="BF"/>
          <w:sz w:val="108"/>
          <w:szCs w:val="108"/>
        </w:rPr>
        <w:br/>
        <w:t xml:space="preserve">Assistance </w:t>
      </w:r>
      <w:r w:rsidRPr="00AC6904">
        <w:rPr>
          <w:b w:val="0"/>
          <w:i/>
          <w:color w:val="2F5496" w:themeColor="accent1" w:themeShade="BF"/>
          <w:sz w:val="108"/>
          <w:szCs w:val="108"/>
        </w:rPr>
        <w:br/>
        <w:t>Cente</w:t>
      </w:r>
      <w:r>
        <w:rPr>
          <w:b w:val="0"/>
          <w:i/>
          <w:color w:val="2F5496" w:themeColor="accent1" w:themeShade="BF"/>
          <w:sz w:val="108"/>
          <w:szCs w:val="108"/>
        </w:rPr>
        <w:t>r</w:t>
      </w:r>
    </w:p>
    <w:p w14:paraId="2968C4CD" w14:textId="77777777" w:rsidR="00F21352" w:rsidRPr="00B01B53" w:rsidRDefault="00F21352" w:rsidP="00F21352">
      <w:pPr>
        <w:pStyle w:val="NoSpacing"/>
        <w:spacing w:before="240"/>
        <w:ind w:left="1440"/>
        <w:rPr>
          <w:b/>
          <w:caps/>
          <w:color w:val="44546A" w:themeColor="text2"/>
          <w:sz w:val="40"/>
          <w:szCs w:val="40"/>
        </w:rPr>
      </w:pPr>
      <w:bookmarkStart w:id="5" w:name="_Toc27983629"/>
      <w:bookmarkStart w:id="6" w:name="_Toc27993726"/>
      <w:bookmarkStart w:id="7" w:name="_Toc28008593"/>
      <w:bookmarkStart w:id="8" w:name="_Toc28011406"/>
      <w:bookmarkStart w:id="9" w:name="_Toc41921776"/>
      <w:r w:rsidRPr="00B01B53">
        <w:rPr>
          <w:b/>
          <w:caps/>
          <w:color w:val="44546A" w:themeColor="text2"/>
          <w:sz w:val="40"/>
          <w:szCs w:val="40"/>
        </w:rPr>
        <w:t>INTENSIVE TECHNICAL ASSISTANCE</w:t>
      </w:r>
    </w:p>
    <w:p w14:paraId="3352C437" w14:textId="77777777" w:rsidR="00F21352" w:rsidRPr="00B01B53" w:rsidRDefault="00F21352" w:rsidP="00F21352">
      <w:pPr>
        <w:pStyle w:val="NoSpacing"/>
        <w:spacing w:before="240"/>
        <w:ind w:left="1440"/>
        <w:rPr>
          <w:b/>
          <w:caps/>
          <w:color w:val="44546A" w:themeColor="text2"/>
          <w:sz w:val="40"/>
          <w:szCs w:val="40"/>
        </w:rPr>
      </w:pPr>
      <w:r w:rsidRPr="00B01B53">
        <w:rPr>
          <w:b/>
          <w:caps/>
          <w:color w:val="44546A" w:themeColor="text2"/>
          <w:sz w:val="40"/>
          <w:szCs w:val="40"/>
        </w:rPr>
        <w:t xml:space="preserve">Mid-Year special EVALUATION report </w:t>
      </w:r>
    </w:p>
    <w:p w14:paraId="093E405C" w14:textId="77777777" w:rsidR="00F21352" w:rsidRPr="00B01B53" w:rsidRDefault="00F21352" w:rsidP="00F21352">
      <w:pPr>
        <w:pStyle w:val="NoSpacing"/>
        <w:spacing w:before="240"/>
        <w:ind w:left="1440"/>
        <w:rPr>
          <w:caps/>
          <w:color w:val="44546A" w:themeColor="text2"/>
          <w:sz w:val="36"/>
          <w:szCs w:val="36"/>
        </w:rPr>
      </w:pPr>
      <w:r w:rsidRPr="00B01B53">
        <w:rPr>
          <w:caps/>
          <w:color w:val="44546A" w:themeColor="text2"/>
          <w:sz w:val="36"/>
          <w:szCs w:val="36"/>
        </w:rPr>
        <w:t>year f</w:t>
      </w:r>
      <w:r>
        <w:rPr>
          <w:caps/>
          <w:color w:val="44546A" w:themeColor="text2"/>
          <w:sz w:val="36"/>
          <w:szCs w:val="36"/>
        </w:rPr>
        <w:t>ive</w:t>
      </w:r>
      <w:r w:rsidRPr="00B01B53">
        <w:rPr>
          <w:caps/>
          <w:color w:val="44546A" w:themeColor="text2"/>
          <w:sz w:val="36"/>
          <w:szCs w:val="36"/>
        </w:rPr>
        <w:t>, quarter two</w:t>
      </w:r>
    </w:p>
    <w:p w14:paraId="3437BCC0" w14:textId="77777777" w:rsidR="00F21352" w:rsidRPr="00B01B53" w:rsidRDefault="00F21352" w:rsidP="00F21352">
      <w:pPr>
        <w:pStyle w:val="NoSpacing"/>
        <w:spacing w:before="240"/>
        <w:ind w:left="1440"/>
        <w:rPr>
          <w:caps/>
          <w:color w:val="44546A" w:themeColor="text2"/>
          <w:sz w:val="36"/>
          <w:szCs w:val="36"/>
        </w:rPr>
      </w:pPr>
      <w:r w:rsidRPr="00B01B53">
        <w:rPr>
          <w:caps/>
          <w:color w:val="44546A" w:themeColor="text2"/>
          <w:sz w:val="36"/>
          <w:szCs w:val="36"/>
        </w:rPr>
        <w:t>May 31, 2020</w:t>
      </w:r>
    </w:p>
    <w:p w14:paraId="3465CB67" w14:textId="77777777" w:rsidR="008A190D" w:rsidRDefault="008A190D" w:rsidP="008A190D">
      <w:pPr>
        <w:pStyle w:val="Heading1"/>
        <w:ind w:left="360" w:firstLine="0"/>
        <w:jc w:val="left"/>
        <w:sectPr w:rsidR="008A190D" w:rsidSect="008A190D">
          <w:headerReference w:type="even" r:id="rId8"/>
          <w:headerReference w:type="default" r:id="rId9"/>
          <w:footerReference w:type="even" r:id="rId10"/>
          <w:footerReference w:type="default" r:id="rId11"/>
          <w:headerReference w:type="first" r:id="rId12"/>
          <w:footerReference w:type="first" r:id="rId13"/>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pgNumType w:chapStyle="1"/>
          <w:cols w:space="720"/>
          <w:vAlign w:val="center"/>
          <w:docGrid w:linePitch="360"/>
        </w:sectPr>
      </w:pPr>
      <w:bookmarkStart w:id="10" w:name="_Toc41937305"/>
      <w:bookmarkStart w:id="11" w:name="_Toc41937486"/>
      <w:bookmarkStart w:id="12" w:name="_Toc41940190"/>
      <w:r>
        <w:rPr>
          <w:noProof/>
          <w:lang w:eastAsia="ko-KR"/>
        </w:rPr>
        <w:drawing>
          <wp:anchor distT="0" distB="0" distL="114300" distR="114300" simplePos="0" relativeHeight="251661312" behindDoc="1" locked="0" layoutInCell="1" allowOverlap="1" wp14:anchorId="640A9FA9" wp14:editId="3A76D156">
            <wp:simplePos x="0" y="0"/>
            <wp:positionH relativeFrom="margin">
              <wp:posOffset>-561975</wp:posOffset>
            </wp:positionH>
            <wp:positionV relativeFrom="page">
              <wp:posOffset>8124825</wp:posOffset>
            </wp:positionV>
            <wp:extent cx="7058660" cy="1581785"/>
            <wp:effectExtent l="0" t="0" r="8890" b="0"/>
            <wp:wrapSquare wrapText="left"/>
            <wp:docPr id="441" name="Picture 441" descr="WINTAC Burton Blatt Institute Syracuse University"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intac-bbi.jpg"/>
                    <pic:cNvPicPr/>
                  </pic:nvPicPr>
                  <pic:blipFill>
                    <a:blip r:embed="rId14">
                      <a:extLst>
                        <a:ext uri="{28A0092B-C50C-407E-A947-70E740481C1C}">
                          <a14:useLocalDpi xmlns:a14="http://schemas.microsoft.com/office/drawing/2010/main"/>
                        </a:ext>
                      </a:extLst>
                    </a:blip>
                    <a:stretch>
                      <a:fillRect/>
                    </a:stretch>
                  </pic:blipFill>
                  <pic:spPr>
                    <a:xfrm>
                      <a:off x="0" y="0"/>
                      <a:ext cx="7058660" cy="1581785"/>
                    </a:xfrm>
                    <a:prstGeom prst="rect">
                      <a:avLst/>
                    </a:prstGeom>
                  </pic:spPr>
                </pic:pic>
              </a:graphicData>
            </a:graphic>
            <wp14:sizeRelH relativeFrom="margin">
              <wp14:pctWidth>0</wp14:pctWidth>
            </wp14:sizeRelH>
            <wp14:sizeRelV relativeFrom="margin">
              <wp14:pctHeight>0</wp14:pctHeight>
            </wp14:sizeRelV>
          </wp:anchor>
        </w:drawing>
      </w:r>
      <w:bookmarkStart w:id="13" w:name="_Toc10215327"/>
      <w:bookmarkStart w:id="14" w:name="_Toc11010555"/>
      <w:bookmarkEnd w:id="0"/>
      <w:bookmarkEnd w:id="1"/>
      <w:bookmarkEnd w:id="2"/>
      <w:bookmarkEnd w:id="5"/>
      <w:bookmarkEnd w:id="6"/>
      <w:bookmarkEnd w:id="7"/>
      <w:bookmarkEnd w:id="8"/>
      <w:bookmarkEnd w:id="9"/>
      <w:bookmarkEnd w:id="10"/>
      <w:bookmarkEnd w:id="11"/>
      <w:bookmarkEnd w:id="12"/>
    </w:p>
    <w:p w14:paraId="4038F48D" w14:textId="77777777" w:rsidR="008A190D" w:rsidRPr="00B10F7D" w:rsidRDefault="008A190D" w:rsidP="008A190D">
      <w:pPr>
        <w:pStyle w:val="Heading1"/>
        <w:pBdr>
          <w:bottom w:val="single" w:sz="18" w:space="1" w:color="auto"/>
        </w:pBdr>
        <w:ind w:left="360" w:firstLine="0"/>
        <w:jc w:val="left"/>
        <w:rPr>
          <w:bCs/>
          <w:caps/>
          <w:szCs w:val="52"/>
        </w:rPr>
      </w:pPr>
      <w:bookmarkStart w:id="15" w:name="_Toc28008594"/>
      <w:bookmarkStart w:id="16" w:name="_Toc28011407"/>
      <w:bookmarkStart w:id="17" w:name="_Toc41921777"/>
      <w:bookmarkStart w:id="18" w:name="_Toc41937306"/>
      <w:bookmarkStart w:id="19" w:name="_Toc41937487"/>
      <w:bookmarkStart w:id="20" w:name="_Toc41940191"/>
      <w:r w:rsidRPr="00B10F7D">
        <w:rPr>
          <w:szCs w:val="52"/>
        </w:rPr>
        <w:lastRenderedPageBreak/>
        <w:t>Table of Contents</w:t>
      </w:r>
      <w:bookmarkEnd w:id="13"/>
      <w:bookmarkEnd w:id="14"/>
      <w:bookmarkEnd w:id="15"/>
      <w:bookmarkEnd w:id="16"/>
      <w:bookmarkEnd w:id="17"/>
      <w:bookmarkEnd w:id="18"/>
      <w:bookmarkEnd w:id="19"/>
      <w:bookmarkEnd w:id="20"/>
      <w:r w:rsidRPr="00B10F7D">
        <w:rPr>
          <w:bCs/>
          <w:szCs w:val="52"/>
        </w:rPr>
        <w:t xml:space="preserve"> </w:t>
      </w:r>
    </w:p>
    <w:p w14:paraId="2F19BC3C" w14:textId="0A107849" w:rsidR="00B65A2D" w:rsidRDefault="00B56EC8" w:rsidP="00B65A2D">
      <w:pPr>
        <w:pStyle w:val="TOC1"/>
        <w:rPr>
          <w:rFonts w:eastAsiaTheme="minorEastAsia"/>
          <w:noProof/>
        </w:rPr>
      </w:pPr>
      <w:r>
        <w:fldChar w:fldCharType="begin"/>
      </w:r>
      <w:r>
        <w:instrText xml:space="preserve"> TOC \o "1-3" \h \z \u </w:instrText>
      </w:r>
      <w:r>
        <w:fldChar w:fldCharType="separate"/>
      </w:r>
    </w:p>
    <w:p w14:paraId="09570CDD" w14:textId="35F4A8B7" w:rsidR="00B65A2D" w:rsidRDefault="0084664F" w:rsidP="00B65A2D">
      <w:pPr>
        <w:pStyle w:val="TOC1"/>
        <w:rPr>
          <w:rFonts w:eastAsiaTheme="minorEastAsia"/>
          <w:noProof/>
        </w:rPr>
      </w:pPr>
      <w:hyperlink w:anchor="_Toc41940192" w:history="1">
        <w:r w:rsidR="00B65A2D" w:rsidRPr="00103473">
          <w:rPr>
            <w:rStyle w:val="Hyperlink"/>
            <w:noProof/>
          </w:rPr>
          <w:t>Executive Summary</w:t>
        </w:r>
        <w:r w:rsidR="00B65A2D">
          <w:rPr>
            <w:noProof/>
            <w:webHidden/>
          </w:rPr>
          <w:tab/>
        </w:r>
        <w:r w:rsidR="00B65A2D">
          <w:rPr>
            <w:noProof/>
            <w:webHidden/>
          </w:rPr>
          <w:fldChar w:fldCharType="begin"/>
        </w:r>
        <w:r w:rsidR="00B65A2D">
          <w:rPr>
            <w:noProof/>
            <w:webHidden/>
          </w:rPr>
          <w:instrText xml:space="preserve"> PAGEREF _Toc41940192 \h </w:instrText>
        </w:r>
        <w:r w:rsidR="00B65A2D">
          <w:rPr>
            <w:noProof/>
            <w:webHidden/>
          </w:rPr>
        </w:r>
        <w:r w:rsidR="00B65A2D">
          <w:rPr>
            <w:noProof/>
            <w:webHidden/>
          </w:rPr>
          <w:fldChar w:fldCharType="separate"/>
        </w:r>
        <w:r w:rsidR="00DE5A2C">
          <w:rPr>
            <w:noProof/>
            <w:webHidden/>
          </w:rPr>
          <w:t>1</w:t>
        </w:r>
        <w:r w:rsidR="00B65A2D">
          <w:rPr>
            <w:noProof/>
            <w:webHidden/>
          </w:rPr>
          <w:fldChar w:fldCharType="end"/>
        </w:r>
      </w:hyperlink>
    </w:p>
    <w:p w14:paraId="6B951D33" w14:textId="4804F40C" w:rsidR="00B65A2D" w:rsidRDefault="0084664F">
      <w:pPr>
        <w:pStyle w:val="TOC2"/>
        <w:tabs>
          <w:tab w:val="right" w:leader="dot" w:pos="9350"/>
        </w:tabs>
        <w:rPr>
          <w:rFonts w:eastAsiaTheme="minorEastAsia"/>
          <w:noProof/>
        </w:rPr>
      </w:pPr>
      <w:hyperlink w:anchor="_Toc41940193" w:history="1">
        <w:r w:rsidR="00B65A2D" w:rsidRPr="00103473">
          <w:rPr>
            <w:rStyle w:val="Hyperlink"/>
            <w:noProof/>
          </w:rPr>
          <w:t>Introduction</w:t>
        </w:r>
        <w:r w:rsidR="00B65A2D">
          <w:rPr>
            <w:noProof/>
            <w:webHidden/>
          </w:rPr>
          <w:tab/>
        </w:r>
        <w:r w:rsidR="00B65A2D">
          <w:rPr>
            <w:noProof/>
            <w:webHidden/>
          </w:rPr>
          <w:fldChar w:fldCharType="begin"/>
        </w:r>
        <w:r w:rsidR="00B65A2D">
          <w:rPr>
            <w:noProof/>
            <w:webHidden/>
          </w:rPr>
          <w:instrText xml:space="preserve"> PAGEREF _Toc41940193 \h </w:instrText>
        </w:r>
        <w:r w:rsidR="00B65A2D">
          <w:rPr>
            <w:noProof/>
            <w:webHidden/>
          </w:rPr>
        </w:r>
        <w:r w:rsidR="00B65A2D">
          <w:rPr>
            <w:noProof/>
            <w:webHidden/>
          </w:rPr>
          <w:fldChar w:fldCharType="separate"/>
        </w:r>
        <w:r w:rsidR="00DE5A2C">
          <w:rPr>
            <w:noProof/>
            <w:webHidden/>
          </w:rPr>
          <w:t>1</w:t>
        </w:r>
        <w:r w:rsidR="00B65A2D">
          <w:rPr>
            <w:noProof/>
            <w:webHidden/>
          </w:rPr>
          <w:fldChar w:fldCharType="end"/>
        </w:r>
      </w:hyperlink>
    </w:p>
    <w:p w14:paraId="528E2018" w14:textId="5CDB8F25" w:rsidR="00B65A2D" w:rsidRDefault="0084664F">
      <w:pPr>
        <w:pStyle w:val="TOC2"/>
        <w:tabs>
          <w:tab w:val="right" w:leader="dot" w:pos="9350"/>
        </w:tabs>
        <w:rPr>
          <w:rFonts w:eastAsiaTheme="minorEastAsia"/>
          <w:noProof/>
        </w:rPr>
      </w:pPr>
      <w:hyperlink w:anchor="_Toc41940194" w:history="1">
        <w:r w:rsidR="00B65A2D" w:rsidRPr="00103473">
          <w:rPr>
            <w:rStyle w:val="Hyperlink"/>
            <w:noProof/>
          </w:rPr>
          <w:t>Pre-Employment Transition Services</w:t>
        </w:r>
        <w:r w:rsidR="00B65A2D">
          <w:rPr>
            <w:noProof/>
            <w:webHidden/>
          </w:rPr>
          <w:tab/>
        </w:r>
        <w:r w:rsidR="00B65A2D">
          <w:rPr>
            <w:noProof/>
            <w:webHidden/>
          </w:rPr>
          <w:fldChar w:fldCharType="begin"/>
        </w:r>
        <w:r w:rsidR="00B65A2D">
          <w:rPr>
            <w:noProof/>
            <w:webHidden/>
          </w:rPr>
          <w:instrText xml:space="preserve"> PAGEREF _Toc41940194 \h </w:instrText>
        </w:r>
        <w:r w:rsidR="00B65A2D">
          <w:rPr>
            <w:noProof/>
            <w:webHidden/>
          </w:rPr>
        </w:r>
        <w:r w:rsidR="00B65A2D">
          <w:rPr>
            <w:noProof/>
            <w:webHidden/>
          </w:rPr>
          <w:fldChar w:fldCharType="separate"/>
        </w:r>
        <w:r w:rsidR="00DE5A2C">
          <w:rPr>
            <w:noProof/>
            <w:webHidden/>
          </w:rPr>
          <w:t>2</w:t>
        </w:r>
        <w:r w:rsidR="00B65A2D">
          <w:rPr>
            <w:noProof/>
            <w:webHidden/>
          </w:rPr>
          <w:fldChar w:fldCharType="end"/>
        </w:r>
      </w:hyperlink>
    </w:p>
    <w:p w14:paraId="31720838" w14:textId="606C8041" w:rsidR="00B65A2D" w:rsidRDefault="0084664F">
      <w:pPr>
        <w:pStyle w:val="TOC2"/>
        <w:tabs>
          <w:tab w:val="right" w:leader="dot" w:pos="9350"/>
        </w:tabs>
        <w:rPr>
          <w:rFonts w:eastAsiaTheme="minorEastAsia"/>
          <w:noProof/>
        </w:rPr>
      </w:pPr>
      <w:hyperlink w:anchor="_Toc41940195" w:history="1">
        <w:r w:rsidR="00B65A2D" w:rsidRPr="00103473">
          <w:rPr>
            <w:rStyle w:val="Hyperlink"/>
            <w:noProof/>
          </w:rPr>
          <w:t>Section 511</w:t>
        </w:r>
        <w:r w:rsidR="00B65A2D">
          <w:rPr>
            <w:noProof/>
            <w:webHidden/>
          </w:rPr>
          <w:tab/>
        </w:r>
        <w:r w:rsidR="00B65A2D">
          <w:rPr>
            <w:noProof/>
            <w:webHidden/>
          </w:rPr>
          <w:fldChar w:fldCharType="begin"/>
        </w:r>
        <w:r w:rsidR="00B65A2D">
          <w:rPr>
            <w:noProof/>
            <w:webHidden/>
          </w:rPr>
          <w:instrText xml:space="preserve"> PAGEREF _Toc41940195 \h </w:instrText>
        </w:r>
        <w:r w:rsidR="00B65A2D">
          <w:rPr>
            <w:noProof/>
            <w:webHidden/>
          </w:rPr>
        </w:r>
        <w:r w:rsidR="00B65A2D">
          <w:rPr>
            <w:noProof/>
            <w:webHidden/>
          </w:rPr>
          <w:fldChar w:fldCharType="separate"/>
        </w:r>
        <w:r w:rsidR="00DE5A2C">
          <w:rPr>
            <w:noProof/>
            <w:webHidden/>
          </w:rPr>
          <w:t>3</w:t>
        </w:r>
        <w:r w:rsidR="00B65A2D">
          <w:rPr>
            <w:noProof/>
            <w:webHidden/>
          </w:rPr>
          <w:fldChar w:fldCharType="end"/>
        </w:r>
      </w:hyperlink>
    </w:p>
    <w:p w14:paraId="7EB21B77" w14:textId="1C6D8ED1" w:rsidR="00B65A2D" w:rsidRDefault="0084664F">
      <w:pPr>
        <w:pStyle w:val="TOC2"/>
        <w:tabs>
          <w:tab w:val="right" w:leader="dot" w:pos="9350"/>
        </w:tabs>
        <w:rPr>
          <w:rFonts w:eastAsiaTheme="minorEastAsia"/>
          <w:noProof/>
        </w:rPr>
      </w:pPr>
      <w:hyperlink w:anchor="_Toc41940196" w:history="1">
        <w:r w:rsidR="00B65A2D" w:rsidRPr="00103473">
          <w:rPr>
            <w:rStyle w:val="Hyperlink"/>
            <w:noProof/>
          </w:rPr>
          <w:t>Common Performance Measures</w:t>
        </w:r>
        <w:r w:rsidR="00B65A2D">
          <w:rPr>
            <w:noProof/>
            <w:webHidden/>
          </w:rPr>
          <w:tab/>
        </w:r>
        <w:r w:rsidR="00B65A2D">
          <w:rPr>
            <w:noProof/>
            <w:webHidden/>
          </w:rPr>
          <w:fldChar w:fldCharType="begin"/>
        </w:r>
        <w:r w:rsidR="00B65A2D">
          <w:rPr>
            <w:noProof/>
            <w:webHidden/>
          </w:rPr>
          <w:instrText xml:space="preserve"> PAGEREF _Toc41940196 \h </w:instrText>
        </w:r>
        <w:r w:rsidR="00B65A2D">
          <w:rPr>
            <w:noProof/>
            <w:webHidden/>
          </w:rPr>
        </w:r>
        <w:r w:rsidR="00B65A2D">
          <w:rPr>
            <w:noProof/>
            <w:webHidden/>
          </w:rPr>
          <w:fldChar w:fldCharType="separate"/>
        </w:r>
        <w:r w:rsidR="00DE5A2C">
          <w:rPr>
            <w:noProof/>
            <w:webHidden/>
          </w:rPr>
          <w:t>4</w:t>
        </w:r>
        <w:r w:rsidR="00B65A2D">
          <w:rPr>
            <w:noProof/>
            <w:webHidden/>
          </w:rPr>
          <w:fldChar w:fldCharType="end"/>
        </w:r>
      </w:hyperlink>
    </w:p>
    <w:p w14:paraId="11D49D3E" w14:textId="28A150DE" w:rsidR="00B65A2D" w:rsidRDefault="0084664F">
      <w:pPr>
        <w:pStyle w:val="TOC2"/>
        <w:tabs>
          <w:tab w:val="right" w:leader="dot" w:pos="9350"/>
        </w:tabs>
        <w:rPr>
          <w:rFonts w:eastAsiaTheme="minorEastAsia"/>
          <w:noProof/>
        </w:rPr>
      </w:pPr>
      <w:hyperlink w:anchor="_Toc41940197" w:history="1">
        <w:r w:rsidR="00B65A2D" w:rsidRPr="00103473">
          <w:rPr>
            <w:rStyle w:val="Hyperlink"/>
            <w:noProof/>
          </w:rPr>
          <w:t>Workforce Integration</w:t>
        </w:r>
        <w:r w:rsidR="00B65A2D">
          <w:rPr>
            <w:noProof/>
            <w:webHidden/>
          </w:rPr>
          <w:tab/>
        </w:r>
        <w:r w:rsidR="00B65A2D">
          <w:rPr>
            <w:noProof/>
            <w:webHidden/>
          </w:rPr>
          <w:fldChar w:fldCharType="begin"/>
        </w:r>
        <w:r w:rsidR="00B65A2D">
          <w:rPr>
            <w:noProof/>
            <w:webHidden/>
          </w:rPr>
          <w:instrText xml:space="preserve"> PAGEREF _Toc41940197 \h </w:instrText>
        </w:r>
        <w:r w:rsidR="00B65A2D">
          <w:rPr>
            <w:noProof/>
            <w:webHidden/>
          </w:rPr>
        </w:r>
        <w:r w:rsidR="00B65A2D">
          <w:rPr>
            <w:noProof/>
            <w:webHidden/>
          </w:rPr>
          <w:fldChar w:fldCharType="separate"/>
        </w:r>
        <w:r w:rsidR="00DE5A2C">
          <w:rPr>
            <w:noProof/>
            <w:webHidden/>
          </w:rPr>
          <w:t>5</w:t>
        </w:r>
        <w:r w:rsidR="00B65A2D">
          <w:rPr>
            <w:noProof/>
            <w:webHidden/>
          </w:rPr>
          <w:fldChar w:fldCharType="end"/>
        </w:r>
      </w:hyperlink>
    </w:p>
    <w:p w14:paraId="24A1147D" w14:textId="7FEFDB64" w:rsidR="00B65A2D" w:rsidRDefault="0084664F">
      <w:pPr>
        <w:pStyle w:val="TOC2"/>
        <w:tabs>
          <w:tab w:val="right" w:leader="dot" w:pos="9350"/>
        </w:tabs>
        <w:rPr>
          <w:rFonts w:eastAsiaTheme="minorEastAsia"/>
          <w:noProof/>
        </w:rPr>
      </w:pPr>
      <w:hyperlink w:anchor="_Toc41940198" w:history="1">
        <w:r w:rsidR="00B65A2D" w:rsidRPr="00103473">
          <w:rPr>
            <w:rStyle w:val="Hyperlink"/>
            <w:noProof/>
          </w:rPr>
          <w:t>CIE and Supported Employment</w:t>
        </w:r>
        <w:r w:rsidR="00B65A2D">
          <w:rPr>
            <w:noProof/>
            <w:webHidden/>
          </w:rPr>
          <w:tab/>
        </w:r>
        <w:r w:rsidR="00B65A2D">
          <w:rPr>
            <w:noProof/>
            <w:webHidden/>
          </w:rPr>
          <w:fldChar w:fldCharType="begin"/>
        </w:r>
        <w:r w:rsidR="00B65A2D">
          <w:rPr>
            <w:noProof/>
            <w:webHidden/>
          </w:rPr>
          <w:instrText xml:space="preserve"> PAGEREF _Toc41940198 \h </w:instrText>
        </w:r>
        <w:r w:rsidR="00B65A2D">
          <w:rPr>
            <w:noProof/>
            <w:webHidden/>
          </w:rPr>
        </w:r>
        <w:r w:rsidR="00B65A2D">
          <w:rPr>
            <w:noProof/>
            <w:webHidden/>
          </w:rPr>
          <w:fldChar w:fldCharType="separate"/>
        </w:r>
        <w:r w:rsidR="00DE5A2C">
          <w:rPr>
            <w:noProof/>
            <w:webHidden/>
          </w:rPr>
          <w:t>6</w:t>
        </w:r>
        <w:r w:rsidR="00B65A2D">
          <w:rPr>
            <w:noProof/>
            <w:webHidden/>
          </w:rPr>
          <w:fldChar w:fldCharType="end"/>
        </w:r>
      </w:hyperlink>
    </w:p>
    <w:p w14:paraId="529BC564" w14:textId="09C3E600" w:rsidR="00B65A2D" w:rsidRDefault="0084664F">
      <w:pPr>
        <w:pStyle w:val="TOC2"/>
        <w:tabs>
          <w:tab w:val="right" w:leader="dot" w:pos="9350"/>
        </w:tabs>
        <w:rPr>
          <w:rFonts w:eastAsiaTheme="minorEastAsia"/>
          <w:noProof/>
        </w:rPr>
      </w:pPr>
      <w:hyperlink w:anchor="_Toc41940199" w:history="1">
        <w:r w:rsidR="00B65A2D" w:rsidRPr="00103473">
          <w:rPr>
            <w:rStyle w:val="Hyperlink"/>
            <w:noProof/>
          </w:rPr>
          <w:t>Customized Employment</w:t>
        </w:r>
        <w:r w:rsidR="00B65A2D">
          <w:rPr>
            <w:noProof/>
            <w:webHidden/>
          </w:rPr>
          <w:tab/>
        </w:r>
        <w:r w:rsidR="00B65A2D">
          <w:rPr>
            <w:noProof/>
            <w:webHidden/>
          </w:rPr>
          <w:fldChar w:fldCharType="begin"/>
        </w:r>
        <w:r w:rsidR="00B65A2D">
          <w:rPr>
            <w:noProof/>
            <w:webHidden/>
          </w:rPr>
          <w:instrText xml:space="preserve"> PAGEREF _Toc41940199 \h </w:instrText>
        </w:r>
        <w:r w:rsidR="00B65A2D">
          <w:rPr>
            <w:noProof/>
            <w:webHidden/>
          </w:rPr>
        </w:r>
        <w:r w:rsidR="00B65A2D">
          <w:rPr>
            <w:noProof/>
            <w:webHidden/>
          </w:rPr>
          <w:fldChar w:fldCharType="separate"/>
        </w:r>
        <w:r w:rsidR="00DE5A2C">
          <w:rPr>
            <w:noProof/>
            <w:webHidden/>
          </w:rPr>
          <w:t>6</w:t>
        </w:r>
        <w:r w:rsidR="00B65A2D">
          <w:rPr>
            <w:noProof/>
            <w:webHidden/>
          </w:rPr>
          <w:fldChar w:fldCharType="end"/>
        </w:r>
      </w:hyperlink>
    </w:p>
    <w:p w14:paraId="3CF08032" w14:textId="37561235" w:rsidR="00B65A2D" w:rsidRDefault="0084664F">
      <w:pPr>
        <w:pStyle w:val="TOC2"/>
        <w:tabs>
          <w:tab w:val="right" w:leader="dot" w:pos="9350"/>
        </w:tabs>
        <w:rPr>
          <w:rFonts w:eastAsiaTheme="minorEastAsia"/>
          <w:noProof/>
        </w:rPr>
      </w:pPr>
      <w:hyperlink w:anchor="_Toc41940200" w:history="1">
        <w:r w:rsidR="00B65A2D" w:rsidRPr="00103473">
          <w:rPr>
            <w:rStyle w:val="Hyperlink"/>
            <w:bCs/>
            <w:noProof/>
          </w:rPr>
          <w:t>SARA Pilots</w:t>
        </w:r>
        <w:r w:rsidR="00B65A2D">
          <w:rPr>
            <w:noProof/>
            <w:webHidden/>
          </w:rPr>
          <w:tab/>
        </w:r>
        <w:r w:rsidR="00B65A2D">
          <w:rPr>
            <w:noProof/>
            <w:webHidden/>
          </w:rPr>
          <w:fldChar w:fldCharType="begin"/>
        </w:r>
        <w:r w:rsidR="00B65A2D">
          <w:rPr>
            <w:noProof/>
            <w:webHidden/>
          </w:rPr>
          <w:instrText xml:space="preserve"> PAGEREF _Toc41940200 \h </w:instrText>
        </w:r>
        <w:r w:rsidR="00B65A2D">
          <w:rPr>
            <w:noProof/>
            <w:webHidden/>
          </w:rPr>
        </w:r>
        <w:r w:rsidR="00B65A2D">
          <w:rPr>
            <w:noProof/>
            <w:webHidden/>
          </w:rPr>
          <w:fldChar w:fldCharType="separate"/>
        </w:r>
        <w:r w:rsidR="00DE5A2C">
          <w:rPr>
            <w:noProof/>
            <w:webHidden/>
          </w:rPr>
          <w:t>7</w:t>
        </w:r>
        <w:r w:rsidR="00B65A2D">
          <w:rPr>
            <w:noProof/>
            <w:webHidden/>
          </w:rPr>
          <w:fldChar w:fldCharType="end"/>
        </w:r>
      </w:hyperlink>
    </w:p>
    <w:p w14:paraId="7172C318" w14:textId="73B26A7C" w:rsidR="00B65A2D" w:rsidRDefault="0084664F">
      <w:pPr>
        <w:pStyle w:val="TOC2"/>
        <w:tabs>
          <w:tab w:val="right" w:leader="dot" w:pos="9350"/>
        </w:tabs>
        <w:rPr>
          <w:rFonts w:eastAsiaTheme="minorEastAsia"/>
          <w:noProof/>
        </w:rPr>
      </w:pPr>
      <w:hyperlink w:anchor="_Toc41940201" w:history="1">
        <w:r w:rsidR="00B65A2D" w:rsidRPr="00103473">
          <w:rPr>
            <w:rStyle w:val="Hyperlink"/>
            <w:noProof/>
          </w:rPr>
          <w:t>TCI+/LMI</w:t>
        </w:r>
        <w:r w:rsidR="00B65A2D">
          <w:rPr>
            <w:noProof/>
            <w:webHidden/>
          </w:rPr>
          <w:tab/>
        </w:r>
        <w:r w:rsidR="00B65A2D">
          <w:rPr>
            <w:noProof/>
            <w:webHidden/>
          </w:rPr>
          <w:fldChar w:fldCharType="begin"/>
        </w:r>
        <w:r w:rsidR="00B65A2D">
          <w:rPr>
            <w:noProof/>
            <w:webHidden/>
          </w:rPr>
          <w:instrText xml:space="preserve"> PAGEREF _Toc41940201 \h </w:instrText>
        </w:r>
        <w:r w:rsidR="00B65A2D">
          <w:rPr>
            <w:noProof/>
            <w:webHidden/>
          </w:rPr>
        </w:r>
        <w:r w:rsidR="00B65A2D">
          <w:rPr>
            <w:noProof/>
            <w:webHidden/>
          </w:rPr>
          <w:fldChar w:fldCharType="separate"/>
        </w:r>
        <w:r w:rsidR="00DE5A2C">
          <w:rPr>
            <w:noProof/>
            <w:webHidden/>
          </w:rPr>
          <w:t>8</w:t>
        </w:r>
        <w:r w:rsidR="00B65A2D">
          <w:rPr>
            <w:noProof/>
            <w:webHidden/>
          </w:rPr>
          <w:fldChar w:fldCharType="end"/>
        </w:r>
      </w:hyperlink>
    </w:p>
    <w:p w14:paraId="5AB3741E" w14:textId="46A3B66F" w:rsidR="00B65A2D" w:rsidRDefault="0084664F">
      <w:pPr>
        <w:pStyle w:val="TOC2"/>
        <w:tabs>
          <w:tab w:val="right" w:leader="dot" w:pos="9350"/>
        </w:tabs>
        <w:rPr>
          <w:rFonts w:eastAsiaTheme="minorEastAsia"/>
          <w:noProof/>
        </w:rPr>
      </w:pPr>
      <w:hyperlink w:anchor="_Toc41940202" w:history="1">
        <w:r w:rsidR="00B65A2D" w:rsidRPr="00103473">
          <w:rPr>
            <w:rStyle w:val="Hyperlink"/>
            <w:noProof/>
          </w:rPr>
          <w:t>Peer Mentoring</w:t>
        </w:r>
        <w:r w:rsidR="00B65A2D">
          <w:rPr>
            <w:noProof/>
            <w:webHidden/>
          </w:rPr>
          <w:tab/>
        </w:r>
        <w:r w:rsidR="00B65A2D">
          <w:rPr>
            <w:noProof/>
            <w:webHidden/>
          </w:rPr>
          <w:fldChar w:fldCharType="begin"/>
        </w:r>
        <w:r w:rsidR="00B65A2D">
          <w:rPr>
            <w:noProof/>
            <w:webHidden/>
          </w:rPr>
          <w:instrText xml:space="preserve"> PAGEREF _Toc41940202 \h </w:instrText>
        </w:r>
        <w:r w:rsidR="00B65A2D">
          <w:rPr>
            <w:noProof/>
            <w:webHidden/>
          </w:rPr>
        </w:r>
        <w:r w:rsidR="00B65A2D">
          <w:rPr>
            <w:noProof/>
            <w:webHidden/>
          </w:rPr>
          <w:fldChar w:fldCharType="separate"/>
        </w:r>
        <w:r w:rsidR="00DE5A2C">
          <w:rPr>
            <w:noProof/>
            <w:webHidden/>
          </w:rPr>
          <w:t>10</w:t>
        </w:r>
        <w:r w:rsidR="00B65A2D">
          <w:rPr>
            <w:noProof/>
            <w:webHidden/>
          </w:rPr>
          <w:fldChar w:fldCharType="end"/>
        </w:r>
      </w:hyperlink>
    </w:p>
    <w:p w14:paraId="317A7B3D" w14:textId="7377EAA9" w:rsidR="00B65A2D" w:rsidRDefault="0084664F">
      <w:pPr>
        <w:pStyle w:val="TOC2"/>
        <w:tabs>
          <w:tab w:val="right" w:leader="dot" w:pos="9350"/>
        </w:tabs>
        <w:rPr>
          <w:rFonts w:eastAsiaTheme="minorEastAsia"/>
          <w:noProof/>
        </w:rPr>
      </w:pPr>
      <w:hyperlink w:anchor="_Toc41940203" w:history="1">
        <w:r w:rsidR="00B65A2D" w:rsidRPr="00103473">
          <w:rPr>
            <w:rStyle w:val="Hyperlink"/>
            <w:noProof/>
          </w:rPr>
          <w:t>Business Engagement</w:t>
        </w:r>
        <w:r w:rsidR="00B65A2D">
          <w:rPr>
            <w:noProof/>
            <w:webHidden/>
          </w:rPr>
          <w:tab/>
        </w:r>
        <w:r w:rsidR="00B65A2D">
          <w:rPr>
            <w:noProof/>
            <w:webHidden/>
          </w:rPr>
          <w:fldChar w:fldCharType="begin"/>
        </w:r>
        <w:r w:rsidR="00B65A2D">
          <w:rPr>
            <w:noProof/>
            <w:webHidden/>
          </w:rPr>
          <w:instrText xml:space="preserve"> PAGEREF _Toc41940203 \h </w:instrText>
        </w:r>
        <w:r w:rsidR="00B65A2D">
          <w:rPr>
            <w:noProof/>
            <w:webHidden/>
          </w:rPr>
        </w:r>
        <w:r w:rsidR="00B65A2D">
          <w:rPr>
            <w:noProof/>
            <w:webHidden/>
          </w:rPr>
          <w:fldChar w:fldCharType="separate"/>
        </w:r>
        <w:r w:rsidR="00DE5A2C">
          <w:rPr>
            <w:noProof/>
            <w:webHidden/>
          </w:rPr>
          <w:t>10</w:t>
        </w:r>
        <w:r w:rsidR="00B65A2D">
          <w:rPr>
            <w:noProof/>
            <w:webHidden/>
          </w:rPr>
          <w:fldChar w:fldCharType="end"/>
        </w:r>
      </w:hyperlink>
    </w:p>
    <w:p w14:paraId="42D6B2EB" w14:textId="6C176542" w:rsidR="00B65A2D" w:rsidRDefault="0084664F">
      <w:pPr>
        <w:pStyle w:val="TOC2"/>
        <w:tabs>
          <w:tab w:val="right" w:leader="dot" w:pos="9350"/>
        </w:tabs>
        <w:rPr>
          <w:rFonts w:eastAsiaTheme="minorEastAsia"/>
          <w:noProof/>
        </w:rPr>
      </w:pPr>
      <w:hyperlink w:anchor="_Toc41940204" w:history="1">
        <w:r w:rsidR="00B65A2D" w:rsidRPr="00103473">
          <w:rPr>
            <w:rStyle w:val="Hyperlink"/>
            <w:noProof/>
          </w:rPr>
          <w:t>Apprenticeship</w:t>
        </w:r>
        <w:r w:rsidR="00B65A2D">
          <w:rPr>
            <w:noProof/>
            <w:webHidden/>
          </w:rPr>
          <w:tab/>
        </w:r>
        <w:r w:rsidR="00B65A2D">
          <w:rPr>
            <w:noProof/>
            <w:webHidden/>
          </w:rPr>
          <w:fldChar w:fldCharType="begin"/>
        </w:r>
        <w:r w:rsidR="00B65A2D">
          <w:rPr>
            <w:noProof/>
            <w:webHidden/>
          </w:rPr>
          <w:instrText xml:space="preserve"> PAGEREF _Toc41940204 \h </w:instrText>
        </w:r>
        <w:r w:rsidR="00B65A2D">
          <w:rPr>
            <w:noProof/>
            <w:webHidden/>
          </w:rPr>
        </w:r>
        <w:r w:rsidR="00B65A2D">
          <w:rPr>
            <w:noProof/>
            <w:webHidden/>
          </w:rPr>
          <w:fldChar w:fldCharType="separate"/>
        </w:r>
        <w:r w:rsidR="00DE5A2C">
          <w:rPr>
            <w:noProof/>
            <w:webHidden/>
          </w:rPr>
          <w:t>11</w:t>
        </w:r>
        <w:r w:rsidR="00B65A2D">
          <w:rPr>
            <w:noProof/>
            <w:webHidden/>
          </w:rPr>
          <w:fldChar w:fldCharType="end"/>
        </w:r>
      </w:hyperlink>
    </w:p>
    <w:p w14:paraId="419AC075" w14:textId="56FAF9BB" w:rsidR="00B65A2D" w:rsidRDefault="0084664F">
      <w:pPr>
        <w:pStyle w:val="TOC2"/>
        <w:tabs>
          <w:tab w:val="right" w:leader="dot" w:pos="9350"/>
        </w:tabs>
        <w:rPr>
          <w:rFonts w:eastAsiaTheme="minorEastAsia"/>
          <w:noProof/>
        </w:rPr>
      </w:pPr>
      <w:hyperlink w:anchor="_Toc41940205" w:history="1">
        <w:r w:rsidR="00B65A2D" w:rsidRPr="00103473">
          <w:rPr>
            <w:rStyle w:val="Hyperlink"/>
            <w:noProof/>
          </w:rPr>
          <w:t>Conclusions</w:t>
        </w:r>
        <w:r w:rsidR="00B65A2D">
          <w:rPr>
            <w:noProof/>
            <w:webHidden/>
          </w:rPr>
          <w:tab/>
        </w:r>
        <w:r w:rsidR="00B65A2D">
          <w:rPr>
            <w:noProof/>
            <w:webHidden/>
          </w:rPr>
          <w:fldChar w:fldCharType="begin"/>
        </w:r>
        <w:r w:rsidR="00B65A2D">
          <w:rPr>
            <w:noProof/>
            <w:webHidden/>
          </w:rPr>
          <w:instrText xml:space="preserve"> PAGEREF _Toc41940205 \h </w:instrText>
        </w:r>
        <w:r w:rsidR="00B65A2D">
          <w:rPr>
            <w:noProof/>
            <w:webHidden/>
          </w:rPr>
        </w:r>
        <w:r w:rsidR="00B65A2D">
          <w:rPr>
            <w:noProof/>
            <w:webHidden/>
          </w:rPr>
          <w:fldChar w:fldCharType="separate"/>
        </w:r>
        <w:r w:rsidR="00DE5A2C">
          <w:rPr>
            <w:noProof/>
            <w:webHidden/>
          </w:rPr>
          <w:t>12</w:t>
        </w:r>
        <w:r w:rsidR="00B65A2D">
          <w:rPr>
            <w:noProof/>
            <w:webHidden/>
          </w:rPr>
          <w:fldChar w:fldCharType="end"/>
        </w:r>
      </w:hyperlink>
    </w:p>
    <w:p w14:paraId="68D60F3C" w14:textId="670595D5" w:rsidR="00B65A2D" w:rsidRDefault="0084664F" w:rsidP="00B65A2D">
      <w:pPr>
        <w:pStyle w:val="TOC1"/>
        <w:rPr>
          <w:rFonts w:eastAsiaTheme="minorEastAsia"/>
          <w:noProof/>
        </w:rPr>
      </w:pPr>
      <w:hyperlink w:anchor="_Toc41940206" w:history="1">
        <w:r w:rsidR="00B65A2D" w:rsidRPr="00103473">
          <w:rPr>
            <w:rStyle w:val="Hyperlink"/>
            <w:noProof/>
          </w:rPr>
          <w:t>A. Pre -Employment Transition Services</w:t>
        </w:r>
        <w:r w:rsidR="00B65A2D">
          <w:rPr>
            <w:noProof/>
            <w:webHidden/>
          </w:rPr>
          <w:tab/>
        </w:r>
        <w:r w:rsidR="00B65A2D">
          <w:rPr>
            <w:noProof/>
            <w:webHidden/>
          </w:rPr>
          <w:fldChar w:fldCharType="begin"/>
        </w:r>
        <w:r w:rsidR="00B65A2D">
          <w:rPr>
            <w:noProof/>
            <w:webHidden/>
          </w:rPr>
          <w:instrText xml:space="preserve"> PAGEREF _Toc41940206 \h </w:instrText>
        </w:r>
        <w:r w:rsidR="00B65A2D">
          <w:rPr>
            <w:noProof/>
            <w:webHidden/>
          </w:rPr>
        </w:r>
        <w:r w:rsidR="00B65A2D">
          <w:rPr>
            <w:noProof/>
            <w:webHidden/>
          </w:rPr>
          <w:fldChar w:fldCharType="separate"/>
        </w:r>
        <w:r w:rsidR="00DE5A2C">
          <w:rPr>
            <w:noProof/>
            <w:webHidden/>
          </w:rPr>
          <w:t>14</w:t>
        </w:r>
        <w:r w:rsidR="00B65A2D">
          <w:rPr>
            <w:noProof/>
            <w:webHidden/>
          </w:rPr>
          <w:fldChar w:fldCharType="end"/>
        </w:r>
      </w:hyperlink>
    </w:p>
    <w:p w14:paraId="77135C9E" w14:textId="4E35F5CA" w:rsidR="00B65A2D" w:rsidRDefault="0084664F">
      <w:pPr>
        <w:pStyle w:val="TOC2"/>
        <w:tabs>
          <w:tab w:val="right" w:leader="dot" w:pos="9350"/>
        </w:tabs>
        <w:rPr>
          <w:rFonts w:eastAsiaTheme="minorEastAsia"/>
          <w:noProof/>
        </w:rPr>
      </w:pPr>
      <w:hyperlink w:anchor="_Toc41940207" w:history="1">
        <w:r w:rsidR="00B65A2D" w:rsidRPr="00103473">
          <w:rPr>
            <w:rStyle w:val="Hyperlink"/>
            <w:noProof/>
          </w:rPr>
          <w:t>Pre-ETS – ITA Logic Model</w:t>
        </w:r>
        <w:r w:rsidR="00B65A2D">
          <w:rPr>
            <w:noProof/>
            <w:webHidden/>
          </w:rPr>
          <w:tab/>
        </w:r>
        <w:r w:rsidR="00B65A2D">
          <w:rPr>
            <w:noProof/>
            <w:webHidden/>
          </w:rPr>
          <w:fldChar w:fldCharType="begin"/>
        </w:r>
        <w:r w:rsidR="00B65A2D">
          <w:rPr>
            <w:noProof/>
            <w:webHidden/>
          </w:rPr>
          <w:instrText xml:space="preserve"> PAGEREF _Toc41940207 \h </w:instrText>
        </w:r>
        <w:r w:rsidR="00B65A2D">
          <w:rPr>
            <w:noProof/>
            <w:webHidden/>
          </w:rPr>
        </w:r>
        <w:r w:rsidR="00B65A2D">
          <w:rPr>
            <w:noProof/>
            <w:webHidden/>
          </w:rPr>
          <w:fldChar w:fldCharType="separate"/>
        </w:r>
        <w:r w:rsidR="00DE5A2C">
          <w:rPr>
            <w:noProof/>
            <w:webHidden/>
          </w:rPr>
          <w:t>15</w:t>
        </w:r>
        <w:r w:rsidR="00B65A2D">
          <w:rPr>
            <w:noProof/>
            <w:webHidden/>
          </w:rPr>
          <w:fldChar w:fldCharType="end"/>
        </w:r>
      </w:hyperlink>
    </w:p>
    <w:p w14:paraId="3CD501D9" w14:textId="6A94F0FF" w:rsidR="00B65A2D" w:rsidRDefault="0084664F">
      <w:pPr>
        <w:pStyle w:val="TOC2"/>
        <w:tabs>
          <w:tab w:val="right" w:leader="dot" w:pos="9350"/>
        </w:tabs>
        <w:rPr>
          <w:rFonts w:eastAsiaTheme="minorEastAsia"/>
          <w:noProof/>
        </w:rPr>
      </w:pPr>
      <w:hyperlink w:anchor="_Toc41940208" w:history="1">
        <w:r w:rsidR="00B65A2D" w:rsidRPr="00103473">
          <w:rPr>
            <w:rStyle w:val="Hyperlink"/>
            <w:noProof/>
          </w:rPr>
          <w:t>Pre-ETS: Activities &amp; Outputs Progress Dashboards</w:t>
        </w:r>
        <w:r w:rsidR="00B65A2D">
          <w:rPr>
            <w:noProof/>
            <w:webHidden/>
          </w:rPr>
          <w:tab/>
        </w:r>
        <w:r w:rsidR="00B65A2D">
          <w:rPr>
            <w:noProof/>
            <w:webHidden/>
          </w:rPr>
          <w:fldChar w:fldCharType="begin"/>
        </w:r>
        <w:r w:rsidR="00B65A2D">
          <w:rPr>
            <w:noProof/>
            <w:webHidden/>
          </w:rPr>
          <w:instrText xml:space="preserve"> PAGEREF _Toc41940208 \h </w:instrText>
        </w:r>
        <w:r w:rsidR="00B65A2D">
          <w:rPr>
            <w:noProof/>
            <w:webHidden/>
          </w:rPr>
        </w:r>
        <w:r w:rsidR="00B65A2D">
          <w:rPr>
            <w:noProof/>
            <w:webHidden/>
          </w:rPr>
          <w:fldChar w:fldCharType="separate"/>
        </w:r>
        <w:r w:rsidR="00DE5A2C">
          <w:rPr>
            <w:noProof/>
            <w:webHidden/>
          </w:rPr>
          <w:t>16</w:t>
        </w:r>
        <w:r w:rsidR="00B65A2D">
          <w:rPr>
            <w:noProof/>
            <w:webHidden/>
          </w:rPr>
          <w:fldChar w:fldCharType="end"/>
        </w:r>
      </w:hyperlink>
    </w:p>
    <w:p w14:paraId="52B4C3C3" w14:textId="483FF68F" w:rsidR="00B65A2D" w:rsidRDefault="0084664F">
      <w:pPr>
        <w:pStyle w:val="TOC2"/>
        <w:tabs>
          <w:tab w:val="right" w:leader="dot" w:pos="9350"/>
        </w:tabs>
        <w:rPr>
          <w:rFonts w:eastAsiaTheme="minorEastAsia"/>
          <w:noProof/>
        </w:rPr>
      </w:pPr>
      <w:hyperlink w:anchor="_Toc41940209" w:history="1">
        <w:r w:rsidR="00B65A2D" w:rsidRPr="00103473">
          <w:rPr>
            <w:rStyle w:val="Hyperlink"/>
            <w:noProof/>
          </w:rPr>
          <w:t>Pre-ETS: Outcomes Progress Dashboards</w:t>
        </w:r>
        <w:r w:rsidR="00B65A2D">
          <w:rPr>
            <w:noProof/>
            <w:webHidden/>
          </w:rPr>
          <w:tab/>
        </w:r>
        <w:r w:rsidR="00B65A2D">
          <w:rPr>
            <w:noProof/>
            <w:webHidden/>
          </w:rPr>
          <w:fldChar w:fldCharType="begin"/>
        </w:r>
        <w:r w:rsidR="00B65A2D">
          <w:rPr>
            <w:noProof/>
            <w:webHidden/>
          </w:rPr>
          <w:instrText xml:space="preserve"> PAGEREF _Toc41940209 \h </w:instrText>
        </w:r>
        <w:r w:rsidR="00B65A2D">
          <w:rPr>
            <w:noProof/>
            <w:webHidden/>
          </w:rPr>
        </w:r>
        <w:r w:rsidR="00B65A2D">
          <w:rPr>
            <w:noProof/>
            <w:webHidden/>
          </w:rPr>
          <w:fldChar w:fldCharType="separate"/>
        </w:r>
        <w:r w:rsidR="00DE5A2C">
          <w:rPr>
            <w:noProof/>
            <w:webHidden/>
          </w:rPr>
          <w:t>23</w:t>
        </w:r>
        <w:r w:rsidR="00B65A2D">
          <w:rPr>
            <w:noProof/>
            <w:webHidden/>
          </w:rPr>
          <w:fldChar w:fldCharType="end"/>
        </w:r>
      </w:hyperlink>
    </w:p>
    <w:p w14:paraId="7BC6F930" w14:textId="076FA58B" w:rsidR="00B65A2D" w:rsidRDefault="0084664F">
      <w:pPr>
        <w:pStyle w:val="TOC2"/>
        <w:tabs>
          <w:tab w:val="right" w:leader="dot" w:pos="9350"/>
        </w:tabs>
        <w:rPr>
          <w:rFonts w:eastAsiaTheme="minorEastAsia"/>
          <w:noProof/>
        </w:rPr>
      </w:pPr>
      <w:hyperlink w:anchor="_Toc41940210" w:history="1">
        <w:r w:rsidR="00B65A2D" w:rsidRPr="00103473">
          <w:rPr>
            <w:rStyle w:val="Hyperlink"/>
            <w:noProof/>
          </w:rPr>
          <w:t>Pre-ETS ITAs: Resources</w:t>
        </w:r>
        <w:r w:rsidR="00B65A2D">
          <w:rPr>
            <w:noProof/>
            <w:webHidden/>
          </w:rPr>
          <w:tab/>
        </w:r>
        <w:r w:rsidR="00B65A2D">
          <w:rPr>
            <w:noProof/>
            <w:webHidden/>
          </w:rPr>
          <w:fldChar w:fldCharType="begin"/>
        </w:r>
        <w:r w:rsidR="00B65A2D">
          <w:rPr>
            <w:noProof/>
            <w:webHidden/>
          </w:rPr>
          <w:instrText xml:space="preserve"> PAGEREF _Toc41940210 \h </w:instrText>
        </w:r>
        <w:r w:rsidR="00B65A2D">
          <w:rPr>
            <w:noProof/>
            <w:webHidden/>
          </w:rPr>
        </w:r>
        <w:r w:rsidR="00B65A2D">
          <w:rPr>
            <w:noProof/>
            <w:webHidden/>
          </w:rPr>
          <w:fldChar w:fldCharType="separate"/>
        </w:r>
        <w:r w:rsidR="00DE5A2C">
          <w:rPr>
            <w:noProof/>
            <w:webHidden/>
          </w:rPr>
          <w:t>24</w:t>
        </w:r>
        <w:r w:rsidR="00B65A2D">
          <w:rPr>
            <w:noProof/>
            <w:webHidden/>
          </w:rPr>
          <w:fldChar w:fldCharType="end"/>
        </w:r>
      </w:hyperlink>
    </w:p>
    <w:p w14:paraId="1B528F1D" w14:textId="51A6DA50" w:rsidR="00B65A2D" w:rsidRDefault="0084664F">
      <w:pPr>
        <w:pStyle w:val="TOC2"/>
        <w:tabs>
          <w:tab w:val="right" w:leader="dot" w:pos="9350"/>
        </w:tabs>
        <w:rPr>
          <w:rFonts w:eastAsiaTheme="minorEastAsia"/>
          <w:noProof/>
        </w:rPr>
      </w:pPr>
      <w:hyperlink w:anchor="_Toc41940211" w:history="1">
        <w:r w:rsidR="00B65A2D" w:rsidRPr="00103473">
          <w:rPr>
            <w:rStyle w:val="Hyperlink"/>
            <w:noProof/>
          </w:rPr>
          <w:t>Pre-ETS ITAs: Progress Narrative</w:t>
        </w:r>
        <w:r w:rsidR="00B65A2D">
          <w:rPr>
            <w:noProof/>
            <w:webHidden/>
          </w:rPr>
          <w:tab/>
        </w:r>
        <w:r w:rsidR="00B65A2D">
          <w:rPr>
            <w:noProof/>
            <w:webHidden/>
          </w:rPr>
          <w:fldChar w:fldCharType="begin"/>
        </w:r>
        <w:r w:rsidR="00B65A2D">
          <w:rPr>
            <w:noProof/>
            <w:webHidden/>
          </w:rPr>
          <w:instrText xml:space="preserve"> PAGEREF _Toc41940211 \h </w:instrText>
        </w:r>
        <w:r w:rsidR="00B65A2D">
          <w:rPr>
            <w:noProof/>
            <w:webHidden/>
          </w:rPr>
        </w:r>
        <w:r w:rsidR="00B65A2D">
          <w:rPr>
            <w:noProof/>
            <w:webHidden/>
          </w:rPr>
          <w:fldChar w:fldCharType="separate"/>
        </w:r>
        <w:r w:rsidR="00DE5A2C">
          <w:rPr>
            <w:noProof/>
            <w:webHidden/>
          </w:rPr>
          <w:t>27</w:t>
        </w:r>
        <w:r w:rsidR="00B65A2D">
          <w:rPr>
            <w:noProof/>
            <w:webHidden/>
          </w:rPr>
          <w:fldChar w:fldCharType="end"/>
        </w:r>
      </w:hyperlink>
    </w:p>
    <w:p w14:paraId="49491BEF" w14:textId="17283259" w:rsidR="00B65A2D" w:rsidRDefault="0084664F">
      <w:pPr>
        <w:pStyle w:val="TOC3"/>
        <w:tabs>
          <w:tab w:val="right" w:leader="dot" w:pos="9350"/>
        </w:tabs>
        <w:rPr>
          <w:rFonts w:eastAsiaTheme="minorEastAsia"/>
          <w:noProof/>
        </w:rPr>
      </w:pPr>
      <w:hyperlink w:anchor="_Toc41940212" w:history="1">
        <w:r w:rsidR="00B65A2D" w:rsidRPr="00103473">
          <w:rPr>
            <w:rStyle w:val="Hyperlink"/>
            <w:noProof/>
          </w:rPr>
          <w:t>National Lens</w:t>
        </w:r>
        <w:r w:rsidR="00B65A2D">
          <w:rPr>
            <w:noProof/>
            <w:webHidden/>
          </w:rPr>
          <w:tab/>
        </w:r>
        <w:r w:rsidR="00B65A2D">
          <w:rPr>
            <w:noProof/>
            <w:webHidden/>
          </w:rPr>
          <w:fldChar w:fldCharType="begin"/>
        </w:r>
        <w:r w:rsidR="00B65A2D">
          <w:rPr>
            <w:noProof/>
            <w:webHidden/>
          </w:rPr>
          <w:instrText xml:space="preserve"> PAGEREF _Toc41940212 \h </w:instrText>
        </w:r>
        <w:r w:rsidR="00B65A2D">
          <w:rPr>
            <w:noProof/>
            <w:webHidden/>
          </w:rPr>
        </w:r>
        <w:r w:rsidR="00B65A2D">
          <w:rPr>
            <w:noProof/>
            <w:webHidden/>
          </w:rPr>
          <w:fldChar w:fldCharType="separate"/>
        </w:r>
        <w:r w:rsidR="00DE5A2C">
          <w:rPr>
            <w:noProof/>
            <w:webHidden/>
          </w:rPr>
          <w:t>27</w:t>
        </w:r>
        <w:r w:rsidR="00B65A2D">
          <w:rPr>
            <w:noProof/>
            <w:webHidden/>
          </w:rPr>
          <w:fldChar w:fldCharType="end"/>
        </w:r>
      </w:hyperlink>
    </w:p>
    <w:p w14:paraId="14C175D8" w14:textId="7ABB1A81" w:rsidR="00B65A2D" w:rsidRDefault="0084664F">
      <w:pPr>
        <w:pStyle w:val="TOC3"/>
        <w:tabs>
          <w:tab w:val="right" w:leader="dot" w:pos="9350"/>
        </w:tabs>
        <w:rPr>
          <w:rFonts w:eastAsiaTheme="minorEastAsia"/>
          <w:noProof/>
        </w:rPr>
      </w:pPr>
      <w:hyperlink w:anchor="_Toc41940213" w:history="1">
        <w:r w:rsidR="00B65A2D" w:rsidRPr="00103473">
          <w:rPr>
            <w:rStyle w:val="Hyperlink"/>
            <w:noProof/>
          </w:rPr>
          <w:t>WINTAC Lens</w:t>
        </w:r>
        <w:r w:rsidR="00B65A2D">
          <w:rPr>
            <w:noProof/>
            <w:webHidden/>
          </w:rPr>
          <w:tab/>
        </w:r>
        <w:r w:rsidR="00B65A2D">
          <w:rPr>
            <w:noProof/>
            <w:webHidden/>
          </w:rPr>
          <w:fldChar w:fldCharType="begin"/>
        </w:r>
        <w:r w:rsidR="00B65A2D">
          <w:rPr>
            <w:noProof/>
            <w:webHidden/>
          </w:rPr>
          <w:instrText xml:space="preserve"> PAGEREF _Toc41940213 \h </w:instrText>
        </w:r>
        <w:r w:rsidR="00B65A2D">
          <w:rPr>
            <w:noProof/>
            <w:webHidden/>
          </w:rPr>
        </w:r>
        <w:r w:rsidR="00B65A2D">
          <w:rPr>
            <w:noProof/>
            <w:webHidden/>
          </w:rPr>
          <w:fldChar w:fldCharType="separate"/>
        </w:r>
        <w:r w:rsidR="00DE5A2C">
          <w:rPr>
            <w:noProof/>
            <w:webHidden/>
          </w:rPr>
          <w:t>28</w:t>
        </w:r>
        <w:r w:rsidR="00B65A2D">
          <w:rPr>
            <w:noProof/>
            <w:webHidden/>
          </w:rPr>
          <w:fldChar w:fldCharType="end"/>
        </w:r>
      </w:hyperlink>
    </w:p>
    <w:p w14:paraId="5CD2A706" w14:textId="28A51BFE" w:rsidR="00B65A2D" w:rsidRDefault="0084664F" w:rsidP="00B65A2D">
      <w:pPr>
        <w:pStyle w:val="TOC1"/>
        <w:rPr>
          <w:rFonts w:eastAsiaTheme="minorEastAsia"/>
          <w:noProof/>
        </w:rPr>
      </w:pPr>
      <w:hyperlink w:anchor="_Toc41940214" w:history="1">
        <w:r w:rsidR="00B65A2D" w:rsidRPr="00103473">
          <w:rPr>
            <w:rStyle w:val="Hyperlink"/>
            <w:noProof/>
          </w:rPr>
          <w:t>B. Section 511</w:t>
        </w:r>
        <w:r w:rsidR="00B65A2D">
          <w:rPr>
            <w:noProof/>
            <w:webHidden/>
          </w:rPr>
          <w:tab/>
        </w:r>
        <w:r w:rsidR="00B65A2D">
          <w:rPr>
            <w:noProof/>
            <w:webHidden/>
          </w:rPr>
          <w:fldChar w:fldCharType="begin"/>
        </w:r>
        <w:r w:rsidR="00B65A2D">
          <w:rPr>
            <w:noProof/>
            <w:webHidden/>
          </w:rPr>
          <w:instrText xml:space="preserve"> PAGEREF _Toc41940214 \h </w:instrText>
        </w:r>
        <w:r w:rsidR="00B65A2D">
          <w:rPr>
            <w:noProof/>
            <w:webHidden/>
          </w:rPr>
        </w:r>
        <w:r w:rsidR="00B65A2D">
          <w:rPr>
            <w:noProof/>
            <w:webHidden/>
          </w:rPr>
          <w:fldChar w:fldCharType="separate"/>
        </w:r>
        <w:r w:rsidR="00DE5A2C">
          <w:rPr>
            <w:noProof/>
            <w:webHidden/>
          </w:rPr>
          <w:t>34</w:t>
        </w:r>
        <w:r w:rsidR="00B65A2D">
          <w:rPr>
            <w:noProof/>
            <w:webHidden/>
          </w:rPr>
          <w:fldChar w:fldCharType="end"/>
        </w:r>
      </w:hyperlink>
    </w:p>
    <w:p w14:paraId="185E7CEE" w14:textId="7B9604F8" w:rsidR="00B65A2D" w:rsidRDefault="0084664F">
      <w:pPr>
        <w:pStyle w:val="TOC2"/>
        <w:tabs>
          <w:tab w:val="right" w:leader="dot" w:pos="9350"/>
        </w:tabs>
        <w:rPr>
          <w:rFonts w:eastAsiaTheme="minorEastAsia"/>
          <w:noProof/>
        </w:rPr>
      </w:pPr>
      <w:hyperlink w:anchor="_Toc41940215" w:history="1">
        <w:r w:rsidR="00B65A2D" w:rsidRPr="00103473">
          <w:rPr>
            <w:rStyle w:val="Hyperlink"/>
            <w:noProof/>
          </w:rPr>
          <w:t>Section 511 – ITA Logic Model</w:t>
        </w:r>
        <w:r w:rsidR="00B65A2D">
          <w:rPr>
            <w:noProof/>
            <w:webHidden/>
          </w:rPr>
          <w:tab/>
        </w:r>
        <w:r w:rsidR="00B65A2D">
          <w:rPr>
            <w:noProof/>
            <w:webHidden/>
          </w:rPr>
          <w:fldChar w:fldCharType="begin"/>
        </w:r>
        <w:r w:rsidR="00B65A2D">
          <w:rPr>
            <w:noProof/>
            <w:webHidden/>
          </w:rPr>
          <w:instrText xml:space="preserve"> PAGEREF _Toc41940215 \h </w:instrText>
        </w:r>
        <w:r w:rsidR="00B65A2D">
          <w:rPr>
            <w:noProof/>
            <w:webHidden/>
          </w:rPr>
        </w:r>
        <w:r w:rsidR="00B65A2D">
          <w:rPr>
            <w:noProof/>
            <w:webHidden/>
          </w:rPr>
          <w:fldChar w:fldCharType="separate"/>
        </w:r>
        <w:r w:rsidR="00DE5A2C">
          <w:rPr>
            <w:noProof/>
            <w:webHidden/>
          </w:rPr>
          <w:t>35</w:t>
        </w:r>
        <w:r w:rsidR="00B65A2D">
          <w:rPr>
            <w:noProof/>
            <w:webHidden/>
          </w:rPr>
          <w:fldChar w:fldCharType="end"/>
        </w:r>
      </w:hyperlink>
    </w:p>
    <w:p w14:paraId="7BEB7193" w14:textId="30960609" w:rsidR="00B65A2D" w:rsidRDefault="0084664F">
      <w:pPr>
        <w:pStyle w:val="TOC2"/>
        <w:tabs>
          <w:tab w:val="right" w:leader="dot" w:pos="9350"/>
        </w:tabs>
        <w:rPr>
          <w:rFonts w:eastAsiaTheme="minorEastAsia"/>
          <w:noProof/>
        </w:rPr>
      </w:pPr>
      <w:hyperlink w:anchor="_Toc41940216" w:history="1">
        <w:r w:rsidR="00B65A2D" w:rsidRPr="00103473">
          <w:rPr>
            <w:rStyle w:val="Hyperlink"/>
            <w:noProof/>
          </w:rPr>
          <w:t>Section 511: Activities &amp; Outputs Progress Dashboards</w:t>
        </w:r>
        <w:r w:rsidR="00B65A2D">
          <w:rPr>
            <w:noProof/>
            <w:webHidden/>
          </w:rPr>
          <w:tab/>
        </w:r>
        <w:r w:rsidR="00B65A2D">
          <w:rPr>
            <w:noProof/>
            <w:webHidden/>
          </w:rPr>
          <w:fldChar w:fldCharType="begin"/>
        </w:r>
        <w:r w:rsidR="00B65A2D">
          <w:rPr>
            <w:noProof/>
            <w:webHidden/>
          </w:rPr>
          <w:instrText xml:space="preserve"> PAGEREF _Toc41940216 \h </w:instrText>
        </w:r>
        <w:r w:rsidR="00B65A2D">
          <w:rPr>
            <w:noProof/>
            <w:webHidden/>
          </w:rPr>
        </w:r>
        <w:r w:rsidR="00B65A2D">
          <w:rPr>
            <w:noProof/>
            <w:webHidden/>
          </w:rPr>
          <w:fldChar w:fldCharType="separate"/>
        </w:r>
        <w:r w:rsidR="00DE5A2C">
          <w:rPr>
            <w:noProof/>
            <w:webHidden/>
          </w:rPr>
          <w:t>36</w:t>
        </w:r>
        <w:r w:rsidR="00B65A2D">
          <w:rPr>
            <w:noProof/>
            <w:webHidden/>
          </w:rPr>
          <w:fldChar w:fldCharType="end"/>
        </w:r>
      </w:hyperlink>
    </w:p>
    <w:p w14:paraId="127120AC" w14:textId="6AD3BA0F" w:rsidR="00B65A2D" w:rsidRDefault="0084664F">
      <w:pPr>
        <w:pStyle w:val="TOC2"/>
        <w:tabs>
          <w:tab w:val="right" w:leader="dot" w:pos="9350"/>
        </w:tabs>
        <w:rPr>
          <w:rFonts w:eastAsiaTheme="minorEastAsia"/>
          <w:noProof/>
        </w:rPr>
      </w:pPr>
      <w:hyperlink w:anchor="_Toc41940217" w:history="1">
        <w:r w:rsidR="00B65A2D" w:rsidRPr="00103473">
          <w:rPr>
            <w:rStyle w:val="Hyperlink"/>
            <w:noProof/>
          </w:rPr>
          <w:t>Section 511: Outcomes Progress Dashboards</w:t>
        </w:r>
        <w:r w:rsidR="00B65A2D">
          <w:rPr>
            <w:noProof/>
            <w:webHidden/>
          </w:rPr>
          <w:tab/>
        </w:r>
        <w:r w:rsidR="00B65A2D">
          <w:rPr>
            <w:noProof/>
            <w:webHidden/>
          </w:rPr>
          <w:fldChar w:fldCharType="begin"/>
        </w:r>
        <w:r w:rsidR="00B65A2D">
          <w:rPr>
            <w:noProof/>
            <w:webHidden/>
          </w:rPr>
          <w:instrText xml:space="preserve"> PAGEREF _Toc41940217 \h </w:instrText>
        </w:r>
        <w:r w:rsidR="00B65A2D">
          <w:rPr>
            <w:noProof/>
            <w:webHidden/>
          </w:rPr>
        </w:r>
        <w:r w:rsidR="00B65A2D">
          <w:rPr>
            <w:noProof/>
            <w:webHidden/>
          </w:rPr>
          <w:fldChar w:fldCharType="separate"/>
        </w:r>
        <w:r w:rsidR="00DE5A2C">
          <w:rPr>
            <w:noProof/>
            <w:webHidden/>
          </w:rPr>
          <w:t>40</w:t>
        </w:r>
        <w:r w:rsidR="00B65A2D">
          <w:rPr>
            <w:noProof/>
            <w:webHidden/>
          </w:rPr>
          <w:fldChar w:fldCharType="end"/>
        </w:r>
      </w:hyperlink>
    </w:p>
    <w:p w14:paraId="18FF1B29" w14:textId="2939E9C2" w:rsidR="00B65A2D" w:rsidRDefault="0084664F">
      <w:pPr>
        <w:pStyle w:val="TOC2"/>
        <w:tabs>
          <w:tab w:val="right" w:leader="dot" w:pos="9350"/>
        </w:tabs>
        <w:rPr>
          <w:rFonts w:eastAsiaTheme="minorEastAsia"/>
          <w:noProof/>
        </w:rPr>
      </w:pPr>
      <w:hyperlink w:anchor="_Toc41940218" w:history="1">
        <w:r w:rsidR="00B65A2D" w:rsidRPr="00103473">
          <w:rPr>
            <w:rStyle w:val="Hyperlink"/>
            <w:noProof/>
          </w:rPr>
          <w:t>Consumer Data: Services And Outcomes</w:t>
        </w:r>
        <w:r w:rsidR="00B65A2D">
          <w:rPr>
            <w:noProof/>
            <w:webHidden/>
          </w:rPr>
          <w:tab/>
        </w:r>
        <w:r w:rsidR="00B65A2D">
          <w:rPr>
            <w:noProof/>
            <w:webHidden/>
          </w:rPr>
          <w:fldChar w:fldCharType="begin"/>
        </w:r>
        <w:r w:rsidR="00B65A2D">
          <w:rPr>
            <w:noProof/>
            <w:webHidden/>
          </w:rPr>
          <w:instrText xml:space="preserve"> PAGEREF _Toc41940218 \h </w:instrText>
        </w:r>
        <w:r w:rsidR="00B65A2D">
          <w:rPr>
            <w:noProof/>
            <w:webHidden/>
          </w:rPr>
        </w:r>
        <w:r w:rsidR="00B65A2D">
          <w:rPr>
            <w:noProof/>
            <w:webHidden/>
          </w:rPr>
          <w:fldChar w:fldCharType="separate"/>
        </w:r>
        <w:r w:rsidR="00DE5A2C">
          <w:rPr>
            <w:noProof/>
            <w:webHidden/>
          </w:rPr>
          <w:t>41</w:t>
        </w:r>
        <w:r w:rsidR="00B65A2D">
          <w:rPr>
            <w:noProof/>
            <w:webHidden/>
          </w:rPr>
          <w:fldChar w:fldCharType="end"/>
        </w:r>
      </w:hyperlink>
    </w:p>
    <w:p w14:paraId="0DC1C1F9" w14:textId="284048F4" w:rsidR="00B65A2D" w:rsidRDefault="0084664F">
      <w:pPr>
        <w:pStyle w:val="TOC2"/>
        <w:tabs>
          <w:tab w:val="right" w:leader="dot" w:pos="9350"/>
        </w:tabs>
        <w:rPr>
          <w:rFonts w:eastAsiaTheme="minorEastAsia"/>
          <w:noProof/>
        </w:rPr>
      </w:pPr>
      <w:hyperlink w:anchor="_Toc41940219" w:history="1">
        <w:r w:rsidR="00B65A2D" w:rsidRPr="00103473">
          <w:rPr>
            <w:rStyle w:val="Hyperlink"/>
            <w:noProof/>
          </w:rPr>
          <w:t>Section 511 ITAs: Resources</w:t>
        </w:r>
        <w:r w:rsidR="00B65A2D">
          <w:rPr>
            <w:noProof/>
            <w:webHidden/>
          </w:rPr>
          <w:tab/>
        </w:r>
        <w:r w:rsidR="00B65A2D">
          <w:rPr>
            <w:noProof/>
            <w:webHidden/>
          </w:rPr>
          <w:fldChar w:fldCharType="begin"/>
        </w:r>
        <w:r w:rsidR="00B65A2D">
          <w:rPr>
            <w:noProof/>
            <w:webHidden/>
          </w:rPr>
          <w:instrText xml:space="preserve"> PAGEREF _Toc41940219 \h </w:instrText>
        </w:r>
        <w:r w:rsidR="00B65A2D">
          <w:rPr>
            <w:noProof/>
            <w:webHidden/>
          </w:rPr>
        </w:r>
        <w:r w:rsidR="00B65A2D">
          <w:rPr>
            <w:noProof/>
            <w:webHidden/>
          </w:rPr>
          <w:fldChar w:fldCharType="separate"/>
        </w:r>
        <w:r w:rsidR="00DE5A2C">
          <w:rPr>
            <w:noProof/>
            <w:webHidden/>
          </w:rPr>
          <w:t>43</w:t>
        </w:r>
        <w:r w:rsidR="00B65A2D">
          <w:rPr>
            <w:noProof/>
            <w:webHidden/>
          </w:rPr>
          <w:fldChar w:fldCharType="end"/>
        </w:r>
      </w:hyperlink>
    </w:p>
    <w:p w14:paraId="5D3B2B45" w14:textId="179ABF70" w:rsidR="00B65A2D" w:rsidRDefault="0084664F">
      <w:pPr>
        <w:pStyle w:val="TOC2"/>
        <w:tabs>
          <w:tab w:val="right" w:leader="dot" w:pos="9350"/>
        </w:tabs>
        <w:rPr>
          <w:rFonts w:eastAsiaTheme="minorEastAsia"/>
          <w:noProof/>
        </w:rPr>
      </w:pPr>
      <w:hyperlink w:anchor="_Toc41940220" w:history="1">
        <w:r w:rsidR="00B65A2D" w:rsidRPr="00103473">
          <w:rPr>
            <w:rStyle w:val="Hyperlink"/>
            <w:caps/>
            <w:noProof/>
          </w:rPr>
          <w:t>Section 511</w:t>
        </w:r>
        <w:r w:rsidR="00B65A2D" w:rsidRPr="00103473">
          <w:rPr>
            <w:rStyle w:val="Hyperlink"/>
            <w:noProof/>
          </w:rPr>
          <w:t xml:space="preserve"> ITAs: Progress Narrative</w:t>
        </w:r>
        <w:r w:rsidR="00B65A2D">
          <w:rPr>
            <w:noProof/>
            <w:webHidden/>
          </w:rPr>
          <w:tab/>
        </w:r>
        <w:r w:rsidR="00B65A2D">
          <w:rPr>
            <w:noProof/>
            <w:webHidden/>
          </w:rPr>
          <w:fldChar w:fldCharType="begin"/>
        </w:r>
        <w:r w:rsidR="00B65A2D">
          <w:rPr>
            <w:noProof/>
            <w:webHidden/>
          </w:rPr>
          <w:instrText xml:space="preserve"> PAGEREF _Toc41940220 \h </w:instrText>
        </w:r>
        <w:r w:rsidR="00B65A2D">
          <w:rPr>
            <w:noProof/>
            <w:webHidden/>
          </w:rPr>
        </w:r>
        <w:r w:rsidR="00B65A2D">
          <w:rPr>
            <w:noProof/>
            <w:webHidden/>
          </w:rPr>
          <w:fldChar w:fldCharType="separate"/>
        </w:r>
        <w:r w:rsidR="00DE5A2C">
          <w:rPr>
            <w:noProof/>
            <w:webHidden/>
          </w:rPr>
          <w:t>44</w:t>
        </w:r>
        <w:r w:rsidR="00B65A2D">
          <w:rPr>
            <w:noProof/>
            <w:webHidden/>
          </w:rPr>
          <w:fldChar w:fldCharType="end"/>
        </w:r>
      </w:hyperlink>
    </w:p>
    <w:p w14:paraId="41F7F0A6" w14:textId="20911EF4" w:rsidR="00B65A2D" w:rsidRDefault="0084664F">
      <w:pPr>
        <w:pStyle w:val="TOC3"/>
        <w:tabs>
          <w:tab w:val="right" w:leader="dot" w:pos="9350"/>
        </w:tabs>
        <w:rPr>
          <w:rFonts w:eastAsiaTheme="minorEastAsia"/>
          <w:noProof/>
        </w:rPr>
      </w:pPr>
      <w:hyperlink w:anchor="_Toc41940221" w:history="1">
        <w:r w:rsidR="00B65A2D" w:rsidRPr="00103473">
          <w:rPr>
            <w:rStyle w:val="Hyperlink"/>
            <w:noProof/>
          </w:rPr>
          <w:t>National Lens</w:t>
        </w:r>
        <w:r w:rsidR="00B65A2D">
          <w:rPr>
            <w:noProof/>
            <w:webHidden/>
          </w:rPr>
          <w:tab/>
        </w:r>
        <w:r w:rsidR="00B65A2D">
          <w:rPr>
            <w:noProof/>
            <w:webHidden/>
          </w:rPr>
          <w:fldChar w:fldCharType="begin"/>
        </w:r>
        <w:r w:rsidR="00B65A2D">
          <w:rPr>
            <w:noProof/>
            <w:webHidden/>
          </w:rPr>
          <w:instrText xml:space="preserve"> PAGEREF _Toc41940221 \h </w:instrText>
        </w:r>
        <w:r w:rsidR="00B65A2D">
          <w:rPr>
            <w:noProof/>
            <w:webHidden/>
          </w:rPr>
        </w:r>
        <w:r w:rsidR="00B65A2D">
          <w:rPr>
            <w:noProof/>
            <w:webHidden/>
          </w:rPr>
          <w:fldChar w:fldCharType="separate"/>
        </w:r>
        <w:r w:rsidR="00DE5A2C">
          <w:rPr>
            <w:noProof/>
            <w:webHidden/>
          </w:rPr>
          <w:t>44</w:t>
        </w:r>
        <w:r w:rsidR="00B65A2D">
          <w:rPr>
            <w:noProof/>
            <w:webHidden/>
          </w:rPr>
          <w:fldChar w:fldCharType="end"/>
        </w:r>
      </w:hyperlink>
    </w:p>
    <w:p w14:paraId="5FD7F070" w14:textId="66924B20" w:rsidR="00B65A2D" w:rsidRDefault="0084664F">
      <w:pPr>
        <w:pStyle w:val="TOC3"/>
        <w:tabs>
          <w:tab w:val="right" w:leader="dot" w:pos="9350"/>
        </w:tabs>
        <w:rPr>
          <w:rFonts w:eastAsiaTheme="minorEastAsia"/>
          <w:noProof/>
        </w:rPr>
      </w:pPr>
      <w:hyperlink w:anchor="_Toc41940222" w:history="1">
        <w:r w:rsidR="00B65A2D" w:rsidRPr="00103473">
          <w:rPr>
            <w:rStyle w:val="Hyperlink"/>
            <w:noProof/>
          </w:rPr>
          <w:t>WINTAC Lens</w:t>
        </w:r>
        <w:r w:rsidR="00B65A2D">
          <w:rPr>
            <w:noProof/>
            <w:webHidden/>
          </w:rPr>
          <w:tab/>
        </w:r>
        <w:r w:rsidR="00B65A2D">
          <w:rPr>
            <w:noProof/>
            <w:webHidden/>
          </w:rPr>
          <w:fldChar w:fldCharType="begin"/>
        </w:r>
        <w:r w:rsidR="00B65A2D">
          <w:rPr>
            <w:noProof/>
            <w:webHidden/>
          </w:rPr>
          <w:instrText xml:space="preserve"> PAGEREF _Toc41940222 \h </w:instrText>
        </w:r>
        <w:r w:rsidR="00B65A2D">
          <w:rPr>
            <w:noProof/>
            <w:webHidden/>
          </w:rPr>
        </w:r>
        <w:r w:rsidR="00B65A2D">
          <w:rPr>
            <w:noProof/>
            <w:webHidden/>
          </w:rPr>
          <w:fldChar w:fldCharType="separate"/>
        </w:r>
        <w:r w:rsidR="00DE5A2C">
          <w:rPr>
            <w:noProof/>
            <w:webHidden/>
          </w:rPr>
          <w:t>44</w:t>
        </w:r>
        <w:r w:rsidR="00B65A2D">
          <w:rPr>
            <w:noProof/>
            <w:webHidden/>
          </w:rPr>
          <w:fldChar w:fldCharType="end"/>
        </w:r>
      </w:hyperlink>
    </w:p>
    <w:p w14:paraId="7A2FD43F" w14:textId="0F8EEBE7" w:rsidR="00B65A2D" w:rsidRDefault="0084664F" w:rsidP="00B65A2D">
      <w:pPr>
        <w:pStyle w:val="TOC1"/>
        <w:rPr>
          <w:rFonts w:eastAsiaTheme="minorEastAsia"/>
          <w:noProof/>
        </w:rPr>
      </w:pPr>
      <w:hyperlink w:anchor="_Toc41940223" w:history="1">
        <w:r w:rsidR="00B65A2D" w:rsidRPr="00103473">
          <w:rPr>
            <w:rStyle w:val="Hyperlink"/>
            <w:caps/>
            <w:noProof/>
          </w:rPr>
          <w:t>C. Common Performance Measures</w:t>
        </w:r>
        <w:r w:rsidR="00B65A2D">
          <w:rPr>
            <w:noProof/>
            <w:webHidden/>
          </w:rPr>
          <w:tab/>
        </w:r>
        <w:r w:rsidR="00B65A2D">
          <w:rPr>
            <w:noProof/>
            <w:webHidden/>
          </w:rPr>
          <w:fldChar w:fldCharType="begin"/>
        </w:r>
        <w:r w:rsidR="00B65A2D">
          <w:rPr>
            <w:noProof/>
            <w:webHidden/>
          </w:rPr>
          <w:instrText xml:space="preserve"> PAGEREF _Toc41940223 \h </w:instrText>
        </w:r>
        <w:r w:rsidR="00B65A2D">
          <w:rPr>
            <w:noProof/>
            <w:webHidden/>
          </w:rPr>
        </w:r>
        <w:r w:rsidR="00B65A2D">
          <w:rPr>
            <w:noProof/>
            <w:webHidden/>
          </w:rPr>
          <w:fldChar w:fldCharType="separate"/>
        </w:r>
        <w:r w:rsidR="00DE5A2C">
          <w:rPr>
            <w:noProof/>
            <w:webHidden/>
          </w:rPr>
          <w:t>47</w:t>
        </w:r>
        <w:r w:rsidR="00B65A2D">
          <w:rPr>
            <w:noProof/>
            <w:webHidden/>
          </w:rPr>
          <w:fldChar w:fldCharType="end"/>
        </w:r>
      </w:hyperlink>
    </w:p>
    <w:p w14:paraId="17EE73BE" w14:textId="14100173" w:rsidR="00B65A2D" w:rsidRDefault="0084664F">
      <w:pPr>
        <w:pStyle w:val="TOC2"/>
        <w:tabs>
          <w:tab w:val="right" w:leader="dot" w:pos="9350"/>
        </w:tabs>
        <w:rPr>
          <w:rFonts w:eastAsiaTheme="minorEastAsia"/>
          <w:noProof/>
        </w:rPr>
      </w:pPr>
      <w:hyperlink w:anchor="_Toc41940224" w:history="1">
        <w:r w:rsidR="00B65A2D" w:rsidRPr="00103473">
          <w:rPr>
            <w:rStyle w:val="Hyperlink"/>
            <w:noProof/>
          </w:rPr>
          <w:t>CPMs – ITA Logic Model</w:t>
        </w:r>
        <w:r w:rsidR="00B65A2D">
          <w:rPr>
            <w:noProof/>
            <w:webHidden/>
          </w:rPr>
          <w:tab/>
        </w:r>
        <w:r w:rsidR="00B65A2D">
          <w:rPr>
            <w:noProof/>
            <w:webHidden/>
          </w:rPr>
          <w:fldChar w:fldCharType="begin"/>
        </w:r>
        <w:r w:rsidR="00B65A2D">
          <w:rPr>
            <w:noProof/>
            <w:webHidden/>
          </w:rPr>
          <w:instrText xml:space="preserve"> PAGEREF _Toc41940224 \h </w:instrText>
        </w:r>
        <w:r w:rsidR="00B65A2D">
          <w:rPr>
            <w:noProof/>
            <w:webHidden/>
          </w:rPr>
        </w:r>
        <w:r w:rsidR="00B65A2D">
          <w:rPr>
            <w:noProof/>
            <w:webHidden/>
          </w:rPr>
          <w:fldChar w:fldCharType="separate"/>
        </w:r>
        <w:r w:rsidR="00DE5A2C">
          <w:rPr>
            <w:noProof/>
            <w:webHidden/>
          </w:rPr>
          <w:t>48</w:t>
        </w:r>
        <w:r w:rsidR="00B65A2D">
          <w:rPr>
            <w:noProof/>
            <w:webHidden/>
          </w:rPr>
          <w:fldChar w:fldCharType="end"/>
        </w:r>
      </w:hyperlink>
    </w:p>
    <w:p w14:paraId="31DB076E" w14:textId="36A72C52" w:rsidR="00B65A2D" w:rsidRDefault="0084664F">
      <w:pPr>
        <w:pStyle w:val="TOC2"/>
        <w:tabs>
          <w:tab w:val="right" w:leader="dot" w:pos="9350"/>
        </w:tabs>
        <w:rPr>
          <w:rFonts w:eastAsiaTheme="minorEastAsia"/>
          <w:noProof/>
        </w:rPr>
      </w:pPr>
      <w:hyperlink w:anchor="_Toc41940225" w:history="1">
        <w:r w:rsidR="00B65A2D" w:rsidRPr="00103473">
          <w:rPr>
            <w:rStyle w:val="Hyperlink"/>
            <w:noProof/>
          </w:rPr>
          <w:t>CPMs: Activities &amp; Outputs Progress Dashboards</w:t>
        </w:r>
        <w:r w:rsidR="00B65A2D">
          <w:rPr>
            <w:noProof/>
            <w:webHidden/>
          </w:rPr>
          <w:tab/>
        </w:r>
        <w:r w:rsidR="00B65A2D">
          <w:rPr>
            <w:noProof/>
            <w:webHidden/>
          </w:rPr>
          <w:fldChar w:fldCharType="begin"/>
        </w:r>
        <w:r w:rsidR="00B65A2D">
          <w:rPr>
            <w:noProof/>
            <w:webHidden/>
          </w:rPr>
          <w:instrText xml:space="preserve"> PAGEREF _Toc41940225 \h </w:instrText>
        </w:r>
        <w:r w:rsidR="00B65A2D">
          <w:rPr>
            <w:noProof/>
            <w:webHidden/>
          </w:rPr>
        </w:r>
        <w:r w:rsidR="00B65A2D">
          <w:rPr>
            <w:noProof/>
            <w:webHidden/>
          </w:rPr>
          <w:fldChar w:fldCharType="separate"/>
        </w:r>
        <w:r w:rsidR="00DE5A2C">
          <w:rPr>
            <w:noProof/>
            <w:webHidden/>
          </w:rPr>
          <w:t>49</w:t>
        </w:r>
        <w:r w:rsidR="00B65A2D">
          <w:rPr>
            <w:noProof/>
            <w:webHidden/>
          </w:rPr>
          <w:fldChar w:fldCharType="end"/>
        </w:r>
      </w:hyperlink>
    </w:p>
    <w:p w14:paraId="3AB8E4C6" w14:textId="5655FF3F" w:rsidR="00B65A2D" w:rsidRDefault="0084664F">
      <w:pPr>
        <w:pStyle w:val="TOC2"/>
        <w:tabs>
          <w:tab w:val="right" w:leader="dot" w:pos="9350"/>
        </w:tabs>
        <w:rPr>
          <w:rFonts w:eastAsiaTheme="minorEastAsia"/>
          <w:noProof/>
        </w:rPr>
      </w:pPr>
      <w:hyperlink w:anchor="_Toc41940226" w:history="1">
        <w:r w:rsidR="00B65A2D" w:rsidRPr="00103473">
          <w:rPr>
            <w:rStyle w:val="Hyperlink"/>
            <w:noProof/>
          </w:rPr>
          <w:t>CPMs ITAs: Resources</w:t>
        </w:r>
        <w:r w:rsidR="00B65A2D">
          <w:rPr>
            <w:noProof/>
            <w:webHidden/>
          </w:rPr>
          <w:tab/>
        </w:r>
        <w:r w:rsidR="00B65A2D">
          <w:rPr>
            <w:noProof/>
            <w:webHidden/>
          </w:rPr>
          <w:fldChar w:fldCharType="begin"/>
        </w:r>
        <w:r w:rsidR="00B65A2D">
          <w:rPr>
            <w:noProof/>
            <w:webHidden/>
          </w:rPr>
          <w:instrText xml:space="preserve"> PAGEREF _Toc41940226 \h </w:instrText>
        </w:r>
        <w:r w:rsidR="00B65A2D">
          <w:rPr>
            <w:noProof/>
            <w:webHidden/>
          </w:rPr>
        </w:r>
        <w:r w:rsidR="00B65A2D">
          <w:rPr>
            <w:noProof/>
            <w:webHidden/>
          </w:rPr>
          <w:fldChar w:fldCharType="separate"/>
        </w:r>
        <w:r w:rsidR="00DE5A2C">
          <w:rPr>
            <w:noProof/>
            <w:webHidden/>
          </w:rPr>
          <w:t>55</w:t>
        </w:r>
        <w:r w:rsidR="00B65A2D">
          <w:rPr>
            <w:noProof/>
            <w:webHidden/>
          </w:rPr>
          <w:fldChar w:fldCharType="end"/>
        </w:r>
      </w:hyperlink>
    </w:p>
    <w:p w14:paraId="622D434A" w14:textId="4B2231EE" w:rsidR="00B65A2D" w:rsidRDefault="0084664F">
      <w:pPr>
        <w:pStyle w:val="TOC2"/>
        <w:tabs>
          <w:tab w:val="right" w:leader="dot" w:pos="9350"/>
        </w:tabs>
        <w:rPr>
          <w:rFonts w:eastAsiaTheme="minorEastAsia"/>
          <w:noProof/>
        </w:rPr>
      </w:pPr>
      <w:hyperlink w:anchor="_Toc41940227" w:history="1">
        <w:r w:rsidR="00B65A2D" w:rsidRPr="00103473">
          <w:rPr>
            <w:rStyle w:val="Hyperlink"/>
            <w:noProof/>
          </w:rPr>
          <w:t>CPMs ITAs: Progress Narrative</w:t>
        </w:r>
        <w:r w:rsidR="00B65A2D">
          <w:rPr>
            <w:noProof/>
            <w:webHidden/>
          </w:rPr>
          <w:tab/>
        </w:r>
        <w:r w:rsidR="00B65A2D">
          <w:rPr>
            <w:noProof/>
            <w:webHidden/>
          </w:rPr>
          <w:fldChar w:fldCharType="begin"/>
        </w:r>
        <w:r w:rsidR="00B65A2D">
          <w:rPr>
            <w:noProof/>
            <w:webHidden/>
          </w:rPr>
          <w:instrText xml:space="preserve"> PAGEREF _Toc41940227 \h </w:instrText>
        </w:r>
        <w:r w:rsidR="00B65A2D">
          <w:rPr>
            <w:noProof/>
            <w:webHidden/>
          </w:rPr>
        </w:r>
        <w:r w:rsidR="00B65A2D">
          <w:rPr>
            <w:noProof/>
            <w:webHidden/>
          </w:rPr>
          <w:fldChar w:fldCharType="separate"/>
        </w:r>
        <w:r w:rsidR="00DE5A2C">
          <w:rPr>
            <w:noProof/>
            <w:webHidden/>
          </w:rPr>
          <w:t>60</w:t>
        </w:r>
        <w:r w:rsidR="00B65A2D">
          <w:rPr>
            <w:noProof/>
            <w:webHidden/>
          </w:rPr>
          <w:fldChar w:fldCharType="end"/>
        </w:r>
      </w:hyperlink>
    </w:p>
    <w:p w14:paraId="7D7B5308" w14:textId="7925165A" w:rsidR="00B65A2D" w:rsidRDefault="0084664F">
      <w:pPr>
        <w:pStyle w:val="TOC3"/>
        <w:tabs>
          <w:tab w:val="right" w:leader="dot" w:pos="9350"/>
        </w:tabs>
        <w:rPr>
          <w:rFonts w:eastAsiaTheme="minorEastAsia"/>
          <w:noProof/>
        </w:rPr>
      </w:pPr>
      <w:hyperlink w:anchor="_Toc41940228" w:history="1">
        <w:r w:rsidR="00B65A2D" w:rsidRPr="00103473">
          <w:rPr>
            <w:rStyle w:val="Hyperlink"/>
            <w:noProof/>
          </w:rPr>
          <w:t>National Lens</w:t>
        </w:r>
        <w:r w:rsidR="00B65A2D">
          <w:rPr>
            <w:noProof/>
            <w:webHidden/>
          </w:rPr>
          <w:tab/>
        </w:r>
        <w:r w:rsidR="00B65A2D">
          <w:rPr>
            <w:noProof/>
            <w:webHidden/>
          </w:rPr>
          <w:fldChar w:fldCharType="begin"/>
        </w:r>
        <w:r w:rsidR="00B65A2D">
          <w:rPr>
            <w:noProof/>
            <w:webHidden/>
          </w:rPr>
          <w:instrText xml:space="preserve"> PAGEREF _Toc41940228 \h </w:instrText>
        </w:r>
        <w:r w:rsidR="00B65A2D">
          <w:rPr>
            <w:noProof/>
            <w:webHidden/>
          </w:rPr>
        </w:r>
        <w:r w:rsidR="00B65A2D">
          <w:rPr>
            <w:noProof/>
            <w:webHidden/>
          </w:rPr>
          <w:fldChar w:fldCharType="separate"/>
        </w:r>
        <w:r w:rsidR="00DE5A2C">
          <w:rPr>
            <w:noProof/>
            <w:webHidden/>
          </w:rPr>
          <w:t>60</w:t>
        </w:r>
        <w:r w:rsidR="00B65A2D">
          <w:rPr>
            <w:noProof/>
            <w:webHidden/>
          </w:rPr>
          <w:fldChar w:fldCharType="end"/>
        </w:r>
      </w:hyperlink>
    </w:p>
    <w:p w14:paraId="7F2D6259" w14:textId="47FAC4B0" w:rsidR="00B65A2D" w:rsidRDefault="0084664F">
      <w:pPr>
        <w:pStyle w:val="TOC3"/>
        <w:tabs>
          <w:tab w:val="right" w:leader="dot" w:pos="9350"/>
        </w:tabs>
        <w:rPr>
          <w:rFonts w:eastAsiaTheme="minorEastAsia"/>
          <w:noProof/>
        </w:rPr>
      </w:pPr>
      <w:hyperlink w:anchor="_Toc41940229" w:history="1">
        <w:r w:rsidR="00B65A2D" w:rsidRPr="00103473">
          <w:rPr>
            <w:rStyle w:val="Hyperlink"/>
            <w:noProof/>
          </w:rPr>
          <w:t>WINTAC Lens</w:t>
        </w:r>
        <w:r w:rsidR="00B65A2D">
          <w:rPr>
            <w:noProof/>
            <w:webHidden/>
          </w:rPr>
          <w:tab/>
        </w:r>
        <w:r w:rsidR="00B65A2D">
          <w:rPr>
            <w:noProof/>
            <w:webHidden/>
          </w:rPr>
          <w:fldChar w:fldCharType="begin"/>
        </w:r>
        <w:r w:rsidR="00B65A2D">
          <w:rPr>
            <w:noProof/>
            <w:webHidden/>
          </w:rPr>
          <w:instrText xml:space="preserve"> PAGEREF _Toc41940229 \h </w:instrText>
        </w:r>
        <w:r w:rsidR="00B65A2D">
          <w:rPr>
            <w:noProof/>
            <w:webHidden/>
          </w:rPr>
        </w:r>
        <w:r w:rsidR="00B65A2D">
          <w:rPr>
            <w:noProof/>
            <w:webHidden/>
          </w:rPr>
          <w:fldChar w:fldCharType="separate"/>
        </w:r>
        <w:r w:rsidR="00DE5A2C">
          <w:rPr>
            <w:noProof/>
            <w:webHidden/>
          </w:rPr>
          <w:t>60</w:t>
        </w:r>
        <w:r w:rsidR="00B65A2D">
          <w:rPr>
            <w:noProof/>
            <w:webHidden/>
          </w:rPr>
          <w:fldChar w:fldCharType="end"/>
        </w:r>
      </w:hyperlink>
    </w:p>
    <w:p w14:paraId="0B22E7B2" w14:textId="2ADA7B19" w:rsidR="00B65A2D" w:rsidRDefault="0084664F" w:rsidP="00B65A2D">
      <w:pPr>
        <w:pStyle w:val="TOC1"/>
        <w:rPr>
          <w:rFonts w:eastAsiaTheme="minorEastAsia"/>
          <w:noProof/>
        </w:rPr>
      </w:pPr>
      <w:hyperlink w:anchor="_Toc41940230" w:history="1">
        <w:r w:rsidR="00B65A2D" w:rsidRPr="00103473">
          <w:rPr>
            <w:rStyle w:val="Hyperlink"/>
            <w:noProof/>
          </w:rPr>
          <w:t>D. WORKFORCE INTEGRATION</w:t>
        </w:r>
        <w:r w:rsidR="00B65A2D">
          <w:rPr>
            <w:noProof/>
            <w:webHidden/>
          </w:rPr>
          <w:tab/>
        </w:r>
        <w:r w:rsidR="00B65A2D">
          <w:rPr>
            <w:noProof/>
            <w:webHidden/>
          </w:rPr>
          <w:fldChar w:fldCharType="begin"/>
        </w:r>
        <w:r w:rsidR="00B65A2D">
          <w:rPr>
            <w:noProof/>
            <w:webHidden/>
          </w:rPr>
          <w:instrText xml:space="preserve"> PAGEREF _Toc41940230 \h </w:instrText>
        </w:r>
        <w:r w:rsidR="00B65A2D">
          <w:rPr>
            <w:noProof/>
            <w:webHidden/>
          </w:rPr>
        </w:r>
        <w:r w:rsidR="00B65A2D">
          <w:rPr>
            <w:noProof/>
            <w:webHidden/>
          </w:rPr>
          <w:fldChar w:fldCharType="separate"/>
        </w:r>
        <w:r w:rsidR="00DE5A2C">
          <w:rPr>
            <w:noProof/>
            <w:webHidden/>
          </w:rPr>
          <w:t>64</w:t>
        </w:r>
        <w:r w:rsidR="00B65A2D">
          <w:rPr>
            <w:noProof/>
            <w:webHidden/>
          </w:rPr>
          <w:fldChar w:fldCharType="end"/>
        </w:r>
      </w:hyperlink>
    </w:p>
    <w:p w14:paraId="551F58C7" w14:textId="1E3DB91E" w:rsidR="00B65A2D" w:rsidRDefault="0084664F">
      <w:pPr>
        <w:pStyle w:val="TOC2"/>
        <w:tabs>
          <w:tab w:val="right" w:leader="dot" w:pos="9350"/>
        </w:tabs>
        <w:rPr>
          <w:rFonts w:eastAsiaTheme="minorEastAsia"/>
          <w:noProof/>
        </w:rPr>
      </w:pPr>
      <w:hyperlink w:anchor="_Toc41940231" w:history="1">
        <w:r w:rsidR="00B65A2D" w:rsidRPr="00103473">
          <w:rPr>
            <w:rStyle w:val="Hyperlink"/>
            <w:noProof/>
          </w:rPr>
          <w:t>Workforce Integration – ITA Logic Model</w:t>
        </w:r>
        <w:r w:rsidR="00B65A2D">
          <w:rPr>
            <w:noProof/>
            <w:webHidden/>
          </w:rPr>
          <w:tab/>
        </w:r>
        <w:r w:rsidR="00B65A2D">
          <w:rPr>
            <w:noProof/>
            <w:webHidden/>
          </w:rPr>
          <w:fldChar w:fldCharType="begin"/>
        </w:r>
        <w:r w:rsidR="00B65A2D">
          <w:rPr>
            <w:noProof/>
            <w:webHidden/>
          </w:rPr>
          <w:instrText xml:space="preserve"> PAGEREF _Toc41940231 \h </w:instrText>
        </w:r>
        <w:r w:rsidR="00B65A2D">
          <w:rPr>
            <w:noProof/>
            <w:webHidden/>
          </w:rPr>
        </w:r>
        <w:r w:rsidR="00B65A2D">
          <w:rPr>
            <w:noProof/>
            <w:webHidden/>
          </w:rPr>
          <w:fldChar w:fldCharType="separate"/>
        </w:r>
        <w:r w:rsidR="00DE5A2C">
          <w:rPr>
            <w:noProof/>
            <w:webHidden/>
          </w:rPr>
          <w:t>65</w:t>
        </w:r>
        <w:r w:rsidR="00B65A2D">
          <w:rPr>
            <w:noProof/>
            <w:webHidden/>
          </w:rPr>
          <w:fldChar w:fldCharType="end"/>
        </w:r>
      </w:hyperlink>
    </w:p>
    <w:p w14:paraId="2E9D9E37" w14:textId="5453253C" w:rsidR="00B65A2D" w:rsidRDefault="0084664F">
      <w:pPr>
        <w:pStyle w:val="TOC2"/>
        <w:tabs>
          <w:tab w:val="right" w:leader="dot" w:pos="9350"/>
        </w:tabs>
        <w:rPr>
          <w:rFonts w:eastAsiaTheme="minorEastAsia"/>
          <w:noProof/>
        </w:rPr>
      </w:pPr>
      <w:hyperlink w:anchor="_Toc41940232" w:history="1">
        <w:r w:rsidR="00B65A2D" w:rsidRPr="00103473">
          <w:rPr>
            <w:rStyle w:val="Hyperlink"/>
            <w:noProof/>
          </w:rPr>
          <w:t>Integration : Activities &amp; Outputs Progress Dashboards</w:t>
        </w:r>
        <w:r w:rsidR="00B65A2D">
          <w:rPr>
            <w:noProof/>
            <w:webHidden/>
          </w:rPr>
          <w:tab/>
        </w:r>
        <w:r w:rsidR="00B65A2D">
          <w:rPr>
            <w:noProof/>
            <w:webHidden/>
          </w:rPr>
          <w:fldChar w:fldCharType="begin"/>
        </w:r>
        <w:r w:rsidR="00B65A2D">
          <w:rPr>
            <w:noProof/>
            <w:webHidden/>
          </w:rPr>
          <w:instrText xml:space="preserve"> PAGEREF _Toc41940232 \h </w:instrText>
        </w:r>
        <w:r w:rsidR="00B65A2D">
          <w:rPr>
            <w:noProof/>
            <w:webHidden/>
          </w:rPr>
        </w:r>
        <w:r w:rsidR="00B65A2D">
          <w:rPr>
            <w:noProof/>
            <w:webHidden/>
          </w:rPr>
          <w:fldChar w:fldCharType="separate"/>
        </w:r>
        <w:r w:rsidR="00DE5A2C">
          <w:rPr>
            <w:noProof/>
            <w:webHidden/>
          </w:rPr>
          <w:t>67</w:t>
        </w:r>
        <w:r w:rsidR="00B65A2D">
          <w:rPr>
            <w:noProof/>
            <w:webHidden/>
          </w:rPr>
          <w:fldChar w:fldCharType="end"/>
        </w:r>
      </w:hyperlink>
    </w:p>
    <w:p w14:paraId="6FCB683D" w14:textId="66B3778D" w:rsidR="00B65A2D" w:rsidRDefault="0084664F">
      <w:pPr>
        <w:pStyle w:val="TOC2"/>
        <w:tabs>
          <w:tab w:val="right" w:leader="dot" w:pos="9350"/>
        </w:tabs>
        <w:rPr>
          <w:rFonts w:eastAsiaTheme="minorEastAsia"/>
          <w:noProof/>
        </w:rPr>
      </w:pPr>
      <w:hyperlink w:anchor="_Toc41940233" w:history="1">
        <w:r w:rsidR="00B65A2D" w:rsidRPr="00103473">
          <w:rPr>
            <w:rStyle w:val="Hyperlink"/>
            <w:noProof/>
          </w:rPr>
          <w:t>Workforce Integration: Outcomes Progress Dashboards</w:t>
        </w:r>
        <w:r w:rsidR="00B65A2D">
          <w:rPr>
            <w:noProof/>
            <w:webHidden/>
          </w:rPr>
          <w:tab/>
        </w:r>
        <w:r w:rsidR="00B65A2D">
          <w:rPr>
            <w:noProof/>
            <w:webHidden/>
          </w:rPr>
          <w:fldChar w:fldCharType="begin"/>
        </w:r>
        <w:r w:rsidR="00B65A2D">
          <w:rPr>
            <w:noProof/>
            <w:webHidden/>
          </w:rPr>
          <w:instrText xml:space="preserve"> PAGEREF _Toc41940233 \h </w:instrText>
        </w:r>
        <w:r w:rsidR="00B65A2D">
          <w:rPr>
            <w:noProof/>
            <w:webHidden/>
          </w:rPr>
        </w:r>
        <w:r w:rsidR="00B65A2D">
          <w:rPr>
            <w:noProof/>
            <w:webHidden/>
          </w:rPr>
          <w:fldChar w:fldCharType="separate"/>
        </w:r>
        <w:r w:rsidR="00DE5A2C">
          <w:rPr>
            <w:noProof/>
            <w:webHidden/>
          </w:rPr>
          <w:t>74</w:t>
        </w:r>
        <w:r w:rsidR="00B65A2D">
          <w:rPr>
            <w:noProof/>
            <w:webHidden/>
          </w:rPr>
          <w:fldChar w:fldCharType="end"/>
        </w:r>
      </w:hyperlink>
    </w:p>
    <w:p w14:paraId="696AD834" w14:textId="7049A8FE" w:rsidR="00B65A2D" w:rsidRDefault="0084664F">
      <w:pPr>
        <w:pStyle w:val="TOC2"/>
        <w:tabs>
          <w:tab w:val="right" w:leader="dot" w:pos="9350"/>
        </w:tabs>
        <w:rPr>
          <w:rFonts w:eastAsiaTheme="minorEastAsia"/>
          <w:noProof/>
        </w:rPr>
      </w:pPr>
      <w:hyperlink w:anchor="_Toc41940234" w:history="1">
        <w:r w:rsidR="00B65A2D" w:rsidRPr="00103473">
          <w:rPr>
            <w:rStyle w:val="Hyperlink"/>
            <w:noProof/>
          </w:rPr>
          <w:t>Workforce Integration ITAs: Resources</w:t>
        </w:r>
        <w:r w:rsidR="00B65A2D">
          <w:rPr>
            <w:noProof/>
            <w:webHidden/>
          </w:rPr>
          <w:tab/>
        </w:r>
        <w:r w:rsidR="00B65A2D">
          <w:rPr>
            <w:noProof/>
            <w:webHidden/>
          </w:rPr>
          <w:fldChar w:fldCharType="begin"/>
        </w:r>
        <w:r w:rsidR="00B65A2D">
          <w:rPr>
            <w:noProof/>
            <w:webHidden/>
          </w:rPr>
          <w:instrText xml:space="preserve"> PAGEREF _Toc41940234 \h </w:instrText>
        </w:r>
        <w:r w:rsidR="00B65A2D">
          <w:rPr>
            <w:noProof/>
            <w:webHidden/>
          </w:rPr>
        </w:r>
        <w:r w:rsidR="00B65A2D">
          <w:rPr>
            <w:noProof/>
            <w:webHidden/>
          </w:rPr>
          <w:fldChar w:fldCharType="separate"/>
        </w:r>
        <w:r w:rsidR="00DE5A2C">
          <w:rPr>
            <w:noProof/>
            <w:webHidden/>
          </w:rPr>
          <w:t>76</w:t>
        </w:r>
        <w:r w:rsidR="00B65A2D">
          <w:rPr>
            <w:noProof/>
            <w:webHidden/>
          </w:rPr>
          <w:fldChar w:fldCharType="end"/>
        </w:r>
      </w:hyperlink>
    </w:p>
    <w:p w14:paraId="42F54065" w14:textId="741C8FBD" w:rsidR="00B65A2D" w:rsidRDefault="0084664F">
      <w:pPr>
        <w:pStyle w:val="TOC2"/>
        <w:tabs>
          <w:tab w:val="right" w:leader="dot" w:pos="9350"/>
        </w:tabs>
        <w:rPr>
          <w:rFonts w:eastAsiaTheme="minorEastAsia"/>
          <w:noProof/>
        </w:rPr>
      </w:pPr>
      <w:hyperlink w:anchor="_Toc41940235" w:history="1">
        <w:r w:rsidR="00B65A2D" w:rsidRPr="00103473">
          <w:rPr>
            <w:rStyle w:val="Hyperlink"/>
            <w:noProof/>
          </w:rPr>
          <w:t>Workforce Integration ITAs: Progress Narrative</w:t>
        </w:r>
        <w:r w:rsidR="00B65A2D">
          <w:rPr>
            <w:noProof/>
            <w:webHidden/>
          </w:rPr>
          <w:tab/>
        </w:r>
        <w:r w:rsidR="00B65A2D">
          <w:rPr>
            <w:noProof/>
            <w:webHidden/>
          </w:rPr>
          <w:fldChar w:fldCharType="begin"/>
        </w:r>
        <w:r w:rsidR="00B65A2D">
          <w:rPr>
            <w:noProof/>
            <w:webHidden/>
          </w:rPr>
          <w:instrText xml:space="preserve"> PAGEREF _Toc41940235 \h </w:instrText>
        </w:r>
        <w:r w:rsidR="00B65A2D">
          <w:rPr>
            <w:noProof/>
            <w:webHidden/>
          </w:rPr>
        </w:r>
        <w:r w:rsidR="00B65A2D">
          <w:rPr>
            <w:noProof/>
            <w:webHidden/>
          </w:rPr>
          <w:fldChar w:fldCharType="separate"/>
        </w:r>
        <w:r w:rsidR="00DE5A2C">
          <w:rPr>
            <w:noProof/>
            <w:webHidden/>
          </w:rPr>
          <w:t>79</w:t>
        </w:r>
        <w:r w:rsidR="00B65A2D">
          <w:rPr>
            <w:noProof/>
            <w:webHidden/>
          </w:rPr>
          <w:fldChar w:fldCharType="end"/>
        </w:r>
      </w:hyperlink>
    </w:p>
    <w:p w14:paraId="55B4460C" w14:textId="07F81387" w:rsidR="00B65A2D" w:rsidRDefault="0084664F">
      <w:pPr>
        <w:pStyle w:val="TOC3"/>
        <w:tabs>
          <w:tab w:val="right" w:leader="dot" w:pos="9350"/>
        </w:tabs>
        <w:rPr>
          <w:rFonts w:eastAsiaTheme="minorEastAsia"/>
          <w:noProof/>
        </w:rPr>
      </w:pPr>
      <w:hyperlink w:anchor="_Toc41940236" w:history="1">
        <w:r w:rsidR="00B65A2D" w:rsidRPr="00103473">
          <w:rPr>
            <w:rStyle w:val="Hyperlink"/>
            <w:noProof/>
          </w:rPr>
          <w:t>National Lens</w:t>
        </w:r>
        <w:r w:rsidR="00B65A2D">
          <w:rPr>
            <w:noProof/>
            <w:webHidden/>
          </w:rPr>
          <w:tab/>
        </w:r>
        <w:r w:rsidR="00B65A2D">
          <w:rPr>
            <w:noProof/>
            <w:webHidden/>
          </w:rPr>
          <w:fldChar w:fldCharType="begin"/>
        </w:r>
        <w:r w:rsidR="00B65A2D">
          <w:rPr>
            <w:noProof/>
            <w:webHidden/>
          </w:rPr>
          <w:instrText xml:space="preserve"> PAGEREF _Toc41940236 \h </w:instrText>
        </w:r>
        <w:r w:rsidR="00B65A2D">
          <w:rPr>
            <w:noProof/>
            <w:webHidden/>
          </w:rPr>
        </w:r>
        <w:r w:rsidR="00B65A2D">
          <w:rPr>
            <w:noProof/>
            <w:webHidden/>
          </w:rPr>
          <w:fldChar w:fldCharType="separate"/>
        </w:r>
        <w:r w:rsidR="00DE5A2C">
          <w:rPr>
            <w:noProof/>
            <w:webHidden/>
          </w:rPr>
          <w:t>79</w:t>
        </w:r>
        <w:r w:rsidR="00B65A2D">
          <w:rPr>
            <w:noProof/>
            <w:webHidden/>
          </w:rPr>
          <w:fldChar w:fldCharType="end"/>
        </w:r>
      </w:hyperlink>
    </w:p>
    <w:p w14:paraId="7FF00EA6" w14:textId="6E2AC1A2" w:rsidR="00B65A2D" w:rsidRDefault="0084664F">
      <w:pPr>
        <w:pStyle w:val="TOC3"/>
        <w:tabs>
          <w:tab w:val="right" w:leader="dot" w:pos="9350"/>
        </w:tabs>
        <w:rPr>
          <w:rFonts w:eastAsiaTheme="minorEastAsia"/>
          <w:noProof/>
        </w:rPr>
      </w:pPr>
      <w:hyperlink w:anchor="_Toc41940237" w:history="1">
        <w:r w:rsidR="00B65A2D" w:rsidRPr="00103473">
          <w:rPr>
            <w:rStyle w:val="Hyperlink"/>
            <w:noProof/>
          </w:rPr>
          <w:t>WINTAC Lens</w:t>
        </w:r>
        <w:r w:rsidR="00B65A2D">
          <w:rPr>
            <w:noProof/>
            <w:webHidden/>
          </w:rPr>
          <w:tab/>
        </w:r>
        <w:r w:rsidR="00B65A2D">
          <w:rPr>
            <w:noProof/>
            <w:webHidden/>
          </w:rPr>
          <w:fldChar w:fldCharType="begin"/>
        </w:r>
        <w:r w:rsidR="00B65A2D">
          <w:rPr>
            <w:noProof/>
            <w:webHidden/>
          </w:rPr>
          <w:instrText xml:space="preserve"> PAGEREF _Toc41940237 \h </w:instrText>
        </w:r>
        <w:r w:rsidR="00B65A2D">
          <w:rPr>
            <w:noProof/>
            <w:webHidden/>
          </w:rPr>
        </w:r>
        <w:r w:rsidR="00B65A2D">
          <w:rPr>
            <w:noProof/>
            <w:webHidden/>
          </w:rPr>
          <w:fldChar w:fldCharType="separate"/>
        </w:r>
        <w:r w:rsidR="00DE5A2C">
          <w:rPr>
            <w:noProof/>
            <w:webHidden/>
          </w:rPr>
          <w:t>79</w:t>
        </w:r>
        <w:r w:rsidR="00B65A2D">
          <w:rPr>
            <w:noProof/>
            <w:webHidden/>
          </w:rPr>
          <w:fldChar w:fldCharType="end"/>
        </w:r>
      </w:hyperlink>
    </w:p>
    <w:p w14:paraId="376F03C5" w14:textId="0C77BE30" w:rsidR="00B65A2D" w:rsidRDefault="0084664F" w:rsidP="00B65A2D">
      <w:pPr>
        <w:pStyle w:val="TOC1"/>
        <w:rPr>
          <w:rFonts w:eastAsiaTheme="minorEastAsia"/>
          <w:noProof/>
        </w:rPr>
      </w:pPr>
      <w:hyperlink w:anchor="_Toc41940238" w:history="1">
        <w:r w:rsidR="00B65A2D" w:rsidRPr="00103473">
          <w:rPr>
            <w:rStyle w:val="Hyperlink"/>
            <w:noProof/>
          </w:rPr>
          <w:t>E. COMPETITIVE INTEGRATED EMPLOYMENT INCLUDING SUPPORTED EMPLOYMENT</w:t>
        </w:r>
        <w:r w:rsidR="00B65A2D">
          <w:rPr>
            <w:noProof/>
            <w:webHidden/>
          </w:rPr>
          <w:tab/>
        </w:r>
        <w:r w:rsidR="00B65A2D">
          <w:rPr>
            <w:noProof/>
            <w:webHidden/>
          </w:rPr>
          <w:fldChar w:fldCharType="begin"/>
        </w:r>
        <w:r w:rsidR="00B65A2D">
          <w:rPr>
            <w:noProof/>
            <w:webHidden/>
          </w:rPr>
          <w:instrText xml:space="preserve"> PAGEREF _Toc41940238 \h </w:instrText>
        </w:r>
        <w:r w:rsidR="00B65A2D">
          <w:rPr>
            <w:noProof/>
            <w:webHidden/>
          </w:rPr>
        </w:r>
        <w:r w:rsidR="00B65A2D">
          <w:rPr>
            <w:noProof/>
            <w:webHidden/>
          </w:rPr>
          <w:fldChar w:fldCharType="separate"/>
        </w:r>
        <w:r w:rsidR="00DE5A2C">
          <w:rPr>
            <w:noProof/>
            <w:webHidden/>
          </w:rPr>
          <w:t>83</w:t>
        </w:r>
        <w:r w:rsidR="00B65A2D">
          <w:rPr>
            <w:noProof/>
            <w:webHidden/>
          </w:rPr>
          <w:fldChar w:fldCharType="end"/>
        </w:r>
      </w:hyperlink>
    </w:p>
    <w:p w14:paraId="38F07402" w14:textId="5915DE79" w:rsidR="00B65A2D" w:rsidRDefault="0084664F">
      <w:pPr>
        <w:pStyle w:val="TOC2"/>
        <w:tabs>
          <w:tab w:val="right" w:leader="dot" w:pos="9350"/>
        </w:tabs>
        <w:rPr>
          <w:rFonts w:eastAsiaTheme="minorEastAsia"/>
          <w:noProof/>
        </w:rPr>
      </w:pPr>
      <w:hyperlink w:anchor="_Toc41940239" w:history="1">
        <w:r w:rsidR="00B65A2D" w:rsidRPr="00103473">
          <w:rPr>
            <w:rStyle w:val="Hyperlink"/>
            <w:noProof/>
          </w:rPr>
          <w:t>CIE: Progress Narrative</w:t>
        </w:r>
        <w:r w:rsidR="00B65A2D">
          <w:rPr>
            <w:noProof/>
            <w:webHidden/>
          </w:rPr>
          <w:tab/>
        </w:r>
        <w:r w:rsidR="00B65A2D">
          <w:rPr>
            <w:noProof/>
            <w:webHidden/>
          </w:rPr>
          <w:fldChar w:fldCharType="begin"/>
        </w:r>
        <w:r w:rsidR="00B65A2D">
          <w:rPr>
            <w:noProof/>
            <w:webHidden/>
          </w:rPr>
          <w:instrText xml:space="preserve"> PAGEREF _Toc41940239 \h </w:instrText>
        </w:r>
        <w:r w:rsidR="00B65A2D">
          <w:rPr>
            <w:noProof/>
            <w:webHidden/>
          </w:rPr>
        </w:r>
        <w:r w:rsidR="00B65A2D">
          <w:rPr>
            <w:noProof/>
            <w:webHidden/>
          </w:rPr>
          <w:fldChar w:fldCharType="separate"/>
        </w:r>
        <w:r w:rsidR="00DE5A2C">
          <w:rPr>
            <w:noProof/>
            <w:webHidden/>
          </w:rPr>
          <w:t>84</w:t>
        </w:r>
        <w:r w:rsidR="00B65A2D">
          <w:rPr>
            <w:noProof/>
            <w:webHidden/>
          </w:rPr>
          <w:fldChar w:fldCharType="end"/>
        </w:r>
      </w:hyperlink>
    </w:p>
    <w:p w14:paraId="7B9F4997" w14:textId="46C8ABE7" w:rsidR="00B65A2D" w:rsidRDefault="0084664F">
      <w:pPr>
        <w:pStyle w:val="TOC3"/>
        <w:tabs>
          <w:tab w:val="right" w:leader="dot" w:pos="9350"/>
        </w:tabs>
        <w:rPr>
          <w:rFonts w:eastAsiaTheme="minorEastAsia"/>
          <w:noProof/>
        </w:rPr>
      </w:pPr>
      <w:hyperlink w:anchor="_Toc41940240" w:history="1">
        <w:r w:rsidR="00B65A2D" w:rsidRPr="00103473">
          <w:rPr>
            <w:rStyle w:val="Hyperlink"/>
            <w:noProof/>
          </w:rPr>
          <w:t>National Lens</w:t>
        </w:r>
        <w:r w:rsidR="00B65A2D">
          <w:rPr>
            <w:noProof/>
            <w:webHidden/>
          </w:rPr>
          <w:tab/>
        </w:r>
        <w:r w:rsidR="00B65A2D">
          <w:rPr>
            <w:noProof/>
            <w:webHidden/>
          </w:rPr>
          <w:fldChar w:fldCharType="begin"/>
        </w:r>
        <w:r w:rsidR="00B65A2D">
          <w:rPr>
            <w:noProof/>
            <w:webHidden/>
          </w:rPr>
          <w:instrText xml:space="preserve"> PAGEREF _Toc41940240 \h </w:instrText>
        </w:r>
        <w:r w:rsidR="00B65A2D">
          <w:rPr>
            <w:noProof/>
            <w:webHidden/>
          </w:rPr>
        </w:r>
        <w:r w:rsidR="00B65A2D">
          <w:rPr>
            <w:noProof/>
            <w:webHidden/>
          </w:rPr>
          <w:fldChar w:fldCharType="separate"/>
        </w:r>
        <w:r w:rsidR="00DE5A2C">
          <w:rPr>
            <w:noProof/>
            <w:webHidden/>
          </w:rPr>
          <w:t>84</w:t>
        </w:r>
        <w:r w:rsidR="00B65A2D">
          <w:rPr>
            <w:noProof/>
            <w:webHidden/>
          </w:rPr>
          <w:fldChar w:fldCharType="end"/>
        </w:r>
      </w:hyperlink>
    </w:p>
    <w:p w14:paraId="28D71008" w14:textId="572CD325" w:rsidR="00B65A2D" w:rsidRDefault="0084664F">
      <w:pPr>
        <w:pStyle w:val="TOC3"/>
        <w:tabs>
          <w:tab w:val="right" w:leader="dot" w:pos="9350"/>
        </w:tabs>
        <w:rPr>
          <w:rFonts w:eastAsiaTheme="minorEastAsia"/>
          <w:noProof/>
        </w:rPr>
      </w:pPr>
      <w:hyperlink w:anchor="_Toc41940241" w:history="1">
        <w:r w:rsidR="00B65A2D" w:rsidRPr="00103473">
          <w:rPr>
            <w:rStyle w:val="Hyperlink"/>
            <w:noProof/>
          </w:rPr>
          <w:t>WINTAC Lens</w:t>
        </w:r>
        <w:r w:rsidR="00B65A2D">
          <w:rPr>
            <w:noProof/>
            <w:webHidden/>
          </w:rPr>
          <w:tab/>
        </w:r>
        <w:r w:rsidR="00B65A2D">
          <w:rPr>
            <w:noProof/>
            <w:webHidden/>
          </w:rPr>
          <w:fldChar w:fldCharType="begin"/>
        </w:r>
        <w:r w:rsidR="00B65A2D">
          <w:rPr>
            <w:noProof/>
            <w:webHidden/>
          </w:rPr>
          <w:instrText xml:space="preserve"> PAGEREF _Toc41940241 \h </w:instrText>
        </w:r>
        <w:r w:rsidR="00B65A2D">
          <w:rPr>
            <w:noProof/>
            <w:webHidden/>
          </w:rPr>
        </w:r>
        <w:r w:rsidR="00B65A2D">
          <w:rPr>
            <w:noProof/>
            <w:webHidden/>
          </w:rPr>
          <w:fldChar w:fldCharType="separate"/>
        </w:r>
        <w:r w:rsidR="00DE5A2C">
          <w:rPr>
            <w:noProof/>
            <w:webHidden/>
          </w:rPr>
          <w:t>84</w:t>
        </w:r>
        <w:r w:rsidR="00B65A2D">
          <w:rPr>
            <w:noProof/>
            <w:webHidden/>
          </w:rPr>
          <w:fldChar w:fldCharType="end"/>
        </w:r>
      </w:hyperlink>
    </w:p>
    <w:p w14:paraId="5D8EC537" w14:textId="25C514E9" w:rsidR="00B65A2D" w:rsidRDefault="0084664F">
      <w:pPr>
        <w:pStyle w:val="TOC2"/>
        <w:tabs>
          <w:tab w:val="right" w:leader="dot" w:pos="9350"/>
        </w:tabs>
        <w:rPr>
          <w:rFonts w:eastAsiaTheme="minorEastAsia"/>
          <w:noProof/>
        </w:rPr>
      </w:pPr>
      <w:hyperlink w:anchor="_Toc41940242" w:history="1">
        <w:r w:rsidR="00B65A2D" w:rsidRPr="00103473">
          <w:rPr>
            <w:rStyle w:val="Hyperlink"/>
            <w:noProof/>
          </w:rPr>
          <w:t>Competitive Integrated Employment: Resources</w:t>
        </w:r>
        <w:r w:rsidR="00B65A2D">
          <w:rPr>
            <w:noProof/>
            <w:webHidden/>
          </w:rPr>
          <w:tab/>
        </w:r>
        <w:r w:rsidR="00B65A2D">
          <w:rPr>
            <w:noProof/>
            <w:webHidden/>
          </w:rPr>
          <w:fldChar w:fldCharType="begin"/>
        </w:r>
        <w:r w:rsidR="00B65A2D">
          <w:rPr>
            <w:noProof/>
            <w:webHidden/>
          </w:rPr>
          <w:instrText xml:space="preserve"> PAGEREF _Toc41940242 \h </w:instrText>
        </w:r>
        <w:r w:rsidR="00B65A2D">
          <w:rPr>
            <w:noProof/>
            <w:webHidden/>
          </w:rPr>
        </w:r>
        <w:r w:rsidR="00B65A2D">
          <w:rPr>
            <w:noProof/>
            <w:webHidden/>
          </w:rPr>
          <w:fldChar w:fldCharType="separate"/>
        </w:r>
        <w:r w:rsidR="00DE5A2C">
          <w:rPr>
            <w:noProof/>
            <w:webHidden/>
          </w:rPr>
          <w:t>86</w:t>
        </w:r>
        <w:r w:rsidR="00B65A2D">
          <w:rPr>
            <w:noProof/>
            <w:webHidden/>
          </w:rPr>
          <w:fldChar w:fldCharType="end"/>
        </w:r>
      </w:hyperlink>
    </w:p>
    <w:p w14:paraId="4930C5AB" w14:textId="25FB4FC1" w:rsidR="00B65A2D" w:rsidRDefault="0084664F">
      <w:pPr>
        <w:pStyle w:val="TOC2"/>
        <w:tabs>
          <w:tab w:val="right" w:leader="dot" w:pos="9350"/>
        </w:tabs>
        <w:rPr>
          <w:rFonts w:eastAsiaTheme="minorEastAsia"/>
          <w:noProof/>
        </w:rPr>
      </w:pPr>
      <w:hyperlink w:anchor="_Toc41940243" w:history="1">
        <w:r w:rsidR="00B65A2D" w:rsidRPr="00103473">
          <w:rPr>
            <w:rStyle w:val="Hyperlink"/>
            <w:noProof/>
          </w:rPr>
          <w:t>CIE: Supported Employment</w:t>
        </w:r>
        <w:r w:rsidR="00B65A2D">
          <w:rPr>
            <w:noProof/>
            <w:webHidden/>
          </w:rPr>
          <w:tab/>
        </w:r>
        <w:r w:rsidR="00B65A2D">
          <w:rPr>
            <w:noProof/>
            <w:webHidden/>
          </w:rPr>
          <w:fldChar w:fldCharType="begin"/>
        </w:r>
        <w:r w:rsidR="00B65A2D">
          <w:rPr>
            <w:noProof/>
            <w:webHidden/>
          </w:rPr>
          <w:instrText xml:space="preserve"> PAGEREF _Toc41940243 \h </w:instrText>
        </w:r>
        <w:r w:rsidR="00B65A2D">
          <w:rPr>
            <w:noProof/>
            <w:webHidden/>
          </w:rPr>
        </w:r>
        <w:r w:rsidR="00B65A2D">
          <w:rPr>
            <w:noProof/>
            <w:webHidden/>
          </w:rPr>
          <w:fldChar w:fldCharType="separate"/>
        </w:r>
        <w:r w:rsidR="00DE5A2C">
          <w:rPr>
            <w:noProof/>
            <w:webHidden/>
          </w:rPr>
          <w:t>87</w:t>
        </w:r>
        <w:r w:rsidR="00B65A2D">
          <w:rPr>
            <w:noProof/>
            <w:webHidden/>
          </w:rPr>
          <w:fldChar w:fldCharType="end"/>
        </w:r>
      </w:hyperlink>
    </w:p>
    <w:p w14:paraId="6F1C002B" w14:textId="785FC466" w:rsidR="00B65A2D" w:rsidRDefault="0084664F">
      <w:pPr>
        <w:pStyle w:val="TOC2"/>
        <w:tabs>
          <w:tab w:val="right" w:leader="dot" w:pos="9350"/>
        </w:tabs>
        <w:rPr>
          <w:rFonts w:eastAsiaTheme="minorEastAsia"/>
          <w:noProof/>
        </w:rPr>
      </w:pPr>
      <w:hyperlink w:anchor="_Toc41940244" w:history="1">
        <w:r w:rsidR="00B65A2D" w:rsidRPr="00103473">
          <w:rPr>
            <w:rStyle w:val="Hyperlink"/>
            <w:noProof/>
          </w:rPr>
          <w:t>Supported Employment Logic Model</w:t>
        </w:r>
        <w:r w:rsidR="00B65A2D">
          <w:rPr>
            <w:noProof/>
            <w:webHidden/>
          </w:rPr>
          <w:tab/>
        </w:r>
        <w:r w:rsidR="00B65A2D">
          <w:rPr>
            <w:noProof/>
            <w:webHidden/>
          </w:rPr>
          <w:fldChar w:fldCharType="begin"/>
        </w:r>
        <w:r w:rsidR="00B65A2D">
          <w:rPr>
            <w:noProof/>
            <w:webHidden/>
          </w:rPr>
          <w:instrText xml:space="preserve"> PAGEREF _Toc41940244 \h </w:instrText>
        </w:r>
        <w:r w:rsidR="00B65A2D">
          <w:rPr>
            <w:noProof/>
            <w:webHidden/>
          </w:rPr>
        </w:r>
        <w:r w:rsidR="00B65A2D">
          <w:rPr>
            <w:noProof/>
            <w:webHidden/>
          </w:rPr>
          <w:fldChar w:fldCharType="separate"/>
        </w:r>
        <w:r w:rsidR="00DE5A2C">
          <w:rPr>
            <w:noProof/>
            <w:webHidden/>
          </w:rPr>
          <w:t>87</w:t>
        </w:r>
        <w:r w:rsidR="00B65A2D">
          <w:rPr>
            <w:noProof/>
            <w:webHidden/>
          </w:rPr>
          <w:fldChar w:fldCharType="end"/>
        </w:r>
      </w:hyperlink>
    </w:p>
    <w:p w14:paraId="203F63AA" w14:textId="1674C8A1" w:rsidR="00B65A2D" w:rsidRDefault="0084664F">
      <w:pPr>
        <w:pStyle w:val="TOC2"/>
        <w:tabs>
          <w:tab w:val="right" w:leader="dot" w:pos="9350"/>
        </w:tabs>
        <w:rPr>
          <w:rFonts w:eastAsiaTheme="minorEastAsia"/>
          <w:noProof/>
        </w:rPr>
      </w:pPr>
      <w:hyperlink w:anchor="_Toc41940245" w:history="1">
        <w:r w:rsidR="00B65A2D" w:rsidRPr="00103473">
          <w:rPr>
            <w:rStyle w:val="Hyperlink"/>
            <w:noProof/>
          </w:rPr>
          <w:t>Supported Employment: Activities &amp; Outputs Progress Dashboards</w:t>
        </w:r>
        <w:r w:rsidR="00B65A2D">
          <w:rPr>
            <w:noProof/>
            <w:webHidden/>
          </w:rPr>
          <w:tab/>
        </w:r>
        <w:r w:rsidR="00B65A2D">
          <w:rPr>
            <w:noProof/>
            <w:webHidden/>
          </w:rPr>
          <w:fldChar w:fldCharType="begin"/>
        </w:r>
        <w:r w:rsidR="00B65A2D">
          <w:rPr>
            <w:noProof/>
            <w:webHidden/>
          </w:rPr>
          <w:instrText xml:space="preserve"> PAGEREF _Toc41940245 \h </w:instrText>
        </w:r>
        <w:r w:rsidR="00B65A2D">
          <w:rPr>
            <w:noProof/>
            <w:webHidden/>
          </w:rPr>
        </w:r>
        <w:r w:rsidR="00B65A2D">
          <w:rPr>
            <w:noProof/>
            <w:webHidden/>
          </w:rPr>
          <w:fldChar w:fldCharType="separate"/>
        </w:r>
        <w:r w:rsidR="00DE5A2C">
          <w:rPr>
            <w:noProof/>
            <w:webHidden/>
          </w:rPr>
          <w:t>88</w:t>
        </w:r>
        <w:r w:rsidR="00B65A2D">
          <w:rPr>
            <w:noProof/>
            <w:webHidden/>
          </w:rPr>
          <w:fldChar w:fldCharType="end"/>
        </w:r>
      </w:hyperlink>
    </w:p>
    <w:p w14:paraId="3ADF35EB" w14:textId="00182616" w:rsidR="00B65A2D" w:rsidRDefault="0084664F">
      <w:pPr>
        <w:pStyle w:val="TOC2"/>
        <w:tabs>
          <w:tab w:val="right" w:leader="dot" w:pos="9350"/>
        </w:tabs>
        <w:rPr>
          <w:rFonts w:eastAsiaTheme="minorEastAsia"/>
          <w:noProof/>
        </w:rPr>
      </w:pPr>
      <w:hyperlink w:anchor="_Toc41940246" w:history="1">
        <w:r w:rsidR="00B65A2D" w:rsidRPr="00103473">
          <w:rPr>
            <w:rStyle w:val="Hyperlink"/>
            <w:noProof/>
          </w:rPr>
          <w:t>Progress By Activity/Output CIE: Supported Employment</w:t>
        </w:r>
        <w:r w:rsidR="00B65A2D">
          <w:rPr>
            <w:noProof/>
            <w:webHidden/>
          </w:rPr>
          <w:tab/>
        </w:r>
        <w:r w:rsidR="00B65A2D">
          <w:rPr>
            <w:noProof/>
            <w:webHidden/>
          </w:rPr>
          <w:fldChar w:fldCharType="begin"/>
        </w:r>
        <w:r w:rsidR="00B65A2D">
          <w:rPr>
            <w:noProof/>
            <w:webHidden/>
          </w:rPr>
          <w:instrText xml:space="preserve"> PAGEREF _Toc41940246 \h </w:instrText>
        </w:r>
        <w:r w:rsidR="00B65A2D">
          <w:rPr>
            <w:noProof/>
            <w:webHidden/>
          </w:rPr>
        </w:r>
        <w:r w:rsidR="00B65A2D">
          <w:rPr>
            <w:noProof/>
            <w:webHidden/>
          </w:rPr>
          <w:fldChar w:fldCharType="separate"/>
        </w:r>
        <w:r w:rsidR="00DE5A2C">
          <w:rPr>
            <w:noProof/>
            <w:webHidden/>
          </w:rPr>
          <w:t>89</w:t>
        </w:r>
        <w:r w:rsidR="00B65A2D">
          <w:rPr>
            <w:noProof/>
            <w:webHidden/>
          </w:rPr>
          <w:fldChar w:fldCharType="end"/>
        </w:r>
      </w:hyperlink>
    </w:p>
    <w:p w14:paraId="202444F3" w14:textId="13028CCB" w:rsidR="00B65A2D" w:rsidRDefault="0084664F">
      <w:pPr>
        <w:pStyle w:val="TOC2"/>
        <w:tabs>
          <w:tab w:val="right" w:leader="dot" w:pos="9350"/>
        </w:tabs>
        <w:rPr>
          <w:rFonts w:eastAsiaTheme="minorEastAsia"/>
          <w:noProof/>
        </w:rPr>
      </w:pPr>
      <w:hyperlink w:anchor="_Toc41940247" w:history="1">
        <w:r w:rsidR="00B65A2D" w:rsidRPr="00103473">
          <w:rPr>
            <w:rStyle w:val="Hyperlink"/>
            <w:noProof/>
          </w:rPr>
          <w:t>Supported Employment: Outcomes Progress Dashboards</w:t>
        </w:r>
        <w:r w:rsidR="00B65A2D">
          <w:rPr>
            <w:noProof/>
            <w:webHidden/>
          </w:rPr>
          <w:tab/>
        </w:r>
        <w:r w:rsidR="00B65A2D">
          <w:rPr>
            <w:noProof/>
            <w:webHidden/>
          </w:rPr>
          <w:fldChar w:fldCharType="begin"/>
        </w:r>
        <w:r w:rsidR="00B65A2D">
          <w:rPr>
            <w:noProof/>
            <w:webHidden/>
          </w:rPr>
          <w:instrText xml:space="preserve"> PAGEREF _Toc41940247 \h </w:instrText>
        </w:r>
        <w:r w:rsidR="00B65A2D">
          <w:rPr>
            <w:noProof/>
            <w:webHidden/>
          </w:rPr>
        </w:r>
        <w:r w:rsidR="00B65A2D">
          <w:rPr>
            <w:noProof/>
            <w:webHidden/>
          </w:rPr>
          <w:fldChar w:fldCharType="separate"/>
        </w:r>
        <w:r w:rsidR="00DE5A2C">
          <w:rPr>
            <w:noProof/>
            <w:webHidden/>
          </w:rPr>
          <w:t>90</w:t>
        </w:r>
        <w:r w:rsidR="00B65A2D">
          <w:rPr>
            <w:noProof/>
            <w:webHidden/>
          </w:rPr>
          <w:fldChar w:fldCharType="end"/>
        </w:r>
      </w:hyperlink>
    </w:p>
    <w:p w14:paraId="2A75EA2E" w14:textId="23C0DF5B" w:rsidR="00B65A2D" w:rsidRDefault="0084664F">
      <w:pPr>
        <w:pStyle w:val="TOC2"/>
        <w:tabs>
          <w:tab w:val="right" w:leader="dot" w:pos="9350"/>
        </w:tabs>
        <w:rPr>
          <w:rFonts w:eastAsiaTheme="minorEastAsia"/>
          <w:noProof/>
        </w:rPr>
      </w:pPr>
      <w:hyperlink w:anchor="_Toc41940248" w:history="1">
        <w:r w:rsidR="00B65A2D" w:rsidRPr="00103473">
          <w:rPr>
            <w:rStyle w:val="Hyperlink"/>
            <w:noProof/>
          </w:rPr>
          <w:t>CIE: Supported Employment Resources</w:t>
        </w:r>
        <w:r w:rsidR="00B65A2D">
          <w:rPr>
            <w:noProof/>
            <w:webHidden/>
          </w:rPr>
          <w:tab/>
        </w:r>
        <w:r w:rsidR="00B65A2D">
          <w:rPr>
            <w:noProof/>
            <w:webHidden/>
          </w:rPr>
          <w:fldChar w:fldCharType="begin"/>
        </w:r>
        <w:r w:rsidR="00B65A2D">
          <w:rPr>
            <w:noProof/>
            <w:webHidden/>
          </w:rPr>
          <w:instrText xml:space="preserve"> PAGEREF _Toc41940248 \h </w:instrText>
        </w:r>
        <w:r w:rsidR="00B65A2D">
          <w:rPr>
            <w:noProof/>
            <w:webHidden/>
          </w:rPr>
        </w:r>
        <w:r w:rsidR="00B65A2D">
          <w:rPr>
            <w:noProof/>
            <w:webHidden/>
          </w:rPr>
          <w:fldChar w:fldCharType="separate"/>
        </w:r>
        <w:r w:rsidR="00DE5A2C">
          <w:rPr>
            <w:noProof/>
            <w:webHidden/>
          </w:rPr>
          <w:t>91</w:t>
        </w:r>
        <w:r w:rsidR="00B65A2D">
          <w:rPr>
            <w:noProof/>
            <w:webHidden/>
          </w:rPr>
          <w:fldChar w:fldCharType="end"/>
        </w:r>
      </w:hyperlink>
    </w:p>
    <w:p w14:paraId="08A5C0A1" w14:textId="3485CE92" w:rsidR="00B65A2D" w:rsidRDefault="0084664F">
      <w:pPr>
        <w:pStyle w:val="TOC2"/>
        <w:tabs>
          <w:tab w:val="right" w:leader="dot" w:pos="9350"/>
        </w:tabs>
        <w:rPr>
          <w:rFonts w:eastAsiaTheme="minorEastAsia"/>
          <w:noProof/>
        </w:rPr>
      </w:pPr>
      <w:hyperlink w:anchor="_Toc41940249" w:history="1">
        <w:r w:rsidR="00B65A2D" w:rsidRPr="00103473">
          <w:rPr>
            <w:rStyle w:val="Hyperlink"/>
            <w:noProof/>
          </w:rPr>
          <w:t>CIE: Supported Employment: Progress Narrative</w:t>
        </w:r>
        <w:r w:rsidR="00B65A2D">
          <w:rPr>
            <w:noProof/>
            <w:webHidden/>
          </w:rPr>
          <w:tab/>
        </w:r>
        <w:r w:rsidR="00B65A2D">
          <w:rPr>
            <w:noProof/>
            <w:webHidden/>
          </w:rPr>
          <w:fldChar w:fldCharType="begin"/>
        </w:r>
        <w:r w:rsidR="00B65A2D">
          <w:rPr>
            <w:noProof/>
            <w:webHidden/>
          </w:rPr>
          <w:instrText xml:space="preserve"> PAGEREF _Toc41940249 \h </w:instrText>
        </w:r>
        <w:r w:rsidR="00B65A2D">
          <w:rPr>
            <w:noProof/>
            <w:webHidden/>
          </w:rPr>
        </w:r>
        <w:r w:rsidR="00B65A2D">
          <w:rPr>
            <w:noProof/>
            <w:webHidden/>
          </w:rPr>
          <w:fldChar w:fldCharType="separate"/>
        </w:r>
        <w:r w:rsidR="00DE5A2C">
          <w:rPr>
            <w:noProof/>
            <w:webHidden/>
          </w:rPr>
          <w:t>93</w:t>
        </w:r>
        <w:r w:rsidR="00B65A2D">
          <w:rPr>
            <w:noProof/>
            <w:webHidden/>
          </w:rPr>
          <w:fldChar w:fldCharType="end"/>
        </w:r>
      </w:hyperlink>
    </w:p>
    <w:p w14:paraId="59DB92C4" w14:textId="5719B312" w:rsidR="00B65A2D" w:rsidRDefault="0084664F" w:rsidP="00B65A2D">
      <w:pPr>
        <w:pStyle w:val="TOC1"/>
        <w:rPr>
          <w:rFonts w:eastAsiaTheme="minorEastAsia"/>
          <w:noProof/>
        </w:rPr>
      </w:pPr>
      <w:hyperlink w:anchor="_Toc41940250" w:history="1">
        <w:r w:rsidR="00B65A2D" w:rsidRPr="00103473">
          <w:rPr>
            <w:rStyle w:val="Hyperlink"/>
            <w:noProof/>
          </w:rPr>
          <w:t>F. CUSTOMIZED EMPLOYMENT</w:t>
        </w:r>
        <w:r w:rsidR="00B65A2D">
          <w:rPr>
            <w:noProof/>
            <w:webHidden/>
          </w:rPr>
          <w:tab/>
        </w:r>
        <w:r w:rsidR="00B65A2D">
          <w:rPr>
            <w:noProof/>
            <w:webHidden/>
          </w:rPr>
          <w:fldChar w:fldCharType="begin"/>
        </w:r>
        <w:r w:rsidR="00B65A2D">
          <w:rPr>
            <w:noProof/>
            <w:webHidden/>
          </w:rPr>
          <w:instrText xml:space="preserve"> PAGEREF _Toc41940250 \h </w:instrText>
        </w:r>
        <w:r w:rsidR="00B65A2D">
          <w:rPr>
            <w:noProof/>
            <w:webHidden/>
          </w:rPr>
        </w:r>
        <w:r w:rsidR="00B65A2D">
          <w:rPr>
            <w:noProof/>
            <w:webHidden/>
          </w:rPr>
          <w:fldChar w:fldCharType="separate"/>
        </w:r>
        <w:r w:rsidR="00DE5A2C">
          <w:rPr>
            <w:noProof/>
            <w:webHidden/>
          </w:rPr>
          <w:t>96</w:t>
        </w:r>
        <w:r w:rsidR="00B65A2D">
          <w:rPr>
            <w:noProof/>
            <w:webHidden/>
          </w:rPr>
          <w:fldChar w:fldCharType="end"/>
        </w:r>
      </w:hyperlink>
    </w:p>
    <w:p w14:paraId="579A3E78" w14:textId="2C0831EF" w:rsidR="00B65A2D" w:rsidRDefault="0084664F">
      <w:pPr>
        <w:pStyle w:val="TOC2"/>
        <w:tabs>
          <w:tab w:val="right" w:leader="dot" w:pos="9350"/>
        </w:tabs>
        <w:rPr>
          <w:rFonts w:eastAsiaTheme="minorEastAsia"/>
          <w:noProof/>
        </w:rPr>
      </w:pPr>
      <w:hyperlink w:anchor="_Toc41940251" w:history="1">
        <w:r w:rsidR="00B65A2D" w:rsidRPr="00103473">
          <w:rPr>
            <w:rStyle w:val="Hyperlink"/>
            <w:noProof/>
          </w:rPr>
          <w:t>Customized Employment – Logic Model</w:t>
        </w:r>
        <w:r w:rsidR="00B65A2D">
          <w:rPr>
            <w:noProof/>
            <w:webHidden/>
          </w:rPr>
          <w:tab/>
        </w:r>
        <w:r w:rsidR="00B65A2D">
          <w:rPr>
            <w:noProof/>
            <w:webHidden/>
          </w:rPr>
          <w:fldChar w:fldCharType="begin"/>
        </w:r>
        <w:r w:rsidR="00B65A2D">
          <w:rPr>
            <w:noProof/>
            <w:webHidden/>
          </w:rPr>
          <w:instrText xml:space="preserve"> PAGEREF _Toc41940251 \h </w:instrText>
        </w:r>
        <w:r w:rsidR="00B65A2D">
          <w:rPr>
            <w:noProof/>
            <w:webHidden/>
          </w:rPr>
        </w:r>
        <w:r w:rsidR="00B65A2D">
          <w:rPr>
            <w:noProof/>
            <w:webHidden/>
          </w:rPr>
          <w:fldChar w:fldCharType="separate"/>
        </w:r>
        <w:r w:rsidR="00DE5A2C">
          <w:rPr>
            <w:noProof/>
            <w:webHidden/>
          </w:rPr>
          <w:t>97</w:t>
        </w:r>
        <w:r w:rsidR="00B65A2D">
          <w:rPr>
            <w:noProof/>
            <w:webHidden/>
          </w:rPr>
          <w:fldChar w:fldCharType="end"/>
        </w:r>
      </w:hyperlink>
    </w:p>
    <w:p w14:paraId="535B768E" w14:textId="5DB21FB8" w:rsidR="00B65A2D" w:rsidRDefault="0084664F">
      <w:pPr>
        <w:pStyle w:val="TOC2"/>
        <w:tabs>
          <w:tab w:val="right" w:leader="dot" w:pos="9350"/>
        </w:tabs>
        <w:rPr>
          <w:rFonts w:eastAsiaTheme="minorEastAsia"/>
          <w:noProof/>
        </w:rPr>
      </w:pPr>
      <w:hyperlink w:anchor="_Toc41940252" w:history="1">
        <w:r w:rsidR="00B65A2D" w:rsidRPr="00103473">
          <w:rPr>
            <w:rStyle w:val="Hyperlink"/>
            <w:noProof/>
          </w:rPr>
          <w:t>Customized Employment: Activities Progress Dashboards</w:t>
        </w:r>
        <w:r w:rsidR="00B65A2D">
          <w:rPr>
            <w:noProof/>
            <w:webHidden/>
          </w:rPr>
          <w:tab/>
        </w:r>
        <w:r w:rsidR="00B65A2D">
          <w:rPr>
            <w:noProof/>
            <w:webHidden/>
          </w:rPr>
          <w:fldChar w:fldCharType="begin"/>
        </w:r>
        <w:r w:rsidR="00B65A2D">
          <w:rPr>
            <w:noProof/>
            <w:webHidden/>
          </w:rPr>
          <w:instrText xml:space="preserve"> PAGEREF _Toc41940252 \h </w:instrText>
        </w:r>
        <w:r w:rsidR="00B65A2D">
          <w:rPr>
            <w:noProof/>
            <w:webHidden/>
          </w:rPr>
        </w:r>
        <w:r w:rsidR="00B65A2D">
          <w:rPr>
            <w:noProof/>
            <w:webHidden/>
          </w:rPr>
          <w:fldChar w:fldCharType="separate"/>
        </w:r>
        <w:r w:rsidR="00DE5A2C">
          <w:rPr>
            <w:noProof/>
            <w:webHidden/>
          </w:rPr>
          <w:t>100</w:t>
        </w:r>
        <w:r w:rsidR="00B65A2D">
          <w:rPr>
            <w:noProof/>
            <w:webHidden/>
          </w:rPr>
          <w:fldChar w:fldCharType="end"/>
        </w:r>
      </w:hyperlink>
    </w:p>
    <w:p w14:paraId="76E0142D" w14:textId="2EEB9819" w:rsidR="00B65A2D" w:rsidRDefault="0084664F">
      <w:pPr>
        <w:pStyle w:val="TOC2"/>
        <w:tabs>
          <w:tab w:val="right" w:leader="dot" w:pos="9350"/>
        </w:tabs>
        <w:rPr>
          <w:rFonts w:eastAsiaTheme="minorEastAsia"/>
          <w:noProof/>
        </w:rPr>
      </w:pPr>
      <w:hyperlink w:anchor="_Toc41940253" w:history="1">
        <w:r w:rsidR="00B65A2D" w:rsidRPr="00103473">
          <w:rPr>
            <w:rStyle w:val="Hyperlink"/>
            <w:noProof/>
          </w:rPr>
          <w:t>Customized Employment: Activities /Output Progress</w:t>
        </w:r>
        <w:r w:rsidR="00B65A2D">
          <w:rPr>
            <w:noProof/>
            <w:webHidden/>
          </w:rPr>
          <w:tab/>
        </w:r>
        <w:r w:rsidR="00B65A2D">
          <w:rPr>
            <w:noProof/>
            <w:webHidden/>
          </w:rPr>
          <w:fldChar w:fldCharType="begin"/>
        </w:r>
        <w:r w:rsidR="00B65A2D">
          <w:rPr>
            <w:noProof/>
            <w:webHidden/>
          </w:rPr>
          <w:instrText xml:space="preserve"> PAGEREF _Toc41940253 \h </w:instrText>
        </w:r>
        <w:r w:rsidR="00B65A2D">
          <w:rPr>
            <w:noProof/>
            <w:webHidden/>
          </w:rPr>
        </w:r>
        <w:r w:rsidR="00B65A2D">
          <w:rPr>
            <w:noProof/>
            <w:webHidden/>
          </w:rPr>
          <w:fldChar w:fldCharType="separate"/>
        </w:r>
        <w:r w:rsidR="00DE5A2C">
          <w:rPr>
            <w:noProof/>
            <w:webHidden/>
          </w:rPr>
          <w:t>100</w:t>
        </w:r>
        <w:r w:rsidR="00B65A2D">
          <w:rPr>
            <w:noProof/>
            <w:webHidden/>
          </w:rPr>
          <w:fldChar w:fldCharType="end"/>
        </w:r>
      </w:hyperlink>
    </w:p>
    <w:p w14:paraId="0D730673" w14:textId="10F1CDD6" w:rsidR="00B65A2D" w:rsidRDefault="0084664F">
      <w:pPr>
        <w:pStyle w:val="TOC2"/>
        <w:tabs>
          <w:tab w:val="right" w:leader="dot" w:pos="9350"/>
        </w:tabs>
        <w:rPr>
          <w:rFonts w:eastAsiaTheme="minorEastAsia"/>
          <w:noProof/>
        </w:rPr>
      </w:pPr>
      <w:hyperlink w:anchor="_Toc41940254" w:history="1">
        <w:r w:rsidR="00B65A2D" w:rsidRPr="00103473">
          <w:rPr>
            <w:rStyle w:val="Hyperlink"/>
            <w:noProof/>
          </w:rPr>
          <w:t>Customized Employment: Outcomes Progress Dashboards</w:t>
        </w:r>
        <w:r w:rsidR="00B65A2D">
          <w:rPr>
            <w:noProof/>
            <w:webHidden/>
          </w:rPr>
          <w:tab/>
        </w:r>
        <w:r w:rsidR="00B65A2D">
          <w:rPr>
            <w:noProof/>
            <w:webHidden/>
          </w:rPr>
          <w:fldChar w:fldCharType="begin"/>
        </w:r>
        <w:r w:rsidR="00B65A2D">
          <w:rPr>
            <w:noProof/>
            <w:webHidden/>
          </w:rPr>
          <w:instrText xml:space="preserve"> PAGEREF _Toc41940254 \h </w:instrText>
        </w:r>
        <w:r w:rsidR="00B65A2D">
          <w:rPr>
            <w:noProof/>
            <w:webHidden/>
          </w:rPr>
        </w:r>
        <w:r w:rsidR="00B65A2D">
          <w:rPr>
            <w:noProof/>
            <w:webHidden/>
          </w:rPr>
          <w:fldChar w:fldCharType="separate"/>
        </w:r>
        <w:r w:rsidR="00DE5A2C">
          <w:rPr>
            <w:noProof/>
            <w:webHidden/>
          </w:rPr>
          <w:t>107</w:t>
        </w:r>
        <w:r w:rsidR="00B65A2D">
          <w:rPr>
            <w:noProof/>
            <w:webHidden/>
          </w:rPr>
          <w:fldChar w:fldCharType="end"/>
        </w:r>
      </w:hyperlink>
    </w:p>
    <w:p w14:paraId="10CB263F" w14:textId="67F7376A" w:rsidR="00B65A2D" w:rsidRDefault="0084664F">
      <w:pPr>
        <w:pStyle w:val="TOC2"/>
        <w:tabs>
          <w:tab w:val="right" w:leader="dot" w:pos="9350"/>
        </w:tabs>
        <w:rPr>
          <w:rFonts w:eastAsiaTheme="minorEastAsia"/>
          <w:noProof/>
        </w:rPr>
      </w:pPr>
      <w:hyperlink w:anchor="_Toc41940255" w:history="1">
        <w:r w:rsidR="00B65A2D" w:rsidRPr="00103473">
          <w:rPr>
            <w:rStyle w:val="Hyperlink"/>
            <w:noProof/>
          </w:rPr>
          <w:t>Customized Employment Pilot Data Dashboards</w:t>
        </w:r>
        <w:r w:rsidR="00B65A2D">
          <w:rPr>
            <w:noProof/>
            <w:webHidden/>
          </w:rPr>
          <w:tab/>
        </w:r>
        <w:r w:rsidR="00B65A2D">
          <w:rPr>
            <w:noProof/>
            <w:webHidden/>
          </w:rPr>
          <w:fldChar w:fldCharType="begin"/>
        </w:r>
        <w:r w:rsidR="00B65A2D">
          <w:rPr>
            <w:noProof/>
            <w:webHidden/>
          </w:rPr>
          <w:instrText xml:space="preserve"> PAGEREF _Toc41940255 \h </w:instrText>
        </w:r>
        <w:r w:rsidR="00B65A2D">
          <w:rPr>
            <w:noProof/>
            <w:webHidden/>
          </w:rPr>
        </w:r>
        <w:r w:rsidR="00B65A2D">
          <w:rPr>
            <w:noProof/>
            <w:webHidden/>
          </w:rPr>
          <w:fldChar w:fldCharType="separate"/>
        </w:r>
        <w:r w:rsidR="00DE5A2C">
          <w:rPr>
            <w:noProof/>
            <w:webHidden/>
          </w:rPr>
          <w:t>107</w:t>
        </w:r>
        <w:r w:rsidR="00B65A2D">
          <w:rPr>
            <w:noProof/>
            <w:webHidden/>
          </w:rPr>
          <w:fldChar w:fldCharType="end"/>
        </w:r>
      </w:hyperlink>
    </w:p>
    <w:p w14:paraId="5C8708C4" w14:textId="6988DC13" w:rsidR="00B65A2D" w:rsidRDefault="0084664F">
      <w:pPr>
        <w:pStyle w:val="TOC2"/>
        <w:tabs>
          <w:tab w:val="right" w:leader="dot" w:pos="9350"/>
        </w:tabs>
        <w:rPr>
          <w:rFonts w:eastAsiaTheme="minorEastAsia"/>
          <w:noProof/>
        </w:rPr>
      </w:pPr>
      <w:hyperlink w:anchor="_Toc41940256" w:history="1">
        <w:r w:rsidR="00B65A2D" w:rsidRPr="00103473">
          <w:rPr>
            <w:rStyle w:val="Hyperlink"/>
            <w:noProof/>
          </w:rPr>
          <w:t>Customized Employment: Resources</w:t>
        </w:r>
        <w:r w:rsidR="00B65A2D">
          <w:rPr>
            <w:noProof/>
            <w:webHidden/>
          </w:rPr>
          <w:tab/>
        </w:r>
        <w:r w:rsidR="00B65A2D">
          <w:rPr>
            <w:noProof/>
            <w:webHidden/>
          </w:rPr>
          <w:fldChar w:fldCharType="begin"/>
        </w:r>
        <w:r w:rsidR="00B65A2D">
          <w:rPr>
            <w:noProof/>
            <w:webHidden/>
          </w:rPr>
          <w:instrText xml:space="preserve"> PAGEREF _Toc41940256 \h </w:instrText>
        </w:r>
        <w:r w:rsidR="00B65A2D">
          <w:rPr>
            <w:noProof/>
            <w:webHidden/>
          </w:rPr>
        </w:r>
        <w:r w:rsidR="00B65A2D">
          <w:rPr>
            <w:noProof/>
            <w:webHidden/>
          </w:rPr>
          <w:fldChar w:fldCharType="separate"/>
        </w:r>
        <w:r w:rsidR="00DE5A2C">
          <w:rPr>
            <w:noProof/>
            <w:webHidden/>
          </w:rPr>
          <w:t>110</w:t>
        </w:r>
        <w:r w:rsidR="00B65A2D">
          <w:rPr>
            <w:noProof/>
            <w:webHidden/>
          </w:rPr>
          <w:fldChar w:fldCharType="end"/>
        </w:r>
      </w:hyperlink>
    </w:p>
    <w:p w14:paraId="436824CA" w14:textId="52ECA55F" w:rsidR="00B65A2D" w:rsidRDefault="0084664F">
      <w:pPr>
        <w:pStyle w:val="TOC2"/>
        <w:tabs>
          <w:tab w:val="right" w:leader="dot" w:pos="9350"/>
        </w:tabs>
        <w:rPr>
          <w:rFonts w:eastAsiaTheme="minorEastAsia"/>
          <w:noProof/>
        </w:rPr>
      </w:pPr>
      <w:hyperlink w:anchor="_Toc41940257" w:history="1">
        <w:r w:rsidR="00B65A2D" w:rsidRPr="00103473">
          <w:rPr>
            <w:rStyle w:val="Hyperlink"/>
            <w:noProof/>
          </w:rPr>
          <w:t>Customized Employment: Progress Narrative</w:t>
        </w:r>
        <w:r w:rsidR="00B65A2D">
          <w:rPr>
            <w:noProof/>
            <w:webHidden/>
          </w:rPr>
          <w:tab/>
        </w:r>
        <w:r w:rsidR="00B65A2D">
          <w:rPr>
            <w:noProof/>
            <w:webHidden/>
          </w:rPr>
          <w:fldChar w:fldCharType="begin"/>
        </w:r>
        <w:r w:rsidR="00B65A2D">
          <w:rPr>
            <w:noProof/>
            <w:webHidden/>
          </w:rPr>
          <w:instrText xml:space="preserve"> PAGEREF _Toc41940257 \h </w:instrText>
        </w:r>
        <w:r w:rsidR="00B65A2D">
          <w:rPr>
            <w:noProof/>
            <w:webHidden/>
          </w:rPr>
        </w:r>
        <w:r w:rsidR="00B65A2D">
          <w:rPr>
            <w:noProof/>
            <w:webHidden/>
          </w:rPr>
          <w:fldChar w:fldCharType="separate"/>
        </w:r>
        <w:r w:rsidR="00DE5A2C">
          <w:rPr>
            <w:noProof/>
            <w:webHidden/>
          </w:rPr>
          <w:t>111</w:t>
        </w:r>
        <w:r w:rsidR="00B65A2D">
          <w:rPr>
            <w:noProof/>
            <w:webHidden/>
          </w:rPr>
          <w:fldChar w:fldCharType="end"/>
        </w:r>
      </w:hyperlink>
    </w:p>
    <w:p w14:paraId="0D582E34" w14:textId="65D6B93C" w:rsidR="00B65A2D" w:rsidRDefault="0084664F">
      <w:pPr>
        <w:pStyle w:val="TOC3"/>
        <w:tabs>
          <w:tab w:val="right" w:leader="dot" w:pos="9350"/>
        </w:tabs>
        <w:rPr>
          <w:rFonts w:eastAsiaTheme="minorEastAsia"/>
          <w:noProof/>
        </w:rPr>
      </w:pPr>
      <w:hyperlink w:anchor="_Toc41940258" w:history="1">
        <w:r w:rsidR="00B65A2D" w:rsidRPr="00103473">
          <w:rPr>
            <w:rStyle w:val="Hyperlink"/>
            <w:noProof/>
          </w:rPr>
          <w:t>National Lens</w:t>
        </w:r>
        <w:r w:rsidR="00B65A2D">
          <w:rPr>
            <w:noProof/>
            <w:webHidden/>
          </w:rPr>
          <w:tab/>
        </w:r>
        <w:r w:rsidR="00B65A2D">
          <w:rPr>
            <w:noProof/>
            <w:webHidden/>
          </w:rPr>
          <w:fldChar w:fldCharType="begin"/>
        </w:r>
        <w:r w:rsidR="00B65A2D">
          <w:rPr>
            <w:noProof/>
            <w:webHidden/>
          </w:rPr>
          <w:instrText xml:space="preserve"> PAGEREF _Toc41940258 \h </w:instrText>
        </w:r>
        <w:r w:rsidR="00B65A2D">
          <w:rPr>
            <w:noProof/>
            <w:webHidden/>
          </w:rPr>
        </w:r>
        <w:r w:rsidR="00B65A2D">
          <w:rPr>
            <w:noProof/>
            <w:webHidden/>
          </w:rPr>
          <w:fldChar w:fldCharType="separate"/>
        </w:r>
        <w:r w:rsidR="00DE5A2C">
          <w:rPr>
            <w:noProof/>
            <w:webHidden/>
          </w:rPr>
          <w:t>111</w:t>
        </w:r>
        <w:r w:rsidR="00B65A2D">
          <w:rPr>
            <w:noProof/>
            <w:webHidden/>
          </w:rPr>
          <w:fldChar w:fldCharType="end"/>
        </w:r>
      </w:hyperlink>
    </w:p>
    <w:p w14:paraId="0AF14C0C" w14:textId="383B0090" w:rsidR="00B65A2D" w:rsidRDefault="0084664F">
      <w:pPr>
        <w:pStyle w:val="TOC3"/>
        <w:tabs>
          <w:tab w:val="right" w:leader="dot" w:pos="9350"/>
        </w:tabs>
        <w:rPr>
          <w:rFonts w:eastAsiaTheme="minorEastAsia"/>
          <w:noProof/>
        </w:rPr>
      </w:pPr>
      <w:hyperlink w:anchor="_Toc41940259" w:history="1">
        <w:r w:rsidR="00B65A2D" w:rsidRPr="00103473">
          <w:rPr>
            <w:rStyle w:val="Hyperlink"/>
            <w:noProof/>
          </w:rPr>
          <w:t>WINTAC Lens</w:t>
        </w:r>
        <w:r w:rsidR="00B65A2D">
          <w:rPr>
            <w:noProof/>
            <w:webHidden/>
          </w:rPr>
          <w:tab/>
        </w:r>
        <w:r w:rsidR="00B65A2D">
          <w:rPr>
            <w:noProof/>
            <w:webHidden/>
          </w:rPr>
          <w:fldChar w:fldCharType="begin"/>
        </w:r>
        <w:r w:rsidR="00B65A2D">
          <w:rPr>
            <w:noProof/>
            <w:webHidden/>
          </w:rPr>
          <w:instrText xml:space="preserve"> PAGEREF _Toc41940259 \h </w:instrText>
        </w:r>
        <w:r w:rsidR="00B65A2D">
          <w:rPr>
            <w:noProof/>
            <w:webHidden/>
          </w:rPr>
        </w:r>
        <w:r w:rsidR="00B65A2D">
          <w:rPr>
            <w:noProof/>
            <w:webHidden/>
          </w:rPr>
          <w:fldChar w:fldCharType="separate"/>
        </w:r>
        <w:r w:rsidR="00DE5A2C">
          <w:rPr>
            <w:noProof/>
            <w:webHidden/>
          </w:rPr>
          <w:t>111</w:t>
        </w:r>
        <w:r w:rsidR="00B65A2D">
          <w:rPr>
            <w:noProof/>
            <w:webHidden/>
          </w:rPr>
          <w:fldChar w:fldCharType="end"/>
        </w:r>
      </w:hyperlink>
    </w:p>
    <w:p w14:paraId="65FF22F4" w14:textId="459AFE1A" w:rsidR="00B65A2D" w:rsidRDefault="0084664F" w:rsidP="00B65A2D">
      <w:pPr>
        <w:pStyle w:val="TOC1"/>
        <w:rPr>
          <w:rFonts w:eastAsiaTheme="minorEastAsia"/>
          <w:noProof/>
        </w:rPr>
      </w:pPr>
      <w:hyperlink w:anchor="_Toc41940260" w:history="1">
        <w:r w:rsidR="00B65A2D" w:rsidRPr="00103473">
          <w:rPr>
            <w:rStyle w:val="Hyperlink"/>
            <w:noProof/>
          </w:rPr>
          <w:t>G. SARA PILOT PROJECTS</w:t>
        </w:r>
        <w:r w:rsidR="00B65A2D">
          <w:rPr>
            <w:noProof/>
            <w:webHidden/>
          </w:rPr>
          <w:tab/>
        </w:r>
        <w:r w:rsidR="00B65A2D">
          <w:rPr>
            <w:noProof/>
            <w:webHidden/>
          </w:rPr>
          <w:fldChar w:fldCharType="begin"/>
        </w:r>
        <w:r w:rsidR="00B65A2D">
          <w:rPr>
            <w:noProof/>
            <w:webHidden/>
          </w:rPr>
          <w:instrText xml:space="preserve"> PAGEREF _Toc41940260 \h </w:instrText>
        </w:r>
        <w:r w:rsidR="00B65A2D">
          <w:rPr>
            <w:noProof/>
            <w:webHidden/>
          </w:rPr>
        </w:r>
        <w:r w:rsidR="00B65A2D">
          <w:rPr>
            <w:noProof/>
            <w:webHidden/>
          </w:rPr>
          <w:fldChar w:fldCharType="separate"/>
        </w:r>
        <w:r w:rsidR="00DE5A2C">
          <w:rPr>
            <w:noProof/>
            <w:webHidden/>
          </w:rPr>
          <w:t>118</w:t>
        </w:r>
        <w:r w:rsidR="00B65A2D">
          <w:rPr>
            <w:noProof/>
            <w:webHidden/>
          </w:rPr>
          <w:fldChar w:fldCharType="end"/>
        </w:r>
      </w:hyperlink>
    </w:p>
    <w:p w14:paraId="07ECC622" w14:textId="03768AEB" w:rsidR="00B65A2D" w:rsidRDefault="0084664F">
      <w:pPr>
        <w:pStyle w:val="TOC2"/>
        <w:tabs>
          <w:tab w:val="right" w:leader="dot" w:pos="9350"/>
        </w:tabs>
        <w:rPr>
          <w:rFonts w:eastAsiaTheme="minorEastAsia"/>
          <w:noProof/>
        </w:rPr>
      </w:pPr>
      <w:hyperlink w:anchor="_Toc41940261" w:history="1">
        <w:r w:rsidR="00B65A2D" w:rsidRPr="00103473">
          <w:rPr>
            <w:rStyle w:val="Hyperlink"/>
            <w:noProof/>
          </w:rPr>
          <w:t>Sara Pilots: Logic Model</w:t>
        </w:r>
        <w:r w:rsidR="00B65A2D">
          <w:rPr>
            <w:noProof/>
            <w:webHidden/>
          </w:rPr>
          <w:tab/>
        </w:r>
        <w:r w:rsidR="00B65A2D">
          <w:rPr>
            <w:noProof/>
            <w:webHidden/>
          </w:rPr>
          <w:fldChar w:fldCharType="begin"/>
        </w:r>
        <w:r w:rsidR="00B65A2D">
          <w:rPr>
            <w:noProof/>
            <w:webHidden/>
          </w:rPr>
          <w:instrText xml:space="preserve"> PAGEREF _Toc41940261 \h </w:instrText>
        </w:r>
        <w:r w:rsidR="00B65A2D">
          <w:rPr>
            <w:noProof/>
            <w:webHidden/>
          </w:rPr>
        </w:r>
        <w:r w:rsidR="00B65A2D">
          <w:rPr>
            <w:noProof/>
            <w:webHidden/>
          </w:rPr>
          <w:fldChar w:fldCharType="separate"/>
        </w:r>
        <w:r w:rsidR="00DE5A2C">
          <w:rPr>
            <w:noProof/>
            <w:webHidden/>
          </w:rPr>
          <w:t>118</w:t>
        </w:r>
        <w:r w:rsidR="00B65A2D">
          <w:rPr>
            <w:noProof/>
            <w:webHidden/>
          </w:rPr>
          <w:fldChar w:fldCharType="end"/>
        </w:r>
      </w:hyperlink>
    </w:p>
    <w:p w14:paraId="2179B183" w14:textId="4AEC6B01" w:rsidR="00B65A2D" w:rsidRDefault="0084664F">
      <w:pPr>
        <w:pStyle w:val="TOC2"/>
        <w:tabs>
          <w:tab w:val="right" w:leader="dot" w:pos="9350"/>
        </w:tabs>
        <w:rPr>
          <w:rFonts w:eastAsiaTheme="minorEastAsia"/>
          <w:noProof/>
        </w:rPr>
      </w:pPr>
      <w:hyperlink w:anchor="_Toc41940262" w:history="1">
        <w:r w:rsidR="00B65A2D" w:rsidRPr="00103473">
          <w:rPr>
            <w:rStyle w:val="Hyperlink"/>
            <w:noProof/>
          </w:rPr>
          <w:t>Sara Pilots Context</w:t>
        </w:r>
        <w:r w:rsidR="00B65A2D">
          <w:rPr>
            <w:noProof/>
            <w:webHidden/>
          </w:rPr>
          <w:tab/>
        </w:r>
        <w:r w:rsidR="00B65A2D">
          <w:rPr>
            <w:noProof/>
            <w:webHidden/>
          </w:rPr>
          <w:fldChar w:fldCharType="begin"/>
        </w:r>
        <w:r w:rsidR="00B65A2D">
          <w:rPr>
            <w:noProof/>
            <w:webHidden/>
          </w:rPr>
          <w:instrText xml:space="preserve"> PAGEREF _Toc41940262 \h </w:instrText>
        </w:r>
        <w:r w:rsidR="00B65A2D">
          <w:rPr>
            <w:noProof/>
            <w:webHidden/>
          </w:rPr>
        </w:r>
        <w:r w:rsidR="00B65A2D">
          <w:rPr>
            <w:noProof/>
            <w:webHidden/>
          </w:rPr>
          <w:fldChar w:fldCharType="separate"/>
        </w:r>
        <w:r w:rsidR="00DE5A2C">
          <w:rPr>
            <w:noProof/>
            <w:webHidden/>
          </w:rPr>
          <w:t>120</w:t>
        </w:r>
        <w:r w:rsidR="00B65A2D">
          <w:rPr>
            <w:noProof/>
            <w:webHidden/>
          </w:rPr>
          <w:fldChar w:fldCharType="end"/>
        </w:r>
      </w:hyperlink>
    </w:p>
    <w:p w14:paraId="549BBA0B" w14:textId="0F082F9A" w:rsidR="00B65A2D" w:rsidRDefault="0084664F">
      <w:pPr>
        <w:pStyle w:val="TOC2"/>
        <w:tabs>
          <w:tab w:val="right" w:leader="dot" w:pos="9350"/>
        </w:tabs>
        <w:rPr>
          <w:rFonts w:eastAsiaTheme="minorEastAsia"/>
          <w:noProof/>
        </w:rPr>
      </w:pPr>
      <w:hyperlink w:anchor="_Toc41940263" w:history="1">
        <w:r w:rsidR="00B65A2D" w:rsidRPr="00103473">
          <w:rPr>
            <w:rStyle w:val="Hyperlink"/>
            <w:noProof/>
          </w:rPr>
          <w:t>SARA Pilots: Progress Dashboards: Activities, Outputs, Implementation</w:t>
        </w:r>
        <w:r w:rsidR="00B65A2D">
          <w:rPr>
            <w:noProof/>
            <w:webHidden/>
          </w:rPr>
          <w:tab/>
        </w:r>
        <w:r w:rsidR="00B65A2D">
          <w:rPr>
            <w:noProof/>
            <w:webHidden/>
          </w:rPr>
          <w:fldChar w:fldCharType="begin"/>
        </w:r>
        <w:r w:rsidR="00B65A2D">
          <w:rPr>
            <w:noProof/>
            <w:webHidden/>
          </w:rPr>
          <w:instrText xml:space="preserve"> PAGEREF _Toc41940263 \h </w:instrText>
        </w:r>
        <w:r w:rsidR="00B65A2D">
          <w:rPr>
            <w:noProof/>
            <w:webHidden/>
          </w:rPr>
        </w:r>
        <w:r w:rsidR="00B65A2D">
          <w:rPr>
            <w:noProof/>
            <w:webHidden/>
          </w:rPr>
          <w:fldChar w:fldCharType="separate"/>
        </w:r>
        <w:r w:rsidR="00DE5A2C">
          <w:rPr>
            <w:noProof/>
            <w:webHidden/>
          </w:rPr>
          <w:t>123</w:t>
        </w:r>
        <w:r w:rsidR="00B65A2D">
          <w:rPr>
            <w:noProof/>
            <w:webHidden/>
          </w:rPr>
          <w:fldChar w:fldCharType="end"/>
        </w:r>
      </w:hyperlink>
    </w:p>
    <w:p w14:paraId="753D0E76" w14:textId="31921E37" w:rsidR="00B65A2D" w:rsidRDefault="0084664F">
      <w:pPr>
        <w:pStyle w:val="TOC2"/>
        <w:tabs>
          <w:tab w:val="right" w:leader="dot" w:pos="9350"/>
        </w:tabs>
        <w:rPr>
          <w:rFonts w:eastAsiaTheme="minorEastAsia"/>
          <w:noProof/>
        </w:rPr>
      </w:pPr>
      <w:hyperlink w:anchor="_Toc41940264" w:history="1">
        <w:r w:rsidR="00B65A2D" w:rsidRPr="00103473">
          <w:rPr>
            <w:rStyle w:val="Hyperlink"/>
            <w:noProof/>
          </w:rPr>
          <w:t>SARA Pilots: Outcomes Progress Dashboards</w:t>
        </w:r>
        <w:r w:rsidR="00B65A2D">
          <w:rPr>
            <w:noProof/>
            <w:webHidden/>
          </w:rPr>
          <w:tab/>
        </w:r>
        <w:r w:rsidR="00B65A2D">
          <w:rPr>
            <w:noProof/>
            <w:webHidden/>
          </w:rPr>
          <w:fldChar w:fldCharType="begin"/>
        </w:r>
        <w:r w:rsidR="00B65A2D">
          <w:rPr>
            <w:noProof/>
            <w:webHidden/>
          </w:rPr>
          <w:instrText xml:space="preserve"> PAGEREF _Toc41940264 \h </w:instrText>
        </w:r>
        <w:r w:rsidR="00B65A2D">
          <w:rPr>
            <w:noProof/>
            <w:webHidden/>
          </w:rPr>
        </w:r>
        <w:r w:rsidR="00B65A2D">
          <w:rPr>
            <w:noProof/>
            <w:webHidden/>
          </w:rPr>
          <w:fldChar w:fldCharType="separate"/>
        </w:r>
        <w:r w:rsidR="00DE5A2C">
          <w:rPr>
            <w:noProof/>
            <w:webHidden/>
          </w:rPr>
          <w:t>130</w:t>
        </w:r>
        <w:r w:rsidR="00B65A2D">
          <w:rPr>
            <w:noProof/>
            <w:webHidden/>
          </w:rPr>
          <w:fldChar w:fldCharType="end"/>
        </w:r>
      </w:hyperlink>
    </w:p>
    <w:p w14:paraId="4260B63C" w14:textId="3FFA0027" w:rsidR="00B65A2D" w:rsidRDefault="0084664F">
      <w:pPr>
        <w:pStyle w:val="TOC2"/>
        <w:tabs>
          <w:tab w:val="right" w:leader="dot" w:pos="9350"/>
        </w:tabs>
        <w:rPr>
          <w:rFonts w:eastAsiaTheme="minorEastAsia"/>
          <w:noProof/>
        </w:rPr>
      </w:pPr>
      <w:hyperlink w:anchor="_Toc41940265" w:history="1">
        <w:r w:rsidR="00B65A2D" w:rsidRPr="00103473">
          <w:rPr>
            <w:rStyle w:val="Hyperlink"/>
            <w:noProof/>
          </w:rPr>
          <w:t>SARA Pilots: Progress Narrative</w:t>
        </w:r>
        <w:r w:rsidR="00B65A2D">
          <w:rPr>
            <w:noProof/>
            <w:webHidden/>
          </w:rPr>
          <w:tab/>
        </w:r>
        <w:r w:rsidR="00B65A2D">
          <w:rPr>
            <w:noProof/>
            <w:webHidden/>
          </w:rPr>
          <w:fldChar w:fldCharType="begin"/>
        </w:r>
        <w:r w:rsidR="00B65A2D">
          <w:rPr>
            <w:noProof/>
            <w:webHidden/>
          </w:rPr>
          <w:instrText xml:space="preserve"> PAGEREF _Toc41940265 \h </w:instrText>
        </w:r>
        <w:r w:rsidR="00B65A2D">
          <w:rPr>
            <w:noProof/>
            <w:webHidden/>
          </w:rPr>
        </w:r>
        <w:r w:rsidR="00B65A2D">
          <w:rPr>
            <w:noProof/>
            <w:webHidden/>
          </w:rPr>
          <w:fldChar w:fldCharType="separate"/>
        </w:r>
        <w:r w:rsidR="00DE5A2C">
          <w:rPr>
            <w:noProof/>
            <w:webHidden/>
          </w:rPr>
          <w:t>133</w:t>
        </w:r>
        <w:r w:rsidR="00B65A2D">
          <w:rPr>
            <w:noProof/>
            <w:webHidden/>
          </w:rPr>
          <w:fldChar w:fldCharType="end"/>
        </w:r>
      </w:hyperlink>
    </w:p>
    <w:p w14:paraId="133BEEE5" w14:textId="043D4C06" w:rsidR="00B65A2D" w:rsidRDefault="0084664F">
      <w:pPr>
        <w:pStyle w:val="TOC3"/>
        <w:tabs>
          <w:tab w:val="right" w:leader="dot" w:pos="9350"/>
        </w:tabs>
        <w:rPr>
          <w:rFonts w:eastAsiaTheme="minorEastAsia"/>
          <w:noProof/>
        </w:rPr>
      </w:pPr>
      <w:hyperlink w:anchor="_Toc41940266" w:history="1">
        <w:r w:rsidR="00B65A2D" w:rsidRPr="00103473">
          <w:rPr>
            <w:rStyle w:val="Hyperlink"/>
            <w:noProof/>
          </w:rPr>
          <w:t>National Lens</w:t>
        </w:r>
        <w:r w:rsidR="00B65A2D">
          <w:rPr>
            <w:noProof/>
            <w:webHidden/>
          </w:rPr>
          <w:tab/>
        </w:r>
        <w:r w:rsidR="00B65A2D">
          <w:rPr>
            <w:noProof/>
            <w:webHidden/>
          </w:rPr>
          <w:fldChar w:fldCharType="begin"/>
        </w:r>
        <w:r w:rsidR="00B65A2D">
          <w:rPr>
            <w:noProof/>
            <w:webHidden/>
          </w:rPr>
          <w:instrText xml:space="preserve"> PAGEREF _Toc41940266 \h </w:instrText>
        </w:r>
        <w:r w:rsidR="00B65A2D">
          <w:rPr>
            <w:noProof/>
            <w:webHidden/>
          </w:rPr>
        </w:r>
        <w:r w:rsidR="00B65A2D">
          <w:rPr>
            <w:noProof/>
            <w:webHidden/>
          </w:rPr>
          <w:fldChar w:fldCharType="separate"/>
        </w:r>
        <w:r w:rsidR="00DE5A2C">
          <w:rPr>
            <w:noProof/>
            <w:webHidden/>
          </w:rPr>
          <w:t>133</w:t>
        </w:r>
        <w:r w:rsidR="00B65A2D">
          <w:rPr>
            <w:noProof/>
            <w:webHidden/>
          </w:rPr>
          <w:fldChar w:fldCharType="end"/>
        </w:r>
      </w:hyperlink>
    </w:p>
    <w:p w14:paraId="7D488B86" w14:textId="3D093FB4" w:rsidR="00B65A2D" w:rsidRDefault="0084664F">
      <w:pPr>
        <w:pStyle w:val="TOC3"/>
        <w:tabs>
          <w:tab w:val="right" w:leader="dot" w:pos="9350"/>
        </w:tabs>
        <w:rPr>
          <w:rFonts w:eastAsiaTheme="minorEastAsia"/>
          <w:noProof/>
        </w:rPr>
      </w:pPr>
      <w:hyperlink w:anchor="_Toc41940267" w:history="1">
        <w:r w:rsidR="00B65A2D" w:rsidRPr="00103473">
          <w:rPr>
            <w:rStyle w:val="Hyperlink"/>
            <w:noProof/>
          </w:rPr>
          <w:t>WINTAC Lens</w:t>
        </w:r>
        <w:r w:rsidR="00B65A2D">
          <w:rPr>
            <w:noProof/>
            <w:webHidden/>
          </w:rPr>
          <w:tab/>
        </w:r>
        <w:r w:rsidR="00B65A2D">
          <w:rPr>
            <w:noProof/>
            <w:webHidden/>
          </w:rPr>
          <w:fldChar w:fldCharType="begin"/>
        </w:r>
        <w:r w:rsidR="00B65A2D">
          <w:rPr>
            <w:noProof/>
            <w:webHidden/>
          </w:rPr>
          <w:instrText xml:space="preserve"> PAGEREF _Toc41940267 \h </w:instrText>
        </w:r>
        <w:r w:rsidR="00B65A2D">
          <w:rPr>
            <w:noProof/>
            <w:webHidden/>
          </w:rPr>
        </w:r>
        <w:r w:rsidR="00B65A2D">
          <w:rPr>
            <w:noProof/>
            <w:webHidden/>
          </w:rPr>
          <w:fldChar w:fldCharType="separate"/>
        </w:r>
        <w:r w:rsidR="00DE5A2C">
          <w:rPr>
            <w:noProof/>
            <w:webHidden/>
          </w:rPr>
          <w:t>133</w:t>
        </w:r>
        <w:r w:rsidR="00B65A2D">
          <w:rPr>
            <w:noProof/>
            <w:webHidden/>
          </w:rPr>
          <w:fldChar w:fldCharType="end"/>
        </w:r>
      </w:hyperlink>
    </w:p>
    <w:p w14:paraId="631D86B1" w14:textId="229387E2" w:rsidR="00B65A2D" w:rsidRDefault="0084664F" w:rsidP="00B65A2D">
      <w:pPr>
        <w:pStyle w:val="TOC1"/>
        <w:rPr>
          <w:rFonts w:eastAsiaTheme="minorEastAsia"/>
          <w:noProof/>
        </w:rPr>
      </w:pPr>
      <w:hyperlink w:anchor="_Toc41940268" w:history="1">
        <w:r w:rsidR="00B65A2D" w:rsidRPr="00103473">
          <w:rPr>
            <w:rStyle w:val="Hyperlink"/>
            <w:noProof/>
          </w:rPr>
          <w:t>H. THE CAREER INDEX PLUS PILOT PROJECTS</w:t>
        </w:r>
        <w:r w:rsidR="00B65A2D">
          <w:rPr>
            <w:noProof/>
            <w:webHidden/>
          </w:rPr>
          <w:tab/>
        </w:r>
        <w:r w:rsidR="00B65A2D">
          <w:rPr>
            <w:noProof/>
            <w:webHidden/>
          </w:rPr>
          <w:fldChar w:fldCharType="begin"/>
        </w:r>
        <w:r w:rsidR="00B65A2D">
          <w:rPr>
            <w:noProof/>
            <w:webHidden/>
          </w:rPr>
          <w:instrText xml:space="preserve"> PAGEREF _Toc41940268 \h </w:instrText>
        </w:r>
        <w:r w:rsidR="00B65A2D">
          <w:rPr>
            <w:noProof/>
            <w:webHidden/>
          </w:rPr>
        </w:r>
        <w:r w:rsidR="00B65A2D">
          <w:rPr>
            <w:noProof/>
            <w:webHidden/>
          </w:rPr>
          <w:fldChar w:fldCharType="separate"/>
        </w:r>
        <w:r w:rsidR="00DE5A2C">
          <w:rPr>
            <w:noProof/>
            <w:webHidden/>
          </w:rPr>
          <w:t>136</w:t>
        </w:r>
        <w:r w:rsidR="00B65A2D">
          <w:rPr>
            <w:noProof/>
            <w:webHidden/>
          </w:rPr>
          <w:fldChar w:fldCharType="end"/>
        </w:r>
      </w:hyperlink>
    </w:p>
    <w:p w14:paraId="7EC52D9B" w14:textId="31B70189" w:rsidR="00B65A2D" w:rsidRDefault="0084664F">
      <w:pPr>
        <w:pStyle w:val="TOC2"/>
        <w:tabs>
          <w:tab w:val="right" w:leader="dot" w:pos="9350"/>
        </w:tabs>
        <w:rPr>
          <w:rFonts w:eastAsiaTheme="minorEastAsia"/>
          <w:noProof/>
        </w:rPr>
      </w:pPr>
      <w:hyperlink w:anchor="_Toc41940269" w:history="1">
        <w:r w:rsidR="00B65A2D" w:rsidRPr="00103473">
          <w:rPr>
            <w:rStyle w:val="Hyperlink"/>
            <w:noProof/>
          </w:rPr>
          <w:t>TCI+ Pilots Logic Model</w:t>
        </w:r>
        <w:r w:rsidR="00B65A2D">
          <w:rPr>
            <w:noProof/>
            <w:webHidden/>
          </w:rPr>
          <w:tab/>
        </w:r>
        <w:r w:rsidR="00B65A2D">
          <w:rPr>
            <w:noProof/>
            <w:webHidden/>
          </w:rPr>
          <w:fldChar w:fldCharType="begin"/>
        </w:r>
        <w:r w:rsidR="00B65A2D">
          <w:rPr>
            <w:noProof/>
            <w:webHidden/>
          </w:rPr>
          <w:instrText xml:space="preserve"> PAGEREF _Toc41940269 \h </w:instrText>
        </w:r>
        <w:r w:rsidR="00B65A2D">
          <w:rPr>
            <w:noProof/>
            <w:webHidden/>
          </w:rPr>
        </w:r>
        <w:r w:rsidR="00B65A2D">
          <w:rPr>
            <w:noProof/>
            <w:webHidden/>
          </w:rPr>
          <w:fldChar w:fldCharType="separate"/>
        </w:r>
        <w:r w:rsidR="00DE5A2C">
          <w:rPr>
            <w:noProof/>
            <w:webHidden/>
          </w:rPr>
          <w:t>137</w:t>
        </w:r>
        <w:r w:rsidR="00B65A2D">
          <w:rPr>
            <w:noProof/>
            <w:webHidden/>
          </w:rPr>
          <w:fldChar w:fldCharType="end"/>
        </w:r>
      </w:hyperlink>
    </w:p>
    <w:p w14:paraId="6D73966E" w14:textId="4F256C30" w:rsidR="00B65A2D" w:rsidRDefault="0084664F">
      <w:pPr>
        <w:pStyle w:val="TOC2"/>
        <w:tabs>
          <w:tab w:val="right" w:leader="dot" w:pos="9350"/>
        </w:tabs>
        <w:rPr>
          <w:rFonts w:eastAsiaTheme="minorEastAsia"/>
          <w:noProof/>
        </w:rPr>
      </w:pPr>
      <w:hyperlink w:anchor="_Toc41940270" w:history="1">
        <w:r w:rsidR="00B65A2D" w:rsidRPr="00103473">
          <w:rPr>
            <w:rStyle w:val="Hyperlink"/>
            <w:noProof/>
          </w:rPr>
          <w:t>TCI+ Pilots: Activities &amp; Outputs Progress Dashboards</w:t>
        </w:r>
        <w:r w:rsidR="00B65A2D">
          <w:rPr>
            <w:noProof/>
            <w:webHidden/>
          </w:rPr>
          <w:tab/>
        </w:r>
        <w:r w:rsidR="00B65A2D">
          <w:rPr>
            <w:noProof/>
            <w:webHidden/>
          </w:rPr>
          <w:fldChar w:fldCharType="begin"/>
        </w:r>
        <w:r w:rsidR="00B65A2D">
          <w:rPr>
            <w:noProof/>
            <w:webHidden/>
          </w:rPr>
          <w:instrText xml:space="preserve"> PAGEREF _Toc41940270 \h </w:instrText>
        </w:r>
        <w:r w:rsidR="00B65A2D">
          <w:rPr>
            <w:noProof/>
            <w:webHidden/>
          </w:rPr>
        </w:r>
        <w:r w:rsidR="00B65A2D">
          <w:rPr>
            <w:noProof/>
            <w:webHidden/>
          </w:rPr>
          <w:fldChar w:fldCharType="separate"/>
        </w:r>
        <w:r w:rsidR="00DE5A2C">
          <w:rPr>
            <w:noProof/>
            <w:webHidden/>
          </w:rPr>
          <w:t>138</w:t>
        </w:r>
        <w:r w:rsidR="00B65A2D">
          <w:rPr>
            <w:noProof/>
            <w:webHidden/>
          </w:rPr>
          <w:fldChar w:fldCharType="end"/>
        </w:r>
      </w:hyperlink>
    </w:p>
    <w:p w14:paraId="065EF55F" w14:textId="437E47B5" w:rsidR="00B65A2D" w:rsidRDefault="0084664F">
      <w:pPr>
        <w:pStyle w:val="TOC2"/>
        <w:tabs>
          <w:tab w:val="right" w:leader="dot" w:pos="9350"/>
        </w:tabs>
        <w:rPr>
          <w:rFonts w:eastAsiaTheme="minorEastAsia"/>
          <w:noProof/>
        </w:rPr>
      </w:pPr>
      <w:hyperlink w:anchor="_Toc41940271" w:history="1">
        <w:r w:rsidR="00B65A2D" w:rsidRPr="00103473">
          <w:rPr>
            <w:rStyle w:val="Hyperlink"/>
            <w:noProof/>
          </w:rPr>
          <w:t>TCI+ Pilots: Outcomes Progress Dashboards</w:t>
        </w:r>
        <w:r w:rsidR="00B65A2D">
          <w:rPr>
            <w:noProof/>
            <w:webHidden/>
          </w:rPr>
          <w:tab/>
        </w:r>
        <w:r w:rsidR="00B65A2D">
          <w:rPr>
            <w:noProof/>
            <w:webHidden/>
          </w:rPr>
          <w:fldChar w:fldCharType="begin"/>
        </w:r>
        <w:r w:rsidR="00B65A2D">
          <w:rPr>
            <w:noProof/>
            <w:webHidden/>
          </w:rPr>
          <w:instrText xml:space="preserve"> PAGEREF _Toc41940271 \h </w:instrText>
        </w:r>
        <w:r w:rsidR="00B65A2D">
          <w:rPr>
            <w:noProof/>
            <w:webHidden/>
          </w:rPr>
        </w:r>
        <w:r w:rsidR="00B65A2D">
          <w:rPr>
            <w:noProof/>
            <w:webHidden/>
          </w:rPr>
          <w:fldChar w:fldCharType="separate"/>
        </w:r>
        <w:r w:rsidR="00DE5A2C">
          <w:rPr>
            <w:noProof/>
            <w:webHidden/>
          </w:rPr>
          <w:t>143</w:t>
        </w:r>
        <w:r w:rsidR="00B65A2D">
          <w:rPr>
            <w:noProof/>
            <w:webHidden/>
          </w:rPr>
          <w:fldChar w:fldCharType="end"/>
        </w:r>
      </w:hyperlink>
    </w:p>
    <w:p w14:paraId="03F7F749" w14:textId="19358CA2" w:rsidR="00B65A2D" w:rsidRDefault="0084664F">
      <w:pPr>
        <w:pStyle w:val="TOC2"/>
        <w:tabs>
          <w:tab w:val="right" w:leader="dot" w:pos="9350"/>
        </w:tabs>
        <w:rPr>
          <w:rFonts w:eastAsiaTheme="minorEastAsia"/>
          <w:noProof/>
        </w:rPr>
      </w:pPr>
      <w:hyperlink w:anchor="_Toc41940272" w:history="1">
        <w:r w:rsidR="00B65A2D" w:rsidRPr="00103473">
          <w:rPr>
            <w:rStyle w:val="Hyperlink"/>
            <w:noProof/>
          </w:rPr>
          <w:t>TCI+ Pilots: Resources</w:t>
        </w:r>
        <w:r w:rsidR="00B65A2D">
          <w:rPr>
            <w:noProof/>
            <w:webHidden/>
          </w:rPr>
          <w:tab/>
        </w:r>
        <w:r w:rsidR="00B65A2D">
          <w:rPr>
            <w:noProof/>
            <w:webHidden/>
          </w:rPr>
          <w:fldChar w:fldCharType="begin"/>
        </w:r>
        <w:r w:rsidR="00B65A2D">
          <w:rPr>
            <w:noProof/>
            <w:webHidden/>
          </w:rPr>
          <w:instrText xml:space="preserve"> PAGEREF _Toc41940272 \h </w:instrText>
        </w:r>
        <w:r w:rsidR="00B65A2D">
          <w:rPr>
            <w:noProof/>
            <w:webHidden/>
          </w:rPr>
        </w:r>
        <w:r w:rsidR="00B65A2D">
          <w:rPr>
            <w:noProof/>
            <w:webHidden/>
          </w:rPr>
          <w:fldChar w:fldCharType="separate"/>
        </w:r>
        <w:r w:rsidR="00DE5A2C">
          <w:rPr>
            <w:noProof/>
            <w:webHidden/>
          </w:rPr>
          <w:t>144</w:t>
        </w:r>
        <w:r w:rsidR="00B65A2D">
          <w:rPr>
            <w:noProof/>
            <w:webHidden/>
          </w:rPr>
          <w:fldChar w:fldCharType="end"/>
        </w:r>
      </w:hyperlink>
    </w:p>
    <w:p w14:paraId="5AD660B8" w14:textId="407D72FA" w:rsidR="00B65A2D" w:rsidRDefault="0084664F">
      <w:pPr>
        <w:pStyle w:val="TOC2"/>
        <w:tabs>
          <w:tab w:val="right" w:leader="dot" w:pos="9350"/>
        </w:tabs>
        <w:rPr>
          <w:rFonts w:eastAsiaTheme="minorEastAsia"/>
          <w:noProof/>
        </w:rPr>
      </w:pPr>
      <w:hyperlink w:anchor="_Toc41940273" w:history="1">
        <w:r w:rsidR="00B65A2D" w:rsidRPr="00103473">
          <w:rPr>
            <w:rStyle w:val="Hyperlink"/>
            <w:noProof/>
          </w:rPr>
          <w:t>TCI+ Pilots: Progress Narrative</w:t>
        </w:r>
        <w:r w:rsidR="00B65A2D">
          <w:rPr>
            <w:noProof/>
            <w:webHidden/>
          </w:rPr>
          <w:tab/>
        </w:r>
        <w:r w:rsidR="00B65A2D">
          <w:rPr>
            <w:noProof/>
            <w:webHidden/>
          </w:rPr>
          <w:fldChar w:fldCharType="begin"/>
        </w:r>
        <w:r w:rsidR="00B65A2D">
          <w:rPr>
            <w:noProof/>
            <w:webHidden/>
          </w:rPr>
          <w:instrText xml:space="preserve"> PAGEREF _Toc41940273 \h </w:instrText>
        </w:r>
        <w:r w:rsidR="00B65A2D">
          <w:rPr>
            <w:noProof/>
            <w:webHidden/>
          </w:rPr>
        </w:r>
        <w:r w:rsidR="00B65A2D">
          <w:rPr>
            <w:noProof/>
            <w:webHidden/>
          </w:rPr>
          <w:fldChar w:fldCharType="separate"/>
        </w:r>
        <w:r w:rsidR="00DE5A2C">
          <w:rPr>
            <w:noProof/>
            <w:webHidden/>
          </w:rPr>
          <w:t>145</w:t>
        </w:r>
        <w:r w:rsidR="00B65A2D">
          <w:rPr>
            <w:noProof/>
            <w:webHidden/>
          </w:rPr>
          <w:fldChar w:fldCharType="end"/>
        </w:r>
      </w:hyperlink>
    </w:p>
    <w:p w14:paraId="6D494B55" w14:textId="3ECB1B89" w:rsidR="00B65A2D" w:rsidRDefault="0084664F">
      <w:pPr>
        <w:pStyle w:val="TOC3"/>
        <w:tabs>
          <w:tab w:val="right" w:leader="dot" w:pos="9350"/>
        </w:tabs>
        <w:rPr>
          <w:rFonts w:eastAsiaTheme="minorEastAsia"/>
          <w:noProof/>
        </w:rPr>
      </w:pPr>
      <w:hyperlink w:anchor="_Toc41940274" w:history="1">
        <w:r w:rsidR="00B65A2D" w:rsidRPr="00103473">
          <w:rPr>
            <w:rStyle w:val="Hyperlink"/>
            <w:noProof/>
          </w:rPr>
          <w:t>National Lens</w:t>
        </w:r>
        <w:r w:rsidR="00B65A2D">
          <w:rPr>
            <w:noProof/>
            <w:webHidden/>
          </w:rPr>
          <w:tab/>
        </w:r>
        <w:r w:rsidR="00B65A2D">
          <w:rPr>
            <w:noProof/>
            <w:webHidden/>
          </w:rPr>
          <w:fldChar w:fldCharType="begin"/>
        </w:r>
        <w:r w:rsidR="00B65A2D">
          <w:rPr>
            <w:noProof/>
            <w:webHidden/>
          </w:rPr>
          <w:instrText xml:space="preserve"> PAGEREF _Toc41940274 \h </w:instrText>
        </w:r>
        <w:r w:rsidR="00B65A2D">
          <w:rPr>
            <w:noProof/>
            <w:webHidden/>
          </w:rPr>
        </w:r>
        <w:r w:rsidR="00B65A2D">
          <w:rPr>
            <w:noProof/>
            <w:webHidden/>
          </w:rPr>
          <w:fldChar w:fldCharType="separate"/>
        </w:r>
        <w:r w:rsidR="00DE5A2C">
          <w:rPr>
            <w:noProof/>
            <w:webHidden/>
          </w:rPr>
          <w:t>145</w:t>
        </w:r>
        <w:r w:rsidR="00B65A2D">
          <w:rPr>
            <w:noProof/>
            <w:webHidden/>
          </w:rPr>
          <w:fldChar w:fldCharType="end"/>
        </w:r>
      </w:hyperlink>
    </w:p>
    <w:p w14:paraId="2FDBE993" w14:textId="51AF8FB8" w:rsidR="00B65A2D" w:rsidRDefault="0084664F">
      <w:pPr>
        <w:pStyle w:val="TOC3"/>
        <w:tabs>
          <w:tab w:val="right" w:leader="dot" w:pos="9350"/>
        </w:tabs>
        <w:rPr>
          <w:rFonts w:eastAsiaTheme="minorEastAsia"/>
          <w:noProof/>
        </w:rPr>
      </w:pPr>
      <w:hyperlink w:anchor="_Toc41940275" w:history="1">
        <w:r w:rsidR="00B65A2D" w:rsidRPr="00103473">
          <w:rPr>
            <w:rStyle w:val="Hyperlink"/>
            <w:noProof/>
          </w:rPr>
          <w:t>WINTAC Lens</w:t>
        </w:r>
        <w:r w:rsidR="00B65A2D">
          <w:rPr>
            <w:noProof/>
            <w:webHidden/>
          </w:rPr>
          <w:tab/>
        </w:r>
        <w:r w:rsidR="00B65A2D">
          <w:rPr>
            <w:noProof/>
            <w:webHidden/>
          </w:rPr>
          <w:fldChar w:fldCharType="begin"/>
        </w:r>
        <w:r w:rsidR="00B65A2D">
          <w:rPr>
            <w:noProof/>
            <w:webHidden/>
          </w:rPr>
          <w:instrText xml:space="preserve"> PAGEREF _Toc41940275 \h </w:instrText>
        </w:r>
        <w:r w:rsidR="00B65A2D">
          <w:rPr>
            <w:noProof/>
            <w:webHidden/>
          </w:rPr>
        </w:r>
        <w:r w:rsidR="00B65A2D">
          <w:rPr>
            <w:noProof/>
            <w:webHidden/>
          </w:rPr>
          <w:fldChar w:fldCharType="separate"/>
        </w:r>
        <w:r w:rsidR="00DE5A2C">
          <w:rPr>
            <w:noProof/>
            <w:webHidden/>
          </w:rPr>
          <w:t>145</w:t>
        </w:r>
        <w:r w:rsidR="00B65A2D">
          <w:rPr>
            <w:noProof/>
            <w:webHidden/>
          </w:rPr>
          <w:fldChar w:fldCharType="end"/>
        </w:r>
      </w:hyperlink>
    </w:p>
    <w:p w14:paraId="229C833F" w14:textId="6C452BD8" w:rsidR="00B65A2D" w:rsidRDefault="0084664F" w:rsidP="00B65A2D">
      <w:pPr>
        <w:pStyle w:val="TOC1"/>
        <w:rPr>
          <w:rFonts w:eastAsiaTheme="minorEastAsia"/>
          <w:noProof/>
        </w:rPr>
      </w:pPr>
      <w:hyperlink w:anchor="_Toc41940276" w:history="1">
        <w:r w:rsidR="00B65A2D" w:rsidRPr="00103473">
          <w:rPr>
            <w:rStyle w:val="Hyperlink"/>
            <w:noProof/>
          </w:rPr>
          <w:t>I. PEER MENTORING</w:t>
        </w:r>
        <w:r w:rsidR="00B65A2D">
          <w:rPr>
            <w:noProof/>
            <w:webHidden/>
          </w:rPr>
          <w:tab/>
        </w:r>
        <w:r w:rsidR="00B65A2D">
          <w:rPr>
            <w:noProof/>
            <w:webHidden/>
          </w:rPr>
          <w:fldChar w:fldCharType="begin"/>
        </w:r>
        <w:r w:rsidR="00B65A2D">
          <w:rPr>
            <w:noProof/>
            <w:webHidden/>
          </w:rPr>
          <w:instrText xml:space="preserve"> PAGEREF _Toc41940276 \h </w:instrText>
        </w:r>
        <w:r w:rsidR="00B65A2D">
          <w:rPr>
            <w:noProof/>
            <w:webHidden/>
          </w:rPr>
        </w:r>
        <w:r w:rsidR="00B65A2D">
          <w:rPr>
            <w:noProof/>
            <w:webHidden/>
          </w:rPr>
          <w:fldChar w:fldCharType="separate"/>
        </w:r>
        <w:r w:rsidR="00DE5A2C">
          <w:rPr>
            <w:noProof/>
            <w:webHidden/>
          </w:rPr>
          <w:t>150</w:t>
        </w:r>
        <w:r w:rsidR="00B65A2D">
          <w:rPr>
            <w:noProof/>
            <w:webHidden/>
          </w:rPr>
          <w:fldChar w:fldCharType="end"/>
        </w:r>
      </w:hyperlink>
    </w:p>
    <w:p w14:paraId="6963CF5E" w14:textId="5B452807" w:rsidR="00B65A2D" w:rsidRDefault="0084664F">
      <w:pPr>
        <w:pStyle w:val="TOC2"/>
        <w:tabs>
          <w:tab w:val="right" w:leader="dot" w:pos="9350"/>
        </w:tabs>
        <w:rPr>
          <w:rFonts w:eastAsiaTheme="minorEastAsia"/>
          <w:noProof/>
        </w:rPr>
      </w:pPr>
      <w:hyperlink w:anchor="_Toc41940277" w:history="1">
        <w:r w:rsidR="00B65A2D" w:rsidRPr="00103473">
          <w:rPr>
            <w:rStyle w:val="Hyperlink"/>
            <w:noProof/>
          </w:rPr>
          <w:t>Peer Mentoring – ITA Logic Model</w:t>
        </w:r>
        <w:r w:rsidR="00B65A2D">
          <w:rPr>
            <w:noProof/>
            <w:webHidden/>
          </w:rPr>
          <w:tab/>
        </w:r>
        <w:r w:rsidR="00B65A2D">
          <w:rPr>
            <w:noProof/>
            <w:webHidden/>
          </w:rPr>
          <w:fldChar w:fldCharType="begin"/>
        </w:r>
        <w:r w:rsidR="00B65A2D">
          <w:rPr>
            <w:noProof/>
            <w:webHidden/>
          </w:rPr>
          <w:instrText xml:space="preserve"> PAGEREF _Toc41940277 \h </w:instrText>
        </w:r>
        <w:r w:rsidR="00B65A2D">
          <w:rPr>
            <w:noProof/>
            <w:webHidden/>
          </w:rPr>
        </w:r>
        <w:r w:rsidR="00B65A2D">
          <w:rPr>
            <w:noProof/>
            <w:webHidden/>
          </w:rPr>
          <w:fldChar w:fldCharType="separate"/>
        </w:r>
        <w:r w:rsidR="00DE5A2C">
          <w:rPr>
            <w:noProof/>
            <w:webHidden/>
          </w:rPr>
          <w:t>151</w:t>
        </w:r>
        <w:r w:rsidR="00B65A2D">
          <w:rPr>
            <w:noProof/>
            <w:webHidden/>
          </w:rPr>
          <w:fldChar w:fldCharType="end"/>
        </w:r>
      </w:hyperlink>
    </w:p>
    <w:p w14:paraId="35172DEE" w14:textId="1167FD06" w:rsidR="00B65A2D" w:rsidRDefault="0084664F">
      <w:pPr>
        <w:pStyle w:val="TOC2"/>
        <w:tabs>
          <w:tab w:val="right" w:leader="dot" w:pos="9350"/>
        </w:tabs>
        <w:rPr>
          <w:rFonts w:eastAsiaTheme="minorEastAsia"/>
          <w:noProof/>
        </w:rPr>
      </w:pPr>
      <w:hyperlink w:anchor="_Toc41940278" w:history="1">
        <w:r w:rsidR="00B65A2D" w:rsidRPr="00103473">
          <w:rPr>
            <w:rStyle w:val="Hyperlink"/>
            <w:noProof/>
          </w:rPr>
          <w:t>Peer Mentoring Activities &amp; Outputs Progress Dashboards</w:t>
        </w:r>
        <w:r w:rsidR="00B65A2D">
          <w:rPr>
            <w:noProof/>
            <w:webHidden/>
          </w:rPr>
          <w:tab/>
        </w:r>
        <w:r w:rsidR="00B65A2D">
          <w:rPr>
            <w:noProof/>
            <w:webHidden/>
          </w:rPr>
          <w:fldChar w:fldCharType="begin"/>
        </w:r>
        <w:r w:rsidR="00B65A2D">
          <w:rPr>
            <w:noProof/>
            <w:webHidden/>
          </w:rPr>
          <w:instrText xml:space="preserve"> PAGEREF _Toc41940278 \h </w:instrText>
        </w:r>
        <w:r w:rsidR="00B65A2D">
          <w:rPr>
            <w:noProof/>
            <w:webHidden/>
          </w:rPr>
        </w:r>
        <w:r w:rsidR="00B65A2D">
          <w:rPr>
            <w:noProof/>
            <w:webHidden/>
          </w:rPr>
          <w:fldChar w:fldCharType="separate"/>
        </w:r>
        <w:r w:rsidR="00DE5A2C">
          <w:rPr>
            <w:noProof/>
            <w:webHidden/>
          </w:rPr>
          <w:t>152</w:t>
        </w:r>
        <w:r w:rsidR="00B65A2D">
          <w:rPr>
            <w:noProof/>
            <w:webHidden/>
          </w:rPr>
          <w:fldChar w:fldCharType="end"/>
        </w:r>
      </w:hyperlink>
    </w:p>
    <w:p w14:paraId="5549C2B3" w14:textId="28468CAD" w:rsidR="00B65A2D" w:rsidRDefault="0084664F">
      <w:pPr>
        <w:pStyle w:val="TOC2"/>
        <w:tabs>
          <w:tab w:val="right" w:leader="dot" w:pos="9350"/>
        </w:tabs>
        <w:rPr>
          <w:rFonts w:eastAsiaTheme="minorEastAsia"/>
          <w:noProof/>
        </w:rPr>
      </w:pPr>
      <w:hyperlink w:anchor="_Toc41940279" w:history="1">
        <w:r w:rsidR="00B65A2D" w:rsidRPr="00103473">
          <w:rPr>
            <w:rStyle w:val="Hyperlink"/>
            <w:noProof/>
          </w:rPr>
          <w:t>Peer Mentoring: Outcomes Progress Dashboards</w:t>
        </w:r>
        <w:r w:rsidR="00B65A2D">
          <w:rPr>
            <w:noProof/>
            <w:webHidden/>
          </w:rPr>
          <w:tab/>
        </w:r>
        <w:r w:rsidR="00B65A2D">
          <w:rPr>
            <w:noProof/>
            <w:webHidden/>
          </w:rPr>
          <w:fldChar w:fldCharType="begin"/>
        </w:r>
        <w:r w:rsidR="00B65A2D">
          <w:rPr>
            <w:noProof/>
            <w:webHidden/>
          </w:rPr>
          <w:instrText xml:space="preserve"> PAGEREF _Toc41940279 \h </w:instrText>
        </w:r>
        <w:r w:rsidR="00B65A2D">
          <w:rPr>
            <w:noProof/>
            <w:webHidden/>
          </w:rPr>
        </w:r>
        <w:r w:rsidR="00B65A2D">
          <w:rPr>
            <w:noProof/>
            <w:webHidden/>
          </w:rPr>
          <w:fldChar w:fldCharType="separate"/>
        </w:r>
        <w:r w:rsidR="00DE5A2C">
          <w:rPr>
            <w:noProof/>
            <w:webHidden/>
          </w:rPr>
          <w:t>155</w:t>
        </w:r>
        <w:r w:rsidR="00B65A2D">
          <w:rPr>
            <w:noProof/>
            <w:webHidden/>
          </w:rPr>
          <w:fldChar w:fldCharType="end"/>
        </w:r>
      </w:hyperlink>
    </w:p>
    <w:p w14:paraId="09BF328F" w14:textId="625E2BBD" w:rsidR="00B65A2D" w:rsidRDefault="0084664F">
      <w:pPr>
        <w:pStyle w:val="TOC2"/>
        <w:tabs>
          <w:tab w:val="right" w:leader="dot" w:pos="9350"/>
        </w:tabs>
        <w:rPr>
          <w:rFonts w:eastAsiaTheme="minorEastAsia"/>
          <w:noProof/>
        </w:rPr>
      </w:pPr>
      <w:hyperlink w:anchor="_Toc41940280" w:history="1">
        <w:r w:rsidR="00B65A2D" w:rsidRPr="00103473">
          <w:rPr>
            <w:rStyle w:val="Hyperlink"/>
            <w:noProof/>
          </w:rPr>
          <w:t>Peer Mentoring: Progress Narrative</w:t>
        </w:r>
        <w:r w:rsidR="00B65A2D">
          <w:rPr>
            <w:noProof/>
            <w:webHidden/>
          </w:rPr>
          <w:tab/>
        </w:r>
        <w:r w:rsidR="00B65A2D">
          <w:rPr>
            <w:noProof/>
            <w:webHidden/>
          </w:rPr>
          <w:fldChar w:fldCharType="begin"/>
        </w:r>
        <w:r w:rsidR="00B65A2D">
          <w:rPr>
            <w:noProof/>
            <w:webHidden/>
          </w:rPr>
          <w:instrText xml:space="preserve"> PAGEREF _Toc41940280 \h </w:instrText>
        </w:r>
        <w:r w:rsidR="00B65A2D">
          <w:rPr>
            <w:noProof/>
            <w:webHidden/>
          </w:rPr>
        </w:r>
        <w:r w:rsidR="00B65A2D">
          <w:rPr>
            <w:noProof/>
            <w:webHidden/>
          </w:rPr>
          <w:fldChar w:fldCharType="separate"/>
        </w:r>
        <w:r w:rsidR="00DE5A2C">
          <w:rPr>
            <w:noProof/>
            <w:webHidden/>
          </w:rPr>
          <w:t>156</w:t>
        </w:r>
        <w:r w:rsidR="00B65A2D">
          <w:rPr>
            <w:noProof/>
            <w:webHidden/>
          </w:rPr>
          <w:fldChar w:fldCharType="end"/>
        </w:r>
      </w:hyperlink>
    </w:p>
    <w:p w14:paraId="07035026" w14:textId="6CD898D5" w:rsidR="00B65A2D" w:rsidRDefault="0084664F">
      <w:pPr>
        <w:pStyle w:val="TOC3"/>
        <w:tabs>
          <w:tab w:val="right" w:leader="dot" w:pos="9350"/>
        </w:tabs>
        <w:rPr>
          <w:rFonts w:eastAsiaTheme="minorEastAsia"/>
          <w:noProof/>
        </w:rPr>
      </w:pPr>
      <w:hyperlink w:anchor="_Toc41940281" w:history="1">
        <w:r w:rsidR="00B65A2D" w:rsidRPr="00103473">
          <w:rPr>
            <w:rStyle w:val="Hyperlink"/>
            <w:noProof/>
          </w:rPr>
          <w:t>National Lens</w:t>
        </w:r>
        <w:r w:rsidR="00B65A2D">
          <w:rPr>
            <w:noProof/>
            <w:webHidden/>
          </w:rPr>
          <w:tab/>
        </w:r>
        <w:r w:rsidR="00B65A2D">
          <w:rPr>
            <w:noProof/>
            <w:webHidden/>
          </w:rPr>
          <w:fldChar w:fldCharType="begin"/>
        </w:r>
        <w:r w:rsidR="00B65A2D">
          <w:rPr>
            <w:noProof/>
            <w:webHidden/>
          </w:rPr>
          <w:instrText xml:space="preserve"> PAGEREF _Toc41940281 \h </w:instrText>
        </w:r>
        <w:r w:rsidR="00B65A2D">
          <w:rPr>
            <w:noProof/>
            <w:webHidden/>
          </w:rPr>
        </w:r>
        <w:r w:rsidR="00B65A2D">
          <w:rPr>
            <w:noProof/>
            <w:webHidden/>
          </w:rPr>
          <w:fldChar w:fldCharType="separate"/>
        </w:r>
        <w:r w:rsidR="00DE5A2C">
          <w:rPr>
            <w:noProof/>
            <w:webHidden/>
          </w:rPr>
          <w:t>156</w:t>
        </w:r>
        <w:r w:rsidR="00B65A2D">
          <w:rPr>
            <w:noProof/>
            <w:webHidden/>
          </w:rPr>
          <w:fldChar w:fldCharType="end"/>
        </w:r>
      </w:hyperlink>
    </w:p>
    <w:p w14:paraId="25267E20" w14:textId="6A088F2F" w:rsidR="00B65A2D" w:rsidRDefault="0084664F">
      <w:pPr>
        <w:pStyle w:val="TOC3"/>
        <w:tabs>
          <w:tab w:val="right" w:leader="dot" w:pos="9350"/>
        </w:tabs>
        <w:rPr>
          <w:rFonts w:eastAsiaTheme="minorEastAsia"/>
          <w:noProof/>
        </w:rPr>
      </w:pPr>
      <w:hyperlink w:anchor="_Toc41940282" w:history="1">
        <w:r w:rsidR="00B65A2D" w:rsidRPr="00103473">
          <w:rPr>
            <w:rStyle w:val="Hyperlink"/>
            <w:noProof/>
          </w:rPr>
          <w:t>WINTAC Lens</w:t>
        </w:r>
        <w:r w:rsidR="00B65A2D">
          <w:rPr>
            <w:noProof/>
            <w:webHidden/>
          </w:rPr>
          <w:tab/>
        </w:r>
        <w:r w:rsidR="00B65A2D">
          <w:rPr>
            <w:noProof/>
            <w:webHidden/>
          </w:rPr>
          <w:fldChar w:fldCharType="begin"/>
        </w:r>
        <w:r w:rsidR="00B65A2D">
          <w:rPr>
            <w:noProof/>
            <w:webHidden/>
          </w:rPr>
          <w:instrText xml:space="preserve"> PAGEREF _Toc41940282 \h </w:instrText>
        </w:r>
        <w:r w:rsidR="00B65A2D">
          <w:rPr>
            <w:noProof/>
            <w:webHidden/>
          </w:rPr>
        </w:r>
        <w:r w:rsidR="00B65A2D">
          <w:rPr>
            <w:noProof/>
            <w:webHidden/>
          </w:rPr>
          <w:fldChar w:fldCharType="separate"/>
        </w:r>
        <w:r w:rsidR="00DE5A2C">
          <w:rPr>
            <w:noProof/>
            <w:webHidden/>
          </w:rPr>
          <w:t>156</w:t>
        </w:r>
        <w:r w:rsidR="00B65A2D">
          <w:rPr>
            <w:noProof/>
            <w:webHidden/>
          </w:rPr>
          <w:fldChar w:fldCharType="end"/>
        </w:r>
      </w:hyperlink>
    </w:p>
    <w:p w14:paraId="50C14D91" w14:textId="2B69FCB4" w:rsidR="00B65A2D" w:rsidRDefault="0084664F" w:rsidP="00B65A2D">
      <w:pPr>
        <w:pStyle w:val="TOC1"/>
        <w:rPr>
          <w:rFonts w:eastAsiaTheme="minorEastAsia"/>
          <w:noProof/>
        </w:rPr>
      </w:pPr>
      <w:hyperlink w:anchor="_Toc41940283" w:history="1">
        <w:r w:rsidR="00B65A2D" w:rsidRPr="00103473">
          <w:rPr>
            <w:rStyle w:val="Hyperlink"/>
            <w:noProof/>
          </w:rPr>
          <w:t>J. BUSINESS ENGAGEMENT</w:t>
        </w:r>
        <w:r w:rsidR="00B65A2D">
          <w:rPr>
            <w:noProof/>
            <w:webHidden/>
          </w:rPr>
          <w:tab/>
        </w:r>
        <w:r w:rsidR="00B65A2D">
          <w:rPr>
            <w:noProof/>
            <w:webHidden/>
          </w:rPr>
          <w:fldChar w:fldCharType="begin"/>
        </w:r>
        <w:r w:rsidR="00B65A2D">
          <w:rPr>
            <w:noProof/>
            <w:webHidden/>
          </w:rPr>
          <w:instrText xml:space="preserve"> PAGEREF _Toc41940283 \h </w:instrText>
        </w:r>
        <w:r w:rsidR="00B65A2D">
          <w:rPr>
            <w:noProof/>
            <w:webHidden/>
          </w:rPr>
        </w:r>
        <w:r w:rsidR="00B65A2D">
          <w:rPr>
            <w:noProof/>
            <w:webHidden/>
          </w:rPr>
          <w:fldChar w:fldCharType="separate"/>
        </w:r>
        <w:r w:rsidR="00DE5A2C">
          <w:rPr>
            <w:noProof/>
            <w:webHidden/>
          </w:rPr>
          <w:t>159</w:t>
        </w:r>
        <w:r w:rsidR="00B65A2D">
          <w:rPr>
            <w:noProof/>
            <w:webHidden/>
          </w:rPr>
          <w:fldChar w:fldCharType="end"/>
        </w:r>
      </w:hyperlink>
    </w:p>
    <w:p w14:paraId="22C99981" w14:textId="38CF26E0" w:rsidR="00B65A2D" w:rsidRDefault="0084664F">
      <w:pPr>
        <w:pStyle w:val="TOC2"/>
        <w:tabs>
          <w:tab w:val="right" w:leader="dot" w:pos="9350"/>
        </w:tabs>
        <w:rPr>
          <w:rFonts w:eastAsiaTheme="minorEastAsia"/>
          <w:noProof/>
        </w:rPr>
      </w:pPr>
      <w:hyperlink w:anchor="_Toc41940284" w:history="1">
        <w:r w:rsidR="00B65A2D" w:rsidRPr="00103473">
          <w:rPr>
            <w:rStyle w:val="Hyperlink"/>
            <w:noProof/>
          </w:rPr>
          <w:t>Business Engagement – ITA Logic Model</w:t>
        </w:r>
        <w:r w:rsidR="00B65A2D">
          <w:rPr>
            <w:noProof/>
            <w:webHidden/>
          </w:rPr>
          <w:tab/>
        </w:r>
        <w:r w:rsidR="00B65A2D">
          <w:rPr>
            <w:noProof/>
            <w:webHidden/>
          </w:rPr>
          <w:fldChar w:fldCharType="begin"/>
        </w:r>
        <w:r w:rsidR="00B65A2D">
          <w:rPr>
            <w:noProof/>
            <w:webHidden/>
          </w:rPr>
          <w:instrText xml:space="preserve"> PAGEREF _Toc41940284 \h </w:instrText>
        </w:r>
        <w:r w:rsidR="00B65A2D">
          <w:rPr>
            <w:noProof/>
            <w:webHidden/>
          </w:rPr>
        </w:r>
        <w:r w:rsidR="00B65A2D">
          <w:rPr>
            <w:noProof/>
            <w:webHidden/>
          </w:rPr>
          <w:fldChar w:fldCharType="separate"/>
        </w:r>
        <w:r w:rsidR="00DE5A2C">
          <w:rPr>
            <w:noProof/>
            <w:webHidden/>
          </w:rPr>
          <w:t>160</w:t>
        </w:r>
        <w:r w:rsidR="00B65A2D">
          <w:rPr>
            <w:noProof/>
            <w:webHidden/>
          </w:rPr>
          <w:fldChar w:fldCharType="end"/>
        </w:r>
      </w:hyperlink>
    </w:p>
    <w:p w14:paraId="2B12BDEF" w14:textId="43D155C8" w:rsidR="00B65A2D" w:rsidRDefault="0084664F">
      <w:pPr>
        <w:pStyle w:val="TOC2"/>
        <w:tabs>
          <w:tab w:val="right" w:leader="dot" w:pos="9350"/>
        </w:tabs>
        <w:rPr>
          <w:rFonts w:eastAsiaTheme="minorEastAsia"/>
          <w:noProof/>
        </w:rPr>
      </w:pPr>
      <w:hyperlink w:anchor="_Toc41940285" w:history="1">
        <w:r w:rsidR="00B65A2D" w:rsidRPr="00103473">
          <w:rPr>
            <w:rStyle w:val="Hyperlink"/>
            <w:noProof/>
          </w:rPr>
          <w:t>Business Engagement: Activities &amp; Outputs Progress Dashboards</w:t>
        </w:r>
        <w:r w:rsidR="00B65A2D">
          <w:rPr>
            <w:noProof/>
            <w:webHidden/>
          </w:rPr>
          <w:tab/>
        </w:r>
        <w:r w:rsidR="00B65A2D">
          <w:rPr>
            <w:noProof/>
            <w:webHidden/>
          </w:rPr>
          <w:fldChar w:fldCharType="begin"/>
        </w:r>
        <w:r w:rsidR="00B65A2D">
          <w:rPr>
            <w:noProof/>
            <w:webHidden/>
          </w:rPr>
          <w:instrText xml:space="preserve"> PAGEREF _Toc41940285 \h </w:instrText>
        </w:r>
        <w:r w:rsidR="00B65A2D">
          <w:rPr>
            <w:noProof/>
            <w:webHidden/>
          </w:rPr>
        </w:r>
        <w:r w:rsidR="00B65A2D">
          <w:rPr>
            <w:noProof/>
            <w:webHidden/>
          </w:rPr>
          <w:fldChar w:fldCharType="separate"/>
        </w:r>
        <w:r w:rsidR="00DE5A2C">
          <w:rPr>
            <w:noProof/>
            <w:webHidden/>
          </w:rPr>
          <w:t>161</w:t>
        </w:r>
        <w:r w:rsidR="00B65A2D">
          <w:rPr>
            <w:noProof/>
            <w:webHidden/>
          </w:rPr>
          <w:fldChar w:fldCharType="end"/>
        </w:r>
      </w:hyperlink>
    </w:p>
    <w:p w14:paraId="090D4C06" w14:textId="08E038DE" w:rsidR="00B65A2D" w:rsidRDefault="0084664F">
      <w:pPr>
        <w:pStyle w:val="TOC2"/>
        <w:tabs>
          <w:tab w:val="right" w:leader="dot" w:pos="9350"/>
        </w:tabs>
        <w:rPr>
          <w:rFonts w:eastAsiaTheme="minorEastAsia"/>
          <w:noProof/>
        </w:rPr>
      </w:pPr>
      <w:hyperlink w:anchor="_Toc41940286" w:history="1">
        <w:r w:rsidR="00B65A2D" w:rsidRPr="00103473">
          <w:rPr>
            <w:rStyle w:val="Hyperlink"/>
            <w:noProof/>
          </w:rPr>
          <w:t>Business Engagement: Outcomes Progress Dashboards</w:t>
        </w:r>
        <w:r w:rsidR="00B65A2D">
          <w:rPr>
            <w:noProof/>
            <w:webHidden/>
          </w:rPr>
          <w:tab/>
        </w:r>
        <w:r w:rsidR="00B65A2D">
          <w:rPr>
            <w:noProof/>
            <w:webHidden/>
          </w:rPr>
          <w:fldChar w:fldCharType="begin"/>
        </w:r>
        <w:r w:rsidR="00B65A2D">
          <w:rPr>
            <w:noProof/>
            <w:webHidden/>
          </w:rPr>
          <w:instrText xml:space="preserve"> PAGEREF _Toc41940286 \h </w:instrText>
        </w:r>
        <w:r w:rsidR="00B65A2D">
          <w:rPr>
            <w:noProof/>
            <w:webHidden/>
          </w:rPr>
        </w:r>
        <w:r w:rsidR="00B65A2D">
          <w:rPr>
            <w:noProof/>
            <w:webHidden/>
          </w:rPr>
          <w:fldChar w:fldCharType="separate"/>
        </w:r>
        <w:r w:rsidR="00DE5A2C">
          <w:rPr>
            <w:noProof/>
            <w:webHidden/>
          </w:rPr>
          <w:t>166</w:t>
        </w:r>
        <w:r w:rsidR="00B65A2D">
          <w:rPr>
            <w:noProof/>
            <w:webHidden/>
          </w:rPr>
          <w:fldChar w:fldCharType="end"/>
        </w:r>
      </w:hyperlink>
    </w:p>
    <w:p w14:paraId="5E2A3F9F" w14:textId="16CAAF5E" w:rsidR="00B65A2D" w:rsidRDefault="0084664F">
      <w:pPr>
        <w:pStyle w:val="TOC2"/>
        <w:tabs>
          <w:tab w:val="right" w:leader="dot" w:pos="9350"/>
        </w:tabs>
        <w:rPr>
          <w:rFonts w:eastAsiaTheme="minorEastAsia"/>
          <w:noProof/>
        </w:rPr>
      </w:pPr>
      <w:hyperlink w:anchor="_Toc41940287" w:history="1">
        <w:r w:rsidR="00B65A2D" w:rsidRPr="00103473">
          <w:rPr>
            <w:rStyle w:val="Hyperlink"/>
            <w:noProof/>
          </w:rPr>
          <w:t>Business Engagement ITAs: Resources</w:t>
        </w:r>
        <w:r w:rsidR="00B65A2D">
          <w:rPr>
            <w:noProof/>
            <w:webHidden/>
          </w:rPr>
          <w:tab/>
        </w:r>
        <w:r w:rsidR="00B65A2D">
          <w:rPr>
            <w:noProof/>
            <w:webHidden/>
          </w:rPr>
          <w:fldChar w:fldCharType="begin"/>
        </w:r>
        <w:r w:rsidR="00B65A2D">
          <w:rPr>
            <w:noProof/>
            <w:webHidden/>
          </w:rPr>
          <w:instrText xml:space="preserve"> PAGEREF _Toc41940287 \h </w:instrText>
        </w:r>
        <w:r w:rsidR="00B65A2D">
          <w:rPr>
            <w:noProof/>
            <w:webHidden/>
          </w:rPr>
        </w:r>
        <w:r w:rsidR="00B65A2D">
          <w:rPr>
            <w:noProof/>
            <w:webHidden/>
          </w:rPr>
          <w:fldChar w:fldCharType="separate"/>
        </w:r>
        <w:r w:rsidR="00DE5A2C">
          <w:rPr>
            <w:noProof/>
            <w:webHidden/>
          </w:rPr>
          <w:t>169</w:t>
        </w:r>
        <w:r w:rsidR="00B65A2D">
          <w:rPr>
            <w:noProof/>
            <w:webHidden/>
          </w:rPr>
          <w:fldChar w:fldCharType="end"/>
        </w:r>
      </w:hyperlink>
    </w:p>
    <w:p w14:paraId="15D78E81" w14:textId="0B1CC8FC" w:rsidR="00B65A2D" w:rsidRDefault="0084664F">
      <w:pPr>
        <w:pStyle w:val="TOC2"/>
        <w:tabs>
          <w:tab w:val="right" w:leader="dot" w:pos="9350"/>
        </w:tabs>
        <w:rPr>
          <w:rFonts w:eastAsiaTheme="minorEastAsia"/>
          <w:noProof/>
        </w:rPr>
      </w:pPr>
      <w:hyperlink w:anchor="_Toc41940288" w:history="1">
        <w:r w:rsidR="00B65A2D" w:rsidRPr="00103473">
          <w:rPr>
            <w:rStyle w:val="Hyperlink"/>
            <w:noProof/>
          </w:rPr>
          <w:t>Business Enagement ITAs: Progress Narrative</w:t>
        </w:r>
        <w:r w:rsidR="00B65A2D">
          <w:rPr>
            <w:noProof/>
            <w:webHidden/>
          </w:rPr>
          <w:tab/>
        </w:r>
        <w:r w:rsidR="00B65A2D">
          <w:rPr>
            <w:noProof/>
            <w:webHidden/>
          </w:rPr>
          <w:fldChar w:fldCharType="begin"/>
        </w:r>
        <w:r w:rsidR="00B65A2D">
          <w:rPr>
            <w:noProof/>
            <w:webHidden/>
          </w:rPr>
          <w:instrText xml:space="preserve"> PAGEREF _Toc41940288 \h </w:instrText>
        </w:r>
        <w:r w:rsidR="00B65A2D">
          <w:rPr>
            <w:noProof/>
            <w:webHidden/>
          </w:rPr>
        </w:r>
        <w:r w:rsidR="00B65A2D">
          <w:rPr>
            <w:noProof/>
            <w:webHidden/>
          </w:rPr>
          <w:fldChar w:fldCharType="separate"/>
        </w:r>
        <w:r w:rsidR="00DE5A2C">
          <w:rPr>
            <w:noProof/>
            <w:webHidden/>
          </w:rPr>
          <w:t>171</w:t>
        </w:r>
        <w:r w:rsidR="00B65A2D">
          <w:rPr>
            <w:noProof/>
            <w:webHidden/>
          </w:rPr>
          <w:fldChar w:fldCharType="end"/>
        </w:r>
      </w:hyperlink>
    </w:p>
    <w:p w14:paraId="0982B93E" w14:textId="2BE37421" w:rsidR="00B65A2D" w:rsidRDefault="0084664F">
      <w:pPr>
        <w:pStyle w:val="TOC3"/>
        <w:tabs>
          <w:tab w:val="right" w:leader="dot" w:pos="9350"/>
        </w:tabs>
        <w:rPr>
          <w:rFonts w:eastAsiaTheme="minorEastAsia"/>
          <w:noProof/>
        </w:rPr>
      </w:pPr>
      <w:hyperlink w:anchor="_Toc41940289" w:history="1">
        <w:r w:rsidR="00B65A2D" w:rsidRPr="00103473">
          <w:rPr>
            <w:rStyle w:val="Hyperlink"/>
            <w:noProof/>
          </w:rPr>
          <w:t>National Lens</w:t>
        </w:r>
        <w:r w:rsidR="00B65A2D">
          <w:rPr>
            <w:noProof/>
            <w:webHidden/>
          </w:rPr>
          <w:tab/>
        </w:r>
        <w:r w:rsidR="00B65A2D">
          <w:rPr>
            <w:noProof/>
            <w:webHidden/>
          </w:rPr>
          <w:fldChar w:fldCharType="begin"/>
        </w:r>
        <w:r w:rsidR="00B65A2D">
          <w:rPr>
            <w:noProof/>
            <w:webHidden/>
          </w:rPr>
          <w:instrText xml:space="preserve"> PAGEREF _Toc41940289 \h </w:instrText>
        </w:r>
        <w:r w:rsidR="00B65A2D">
          <w:rPr>
            <w:noProof/>
            <w:webHidden/>
          </w:rPr>
        </w:r>
        <w:r w:rsidR="00B65A2D">
          <w:rPr>
            <w:noProof/>
            <w:webHidden/>
          </w:rPr>
          <w:fldChar w:fldCharType="separate"/>
        </w:r>
        <w:r w:rsidR="00DE5A2C">
          <w:rPr>
            <w:noProof/>
            <w:webHidden/>
          </w:rPr>
          <w:t>171</w:t>
        </w:r>
        <w:r w:rsidR="00B65A2D">
          <w:rPr>
            <w:noProof/>
            <w:webHidden/>
          </w:rPr>
          <w:fldChar w:fldCharType="end"/>
        </w:r>
      </w:hyperlink>
    </w:p>
    <w:p w14:paraId="770932D9" w14:textId="7F8FD142" w:rsidR="00B65A2D" w:rsidRDefault="0084664F">
      <w:pPr>
        <w:pStyle w:val="TOC3"/>
        <w:tabs>
          <w:tab w:val="right" w:leader="dot" w:pos="9350"/>
        </w:tabs>
        <w:rPr>
          <w:rFonts w:eastAsiaTheme="minorEastAsia"/>
          <w:noProof/>
        </w:rPr>
      </w:pPr>
      <w:hyperlink w:anchor="_Toc41940290" w:history="1">
        <w:r w:rsidR="00B65A2D" w:rsidRPr="00103473">
          <w:rPr>
            <w:rStyle w:val="Hyperlink"/>
            <w:noProof/>
          </w:rPr>
          <w:t>WINTAC Lens</w:t>
        </w:r>
        <w:r w:rsidR="00B65A2D">
          <w:rPr>
            <w:noProof/>
            <w:webHidden/>
          </w:rPr>
          <w:tab/>
        </w:r>
        <w:r w:rsidR="00B65A2D">
          <w:rPr>
            <w:noProof/>
            <w:webHidden/>
          </w:rPr>
          <w:fldChar w:fldCharType="begin"/>
        </w:r>
        <w:r w:rsidR="00B65A2D">
          <w:rPr>
            <w:noProof/>
            <w:webHidden/>
          </w:rPr>
          <w:instrText xml:space="preserve"> PAGEREF _Toc41940290 \h </w:instrText>
        </w:r>
        <w:r w:rsidR="00B65A2D">
          <w:rPr>
            <w:noProof/>
            <w:webHidden/>
          </w:rPr>
        </w:r>
        <w:r w:rsidR="00B65A2D">
          <w:rPr>
            <w:noProof/>
            <w:webHidden/>
          </w:rPr>
          <w:fldChar w:fldCharType="separate"/>
        </w:r>
        <w:r w:rsidR="00DE5A2C">
          <w:rPr>
            <w:noProof/>
            <w:webHidden/>
          </w:rPr>
          <w:t>171</w:t>
        </w:r>
        <w:r w:rsidR="00B65A2D">
          <w:rPr>
            <w:noProof/>
            <w:webHidden/>
          </w:rPr>
          <w:fldChar w:fldCharType="end"/>
        </w:r>
      </w:hyperlink>
    </w:p>
    <w:p w14:paraId="36F098EE" w14:textId="1BA5ACC6" w:rsidR="00B65A2D" w:rsidRDefault="0084664F" w:rsidP="00B65A2D">
      <w:pPr>
        <w:pStyle w:val="TOC1"/>
        <w:rPr>
          <w:rFonts w:eastAsiaTheme="minorEastAsia"/>
          <w:noProof/>
        </w:rPr>
      </w:pPr>
      <w:hyperlink w:anchor="_Toc41940291" w:history="1">
        <w:r w:rsidR="00B65A2D" w:rsidRPr="00103473">
          <w:rPr>
            <w:rStyle w:val="Hyperlink"/>
            <w:noProof/>
          </w:rPr>
          <w:t>L. APPRENTICESHIP</w:t>
        </w:r>
        <w:r w:rsidR="00B65A2D">
          <w:rPr>
            <w:noProof/>
            <w:webHidden/>
          </w:rPr>
          <w:tab/>
        </w:r>
        <w:r w:rsidR="00B65A2D">
          <w:rPr>
            <w:noProof/>
            <w:webHidden/>
          </w:rPr>
          <w:fldChar w:fldCharType="begin"/>
        </w:r>
        <w:r w:rsidR="00B65A2D">
          <w:rPr>
            <w:noProof/>
            <w:webHidden/>
          </w:rPr>
          <w:instrText xml:space="preserve"> PAGEREF _Toc41940291 \h </w:instrText>
        </w:r>
        <w:r w:rsidR="00B65A2D">
          <w:rPr>
            <w:noProof/>
            <w:webHidden/>
          </w:rPr>
        </w:r>
        <w:r w:rsidR="00B65A2D">
          <w:rPr>
            <w:noProof/>
            <w:webHidden/>
          </w:rPr>
          <w:fldChar w:fldCharType="separate"/>
        </w:r>
        <w:r w:rsidR="00DE5A2C">
          <w:rPr>
            <w:noProof/>
            <w:webHidden/>
          </w:rPr>
          <w:t>174</w:t>
        </w:r>
        <w:r w:rsidR="00B65A2D">
          <w:rPr>
            <w:noProof/>
            <w:webHidden/>
          </w:rPr>
          <w:fldChar w:fldCharType="end"/>
        </w:r>
      </w:hyperlink>
    </w:p>
    <w:p w14:paraId="4727C418" w14:textId="1C1E1CCB" w:rsidR="00B65A2D" w:rsidRDefault="0084664F">
      <w:pPr>
        <w:pStyle w:val="TOC2"/>
        <w:tabs>
          <w:tab w:val="right" w:leader="dot" w:pos="9350"/>
        </w:tabs>
        <w:rPr>
          <w:rFonts w:eastAsiaTheme="minorEastAsia"/>
          <w:noProof/>
        </w:rPr>
      </w:pPr>
      <w:hyperlink w:anchor="_Toc41940292" w:history="1">
        <w:r w:rsidR="00B65A2D" w:rsidRPr="00103473">
          <w:rPr>
            <w:rStyle w:val="Hyperlink"/>
            <w:noProof/>
          </w:rPr>
          <w:t>Apprenticeship – ITA Logic Model</w:t>
        </w:r>
        <w:r w:rsidR="00B65A2D">
          <w:rPr>
            <w:noProof/>
            <w:webHidden/>
          </w:rPr>
          <w:tab/>
        </w:r>
        <w:r w:rsidR="00B65A2D">
          <w:rPr>
            <w:noProof/>
            <w:webHidden/>
          </w:rPr>
          <w:fldChar w:fldCharType="begin"/>
        </w:r>
        <w:r w:rsidR="00B65A2D">
          <w:rPr>
            <w:noProof/>
            <w:webHidden/>
          </w:rPr>
          <w:instrText xml:space="preserve"> PAGEREF _Toc41940292 \h </w:instrText>
        </w:r>
        <w:r w:rsidR="00B65A2D">
          <w:rPr>
            <w:noProof/>
            <w:webHidden/>
          </w:rPr>
        </w:r>
        <w:r w:rsidR="00B65A2D">
          <w:rPr>
            <w:noProof/>
            <w:webHidden/>
          </w:rPr>
          <w:fldChar w:fldCharType="separate"/>
        </w:r>
        <w:r w:rsidR="00DE5A2C">
          <w:rPr>
            <w:noProof/>
            <w:webHidden/>
          </w:rPr>
          <w:t>175</w:t>
        </w:r>
        <w:r w:rsidR="00B65A2D">
          <w:rPr>
            <w:noProof/>
            <w:webHidden/>
          </w:rPr>
          <w:fldChar w:fldCharType="end"/>
        </w:r>
      </w:hyperlink>
    </w:p>
    <w:p w14:paraId="5B9A9A31" w14:textId="141C6AB3" w:rsidR="00B65A2D" w:rsidRDefault="0084664F">
      <w:pPr>
        <w:pStyle w:val="TOC2"/>
        <w:tabs>
          <w:tab w:val="right" w:leader="dot" w:pos="9350"/>
        </w:tabs>
        <w:rPr>
          <w:rFonts w:eastAsiaTheme="minorEastAsia"/>
          <w:noProof/>
        </w:rPr>
      </w:pPr>
      <w:hyperlink w:anchor="_Toc41940293" w:history="1">
        <w:r w:rsidR="00B65A2D" w:rsidRPr="00103473">
          <w:rPr>
            <w:rStyle w:val="Hyperlink"/>
            <w:noProof/>
          </w:rPr>
          <w:t>Apprenticeship: Activities &amp; Outputs Progress Dashboards</w:t>
        </w:r>
        <w:r w:rsidR="00B65A2D">
          <w:rPr>
            <w:noProof/>
            <w:webHidden/>
          </w:rPr>
          <w:tab/>
        </w:r>
        <w:r w:rsidR="00B65A2D">
          <w:rPr>
            <w:noProof/>
            <w:webHidden/>
          </w:rPr>
          <w:fldChar w:fldCharType="begin"/>
        </w:r>
        <w:r w:rsidR="00B65A2D">
          <w:rPr>
            <w:noProof/>
            <w:webHidden/>
          </w:rPr>
          <w:instrText xml:space="preserve"> PAGEREF _Toc41940293 \h </w:instrText>
        </w:r>
        <w:r w:rsidR="00B65A2D">
          <w:rPr>
            <w:noProof/>
            <w:webHidden/>
          </w:rPr>
        </w:r>
        <w:r w:rsidR="00B65A2D">
          <w:rPr>
            <w:noProof/>
            <w:webHidden/>
          </w:rPr>
          <w:fldChar w:fldCharType="separate"/>
        </w:r>
        <w:r w:rsidR="00DE5A2C">
          <w:rPr>
            <w:noProof/>
            <w:webHidden/>
          </w:rPr>
          <w:t>176</w:t>
        </w:r>
        <w:r w:rsidR="00B65A2D">
          <w:rPr>
            <w:noProof/>
            <w:webHidden/>
          </w:rPr>
          <w:fldChar w:fldCharType="end"/>
        </w:r>
      </w:hyperlink>
    </w:p>
    <w:p w14:paraId="551A42F5" w14:textId="31B1A5DF" w:rsidR="00B65A2D" w:rsidRDefault="0084664F">
      <w:pPr>
        <w:pStyle w:val="TOC2"/>
        <w:tabs>
          <w:tab w:val="right" w:leader="dot" w:pos="9350"/>
        </w:tabs>
        <w:rPr>
          <w:rFonts w:eastAsiaTheme="minorEastAsia"/>
          <w:noProof/>
        </w:rPr>
      </w:pPr>
      <w:hyperlink w:anchor="_Toc41940294" w:history="1">
        <w:r w:rsidR="00B65A2D" w:rsidRPr="00103473">
          <w:rPr>
            <w:rStyle w:val="Hyperlink"/>
            <w:noProof/>
          </w:rPr>
          <w:t>Apprenticeship: Outcomes Progress Dashboards</w:t>
        </w:r>
        <w:r w:rsidR="00B65A2D">
          <w:rPr>
            <w:noProof/>
            <w:webHidden/>
          </w:rPr>
          <w:tab/>
        </w:r>
        <w:r w:rsidR="00B65A2D">
          <w:rPr>
            <w:noProof/>
            <w:webHidden/>
          </w:rPr>
          <w:fldChar w:fldCharType="begin"/>
        </w:r>
        <w:r w:rsidR="00B65A2D">
          <w:rPr>
            <w:noProof/>
            <w:webHidden/>
          </w:rPr>
          <w:instrText xml:space="preserve"> PAGEREF _Toc41940294 \h </w:instrText>
        </w:r>
        <w:r w:rsidR="00B65A2D">
          <w:rPr>
            <w:noProof/>
            <w:webHidden/>
          </w:rPr>
        </w:r>
        <w:r w:rsidR="00B65A2D">
          <w:rPr>
            <w:noProof/>
            <w:webHidden/>
          </w:rPr>
          <w:fldChar w:fldCharType="separate"/>
        </w:r>
        <w:r w:rsidR="00DE5A2C">
          <w:rPr>
            <w:noProof/>
            <w:webHidden/>
          </w:rPr>
          <w:t>178</w:t>
        </w:r>
        <w:r w:rsidR="00B65A2D">
          <w:rPr>
            <w:noProof/>
            <w:webHidden/>
          </w:rPr>
          <w:fldChar w:fldCharType="end"/>
        </w:r>
      </w:hyperlink>
    </w:p>
    <w:p w14:paraId="6B87A630" w14:textId="1E2C2BB5" w:rsidR="00B65A2D" w:rsidRDefault="0084664F">
      <w:pPr>
        <w:pStyle w:val="TOC2"/>
        <w:tabs>
          <w:tab w:val="right" w:leader="dot" w:pos="9350"/>
        </w:tabs>
        <w:rPr>
          <w:rFonts w:eastAsiaTheme="minorEastAsia"/>
          <w:noProof/>
        </w:rPr>
      </w:pPr>
      <w:hyperlink w:anchor="_Toc41940295" w:history="1">
        <w:r w:rsidR="00B65A2D" w:rsidRPr="00103473">
          <w:rPr>
            <w:rStyle w:val="Hyperlink"/>
            <w:noProof/>
          </w:rPr>
          <w:t>Apprenticeship ITAs: Resources</w:t>
        </w:r>
        <w:r w:rsidR="00B65A2D">
          <w:rPr>
            <w:noProof/>
            <w:webHidden/>
          </w:rPr>
          <w:tab/>
        </w:r>
        <w:r w:rsidR="00B65A2D">
          <w:rPr>
            <w:noProof/>
            <w:webHidden/>
          </w:rPr>
          <w:fldChar w:fldCharType="begin"/>
        </w:r>
        <w:r w:rsidR="00B65A2D">
          <w:rPr>
            <w:noProof/>
            <w:webHidden/>
          </w:rPr>
          <w:instrText xml:space="preserve"> PAGEREF _Toc41940295 \h </w:instrText>
        </w:r>
        <w:r w:rsidR="00B65A2D">
          <w:rPr>
            <w:noProof/>
            <w:webHidden/>
          </w:rPr>
        </w:r>
        <w:r w:rsidR="00B65A2D">
          <w:rPr>
            <w:noProof/>
            <w:webHidden/>
          </w:rPr>
          <w:fldChar w:fldCharType="separate"/>
        </w:r>
        <w:r w:rsidR="00DE5A2C">
          <w:rPr>
            <w:noProof/>
            <w:webHidden/>
          </w:rPr>
          <w:t>179</w:t>
        </w:r>
        <w:r w:rsidR="00B65A2D">
          <w:rPr>
            <w:noProof/>
            <w:webHidden/>
          </w:rPr>
          <w:fldChar w:fldCharType="end"/>
        </w:r>
      </w:hyperlink>
    </w:p>
    <w:p w14:paraId="4DFF82F0" w14:textId="46121329" w:rsidR="00B65A2D" w:rsidRDefault="0084664F">
      <w:pPr>
        <w:pStyle w:val="TOC2"/>
        <w:tabs>
          <w:tab w:val="right" w:leader="dot" w:pos="9350"/>
        </w:tabs>
        <w:rPr>
          <w:rFonts w:eastAsiaTheme="minorEastAsia"/>
          <w:noProof/>
        </w:rPr>
      </w:pPr>
      <w:hyperlink w:anchor="_Toc41940296" w:history="1">
        <w:r w:rsidR="00B65A2D" w:rsidRPr="00103473">
          <w:rPr>
            <w:rStyle w:val="Hyperlink"/>
            <w:noProof/>
          </w:rPr>
          <w:t>Apprenticeship ITAs: Progress Narrative</w:t>
        </w:r>
        <w:r w:rsidR="00B65A2D">
          <w:rPr>
            <w:noProof/>
            <w:webHidden/>
          </w:rPr>
          <w:tab/>
        </w:r>
        <w:r w:rsidR="00B65A2D">
          <w:rPr>
            <w:noProof/>
            <w:webHidden/>
          </w:rPr>
          <w:fldChar w:fldCharType="begin"/>
        </w:r>
        <w:r w:rsidR="00B65A2D">
          <w:rPr>
            <w:noProof/>
            <w:webHidden/>
          </w:rPr>
          <w:instrText xml:space="preserve"> PAGEREF _Toc41940296 \h </w:instrText>
        </w:r>
        <w:r w:rsidR="00B65A2D">
          <w:rPr>
            <w:noProof/>
            <w:webHidden/>
          </w:rPr>
        </w:r>
        <w:r w:rsidR="00B65A2D">
          <w:rPr>
            <w:noProof/>
            <w:webHidden/>
          </w:rPr>
          <w:fldChar w:fldCharType="separate"/>
        </w:r>
        <w:r w:rsidR="00DE5A2C">
          <w:rPr>
            <w:noProof/>
            <w:webHidden/>
          </w:rPr>
          <w:t>181</w:t>
        </w:r>
        <w:r w:rsidR="00B65A2D">
          <w:rPr>
            <w:noProof/>
            <w:webHidden/>
          </w:rPr>
          <w:fldChar w:fldCharType="end"/>
        </w:r>
      </w:hyperlink>
    </w:p>
    <w:p w14:paraId="5E4F02A2" w14:textId="4E98F0D6" w:rsidR="00B65A2D" w:rsidRDefault="0084664F">
      <w:pPr>
        <w:pStyle w:val="TOC3"/>
        <w:tabs>
          <w:tab w:val="right" w:leader="dot" w:pos="9350"/>
        </w:tabs>
        <w:rPr>
          <w:rFonts w:eastAsiaTheme="minorEastAsia"/>
          <w:noProof/>
        </w:rPr>
      </w:pPr>
      <w:hyperlink w:anchor="_Toc41940297" w:history="1">
        <w:r w:rsidR="00B65A2D" w:rsidRPr="00103473">
          <w:rPr>
            <w:rStyle w:val="Hyperlink"/>
            <w:noProof/>
          </w:rPr>
          <w:t>National Lens</w:t>
        </w:r>
        <w:r w:rsidR="00B65A2D">
          <w:rPr>
            <w:noProof/>
            <w:webHidden/>
          </w:rPr>
          <w:tab/>
        </w:r>
        <w:r w:rsidR="00B65A2D">
          <w:rPr>
            <w:noProof/>
            <w:webHidden/>
          </w:rPr>
          <w:fldChar w:fldCharType="begin"/>
        </w:r>
        <w:r w:rsidR="00B65A2D">
          <w:rPr>
            <w:noProof/>
            <w:webHidden/>
          </w:rPr>
          <w:instrText xml:space="preserve"> PAGEREF _Toc41940297 \h </w:instrText>
        </w:r>
        <w:r w:rsidR="00B65A2D">
          <w:rPr>
            <w:noProof/>
            <w:webHidden/>
          </w:rPr>
        </w:r>
        <w:r w:rsidR="00B65A2D">
          <w:rPr>
            <w:noProof/>
            <w:webHidden/>
          </w:rPr>
          <w:fldChar w:fldCharType="separate"/>
        </w:r>
        <w:r w:rsidR="00DE5A2C">
          <w:rPr>
            <w:noProof/>
            <w:webHidden/>
          </w:rPr>
          <w:t>181</w:t>
        </w:r>
        <w:r w:rsidR="00B65A2D">
          <w:rPr>
            <w:noProof/>
            <w:webHidden/>
          </w:rPr>
          <w:fldChar w:fldCharType="end"/>
        </w:r>
      </w:hyperlink>
    </w:p>
    <w:p w14:paraId="1824EBB4" w14:textId="545E9784" w:rsidR="00B65A2D" w:rsidRDefault="0084664F">
      <w:pPr>
        <w:pStyle w:val="TOC3"/>
        <w:tabs>
          <w:tab w:val="right" w:leader="dot" w:pos="9350"/>
        </w:tabs>
        <w:rPr>
          <w:rFonts w:eastAsiaTheme="minorEastAsia"/>
          <w:noProof/>
        </w:rPr>
      </w:pPr>
      <w:hyperlink w:anchor="_Toc41940298" w:history="1">
        <w:r w:rsidR="00B65A2D" w:rsidRPr="00103473">
          <w:rPr>
            <w:rStyle w:val="Hyperlink"/>
            <w:noProof/>
          </w:rPr>
          <w:t>WINTAC Lens</w:t>
        </w:r>
        <w:r w:rsidR="00B65A2D">
          <w:rPr>
            <w:noProof/>
            <w:webHidden/>
          </w:rPr>
          <w:tab/>
        </w:r>
        <w:r w:rsidR="00B65A2D">
          <w:rPr>
            <w:noProof/>
            <w:webHidden/>
          </w:rPr>
          <w:fldChar w:fldCharType="begin"/>
        </w:r>
        <w:r w:rsidR="00B65A2D">
          <w:rPr>
            <w:noProof/>
            <w:webHidden/>
          </w:rPr>
          <w:instrText xml:space="preserve"> PAGEREF _Toc41940298 \h </w:instrText>
        </w:r>
        <w:r w:rsidR="00B65A2D">
          <w:rPr>
            <w:noProof/>
            <w:webHidden/>
          </w:rPr>
        </w:r>
        <w:r w:rsidR="00B65A2D">
          <w:rPr>
            <w:noProof/>
            <w:webHidden/>
          </w:rPr>
          <w:fldChar w:fldCharType="separate"/>
        </w:r>
        <w:r w:rsidR="00DE5A2C">
          <w:rPr>
            <w:noProof/>
            <w:webHidden/>
          </w:rPr>
          <w:t>181</w:t>
        </w:r>
        <w:r w:rsidR="00B65A2D">
          <w:rPr>
            <w:noProof/>
            <w:webHidden/>
          </w:rPr>
          <w:fldChar w:fldCharType="end"/>
        </w:r>
      </w:hyperlink>
    </w:p>
    <w:p w14:paraId="5B730C9D" w14:textId="0C129941" w:rsidR="00B65A2D" w:rsidRDefault="0084664F" w:rsidP="00B65A2D">
      <w:pPr>
        <w:pStyle w:val="TOC1"/>
        <w:rPr>
          <w:rFonts w:eastAsiaTheme="minorEastAsia"/>
          <w:noProof/>
        </w:rPr>
      </w:pPr>
      <w:hyperlink w:anchor="_Toc41940299" w:history="1">
        <w:r w:rsidR="00B65A2D" w:rsidRPr="00103473">
          <w:rPr>
            <w:rStyle w:val="Hyperlink"/>
            <w:noProof/>
          </w:rPr>
          <w:t>Appendix A: ITA Activity Progress by State</w:t>
        </w:r>
        <w:r w:rsidR="00B65A2D">
          <w:rPr>
            <w:noProof/>
            <w:webHidden/>
          </w:rPr>
          <w:tab/>
        </w:r>
        <w:r w:rsidR="00B65A2D">
          <w:rPr>
            <w:noProof/>
            <w:webHidden/>
          </w:rPr>
          <w:fldChar w:fldCharType="begin"/>
        </w:r>
        <w:r w:rsidR="00B65A2D">
          <w:rPr>
            <w:noProof/>
            <w:webHidden/>
          </w:rPr>
          <w:instrText xml:space="preserve"> PAGEREF _Toc41940299 \h </w:instrText>
        </w:r>
        <w:r w:rsidR="00B65A2D">
          <w:rPr>
            <w:noProof/>
            <w:webHidden/>
          </w:rPr>
        </w:r>
        <w:r w:rsidR="00B65A2D">
          <w:rPr>
            <w:noProof/>
            <w:webHidden/>
          </w:rPr>
          <w:fldChar w:fldCharType="separate"/>
        </w:r>
        <w:r w:rsidR="00DE5A2C">
          <w:rPr>
            <w:noProof/>
            <w:webHidden/>
          </w:rPr>
          <w:t>184</w:t>
        </w:r>
        <w:r w:rsidR="00B65A2D">
          <w:rPr>
            <w:noProof/>
            <w:webHidden/>
          </w:rPr>
          <w:fldChar w:fldCharType="end"/>
        </w:r>
      </w:hyperlink>
    </w:p>
    <w:p w14:paraId="5DAB6563" w14:textId="67B7D406" w:rsidR="00B56EC8" w:rsidRPr="00B56EC8" w:rsidRDefault="00B56EC8" w:rsidP="00B56EC8">
      <w:r>
        <w:fldChar w:fldCharType="end"/>
      </w:r>
    </w:p>
    <w:p w14:paraId="4F578B9A" w14:textId="39091E18" w:rsidR="00B56EC8" w:rsidRPr="00B56EC8" w:rsidRDefault="00B56EC8" w:rsidP="00B56EC8">
      <w:pPr>
        <w:sectPr w:rsidR="00B56EC8" w:rsidRPr="00B56EC8" w:rsidSect="00364BDC">
          <w:footerReference w:type="default" r:id="rId15"/>
          <w:pgSz w:w="12240" w:h="15840" w:code="1"/>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fmt="lowerRoman" w:start="1"/>
          <w:cols w:space="720"/>
          <w:docGrid w:linePitch="360"/>
        </w:sectPr>
      </w:pPr>
    </w:p>
    <w:p w14:paraId="2E172BAC" w14:textId="70B1EB82" w:rsidR="00F264A2" w:rsidRDefault="008A190D" w:rsidP="00922287">
      <w:pPr>
        <w:pStyle w:val="Heading1"/>
        <w:pBdr>
          <w:bottom w:val="single" w:sz="18" w:space="1" w:color="auto"/>
        </w:pBdr>
        <w:shd w:val="clear" w:color="auto" w:fill="auto"/>
        <w:ind w:firstLine="0"/>
      </w:pPr>
      <w:bookmarkStart w:id="21" w:name="_Toc41940192"/>
      <w:bookmarkEnd w:id="3"/>
      <w:bookmarkEnd w:id="4"/>
      <w:r>
        <w:lastRenderedPageBreak/>
        <w:t>Executive Summary</w:t>
      </w:r>
      <w:bookmarkEnd w:id="21"/>
    </w:p>
    <w:p w14:paraId="6023FB99" w14:textId="1BD6D3C6" w:rsidR="00FC3CB3" w:rsidRPr="00FC3CB3" w:rsidRDefault="00922287" w:rsidP="00FC3CB3">
      <w:pPr>
        <w:pStyle w:val="Heading2"/>
        <w:pBdr>
          <w:bottom w:val="none" w:sz="0" w:space="0" w:color="auto"/>
        </w:pBdr>
      </w:pPr>
      <w:bookmarkStart w:id="22" w:name="_Toc41940193"/>
      <w:r>
        <w:t>Introduction</w:t>
      </w:r>
      <w:bookmarkEnd w:id="22"/>
    </w:p>
    <w:p w14:paraId="5F77FAD7" w14:textId="77777777" w:rsidR="00FC3CB3" w:rsidRDefault="00FC3CB3" w:rsidP="00FC3CB3">
      <w:r>
        <w:t>The Workforce Innovation Technical Assistance Center (WINTAC) provides training and technical assistance (TA) to State Vocational Rehabilitation Agencies (SVRAs) and related agencies and rehabilitation professionals and service providers to help them develop the skills and processes needed to meet the requirements of the Workforce Innovation and Opportunity Act (WIOA) in five key areas: (1) Pre-Employment Transition Services, (2) Section 511, (3) Competitive, Integrated Employment, (4) Integration of VR into the Workforce Development System, and (5) Common Performance Measures, along with “pilot” projects in Customized Employment, SARA, The Career Index Plus, Peer Mentoring, and Apprenticeships.</w:t>
      </w:r>
    </w:p>
    <w:p w14:paraId="18DEF747" w14:textId="77777777" w:rsidR="00FC3CB3" w:rsidRDefault="00FC3CB3" w:rsidP="00FC3CB3">
      <w:r>
        <w:t xml:space="preserve">This report summarizes progress achieved as of the end of the second quarter of the fifth year, presenting data and findings that have emerged since the end of the fourth year where available. The Quarterly Update Spreadsheet records and quantifies progress and evaluation worksheets completed by TA Teams document the stories behind the data. The report focuses on the progress and impact of activities and outcomes as well as the evolution of WINTAC’s intensive technical assistance (TA) scope and the TA model itself.  Despite many ITAAs still being in a relatively “early” phase (under 4-5 years), the attainment of outcomes and systems changes is impressive.  Details of this progress are discussed in the body of this report, with state-by-state data charted in Appendix A.  </w:t>
      </w:r>
    </w:p>
    <w:p w14:paraId="3CC12B38" w14:textId="77777777" w:rsidR="00FC3CB3" w:rsidRDefault="00FC3CB3" w:rsidP="00FC3CB3">
      <w:r>
        <w:t>During the second quarter of this fifth year, a pandemic changed the way SVRAs operate, impacting the work they do in general and with the WINTAC.  As states and localities implemented social distancing, SVRAs have moved to virtualized operations and looked to WINTAC for guidance and support.  WINTAC has created a resources page and links to that page appear at the top of all topic area resources pages. TA Teams and WINTAC Leadership gathered information, created resources and tools, and worked to support SVRAs in continuing their work remotely.  Traffic and engagement with SVRAs regarding resources as a whole has been described in the program report.  In these chapters, we report pandemic-related spikes in traffic to topic area webpages and any other activities or impacts noted by TA Teams for their topic area in particular.</w:t>
      </w:r>
    </w:p>
    <w:p w14:paraId="59A3E7AC" w14:textId="77777777" w:rsidR="00FC3CB3" w:rsidRDefault="00FC3CB3" w:rsidP="00FC3CB3">
      <w:r w:rsidRPr="00CD5EAA">
        <w:t xml:space="preserve">Over the past quarter, the Evaluation Team worked with all TA Teams to develop targeted lists of measurable outcomes more specific than those that may have been originally articulated in ITAAs to ensure representation of all the changes created by the TA Team and SVRA collaborations on ITAAs.  </w:t>
      </w:r>
      <w:r w:rsidRPr="00183C6C">
        <w:rPr>
          <w:u w:val="single"/>
        </w:rPr>
        <w:t>Within just this one quarter, many of the TA Teams were able to collect data from some agencies, including in some cases baseline levels and target levels. Across the varied subject matter areas, the nature of impact evidencing itself continues to relate to substantial systems change including changes to operating structures, policies, procedures, and mechanisms for interaction with partners, clients, and information systems. In addition, the impacts reported here begin to trend more toward strengthening state systems’ capacities to measure, expand on and sustain achieved gains.</w:t>
      </w:r>
      <w:r>
        <w:t xml:space="preserve"> There is even more compelling evidence that agencies are no longer operating in isolation. Clients are receiving services at earlier points in time and benefitting from longer and more seamless follow-up when served by more than one agency, with greater expertise and resources being shared to achieve client goals.</w:t>
      </w:r>
    </w:p>
    <w:p w14:paraId="7FFB93A3" w14:textId="77777777" w:rsidR="00FC3CB3" w:rsidRDefault="00FC3CB3" w:rsidP="00FC3CB3">
      <w:r>
        <w:lastRenderedPageBreak/>
        <w:t>The report also looks at the impact of new or changing needs and resources in the VR community on the scope of WINTAC’s technical assistance and the TA delivery model itself. Topic areas have been added to WINTAC’s scope of work, or subdivided to create new areas or pilot projects that have taken on lives of their own. The TA model has evolved to address more serious and complex issues that require skilled, nimble and nuanced responses. WINTAC’s creativity and experience in TA design, structure, financing, delivery and evaluation have contributed new principles, practices and tools to the technical assistance field in general; for example, elevating collaboration to an art form, changing the traditional relationship between TA/training provider and recipient (not to mention between TA provider and funder), and driving the national conversation on ways to move the needle on long-standing challenges in the workforce system.</w:t>
      </w:r>
    </w:p>
    <w:p w14:paraId="715BD277" w14:textId="62E2D4B6" w:rsidR="00FC3CB3" w:rsidRPr="00FC3CB3" w:rsidRDefault="00FC3CB3" w:rsidP="00FC3CB3">
      <w:pPr>
        <w:pStyle w:val="Heading2"/>
      </w:pPr>
      <w:bookmarkStart w:id="23" w:name="_Toc41940194"/>
      <w:r w:rsidRPr="00FC3CB3">
        <w:t>Pre-Employment Transition Services</w:t>
      </w:r>
      <w:bookmarkEnd w:id="23"/>
    </w:p>
    <w:p w14:paraId="027272AE" w14:textId="0A4E10A9" w:rsidR="00FC3CB3" w:rsidRPr="00B65A2D" w:rsidRDefault="00FC3CB3" w:rsidP="00B65A2D">
      <w:pPr>
        <w:spacing w:before="240"/>
        <w:rPr>
          <w:b/>
          <w:bCs/>
          <w:i/>
          <w:iCs/>
          <w:u w:val="single"/>
        </w:rPr>
      </w:pPr>
      <w:r w:rsidRPr="00FC3CB3">
        <w:rPr>
          <w:b/>
          <w:bCs/>
          <w:i/>
          <w:iCs/>
          <w:u w:val="single"/>
        </w:rPr>
        <w:t>Activities and Outputs.</w:t>
      </w:r>
      <w:r w:rsidR="00B65A2D">
        <w:t xml:space="preserve"> </w:t>
      </w:r>
      <w:r w:rsidRPr="009E6B0F">
        <w:t>Across 248 activities articulated in ITAAs, most are complete (72%) or moving to completion (8%).  Activities for Targeted TA represent 16% of the total reported activities, whereas Outputs for Targeted TA represents only 5% of the total reported outputs.  This is to be expected as the ITAAs establish clearly that outputs will result from activities, setting mutual expectations for their accomplishment.  It is instructive too; should SVRAs or RSA require outputs, they are better achieved under the auspices of an intensive TA agreement and less likely to be completed if SVRAs must use Targeted TA to independently complete them.</w:t>
      </w:r>
      <w:r>
        <w:t xml:space="preserve">  </w:t>
      </w:r>
      <w:r>
        <w:rPr>
          <w:szCs w:val="14"/>
        </w:rPr>
        <w:t>The TA Team reports too that a significant driver of an SVRA’s investment in ensuring appropriately revised policies, tracking and reporting systems, and internal control mechanisms is whether RSA monitoring has recently occurred or is soon to occur.</w:t>
      </w:r>
    </w:p>
    <w:p w14:paraId="7BA61E2D" w14:textId="77777777" w:rsidR="00FC3CB3" w:rsidRDefault="00FC3CB3" w:rsidP="00FC3CB3">
      <w:pPr>
        <w:tabs>
          <w:tab w:val="left" w:pos="360"/>
        </w:tabs>
        <w:rPr>
          <w:szCs w:val="14"/>
        </w:rPr>
      </w:pPr>
      <w:r>
        <w:rPr>
          <w:szCs w:val="14"/>
        </w:rPr>
        <w:t xml:space="preserve">Progress rates </w:t>
      </w:r>
      <w:r w:rsidRPr="009E6B0F">
        <w:rPr>
          <w:szCs w:val="14"/>
        </w:rPr>
        <w:t xml:space="preserve">demonstrate the success of the Pre-ETS team in making significant headway with most of their activities and outputs.  </w:t>
      </w:r>
      <w:r>
        <w:rPr>
          <w:szCs w:val="14"/>
        </w:rPr>
        <w:t xml:space="preserve">In the case of Activity 6 focusing on updating or developing new agreements with local and/or state education agencies, the TA Team’s collaboration with NTACT to accomplish updated agreements reflected itself in the local systems being changed, with SVRAs and their partner Departments of Education also developing much more collaborative relationships.  </w:t>
      </w:r>
    </w:p>
    <w:p w14:paraId="2EE0A18E" w14:textId="77777777" w:rsidR="00FC3CB3" w:rsidRDefault="00FC3CB3" w:rsidP="00FC3CB3">
      <w:pPr>
        <w:tabs>
          <w:tab w:val="left" w:pos="360"/>
        </w:tabs>
        <w:rPr>
          <w:szCs w:val="14"/>
        </w:rPr>
      </w:pPr>
      <w:r>
        <w:rPr>
          <w:rFonts w:cstheme="minorHAnsi"/>
        </w:rPr>
        <w:t>Activity 10 represents the development and dissemination of Explore-Work.com, an online mechanism for providing Pre-ETS service delivery.  With the challenges of transportation and scheduling often present when engaging youth in transition, an online strategy was already identified as being an important avenue.  Since the pandemic, when much of SVRA engagement became virtualized, it has become critical.  This is reflected in metrics regarding its usage; to wit, there were 8, 845 sessions in March of 2019 and 17, 758 in March of 2020.  An increase over the year should have been expected due to increased time for marketing and word-of-mouth; however, the month-to-month statistics also show the increase from 5, 495 sessions in February of 2020.  (A similar “spike” in traffic is seen in March for the Pre-ETS resources webpage.)</w:t>
      </w:r>
    </w:p>
    <w:p w14:paraId="7AA2A311" w14:textId="77777777" w:rsidR="00FC3CB3" w:rsidRDefault="00FC3CB3" w:rsidP="00FC3CB3">
      <w:pPr>
        <w:tabs>
          <w:tab w:val="left" w:pos="360"/>
        </w:tabs>
        <w:rPr>
          <w:szCs w:val="14"/>
        </w:rPr>
      </w:pPr>
      <w:r>
        <w:rPr>
          <w:szCs w:val="14"/>
        </w:rPr>
        <w:t xml:space="preserve">More recently, the Pre-ETS team had begun to collaborate with the Peer Mentoring team and offer support to SVRAs who were interested in building a model of peer mentoring services that qualified as Pre-ETS expenditures.  Although at the end of Year 4 progress on this work was lower than in other areas (due mostly to its recency), it is now entirely complete two quarters later.  </w:t>
      </w:r>
    </w:p>
    <w:p w14:paraId="4C56C540" w14:textId="77777777" w:rsidR="00FC3CB3" w:rsidRDefault="00FC3CB3" w:rsidP="00FC3CB3">
      <w:pPr>
        <w:rPr>
          <w:sz w:val="24"/>
          <w:szCs w:val="24"/>
        </w:rPr>
      </w:pPr>
      <w:r w:rsidRPr="004C5CEB">
        <w:rPr>
          <w:szCs w:val="14"/>
        </w:rPr>
        <w:lastRenderedPageBreak/>
        <w:t>Overall, many of these activities and outputs relate directly to systems changes taking place.  New or revised policies and procedures are being created and will drive practices and the model of service delivery for students with disabilities as intended by WIOA.</w:t>
      </w:r>
      <w:r>
        <w:rPr>
          <w:szCs w:val="14"/>
        </w:rPr>
        <w:t xml:space="preserve">  </w:t>
      </w:r>
    </w:p>
    <w:p w14:paraId="4371E84D" w14:textId="463C37D7" w:rsidR="00FC3CB3" w:rsidRPr="00B65A2D" w:rsidRDefault="00FC3CB3" w:rsidP="00B65A2D">
      <w:pPr>
        <w:rPr>
          <w:b/>
          <w:bCs/>
          <w:i/>
          <w:iCs/>
          <w:u w:val="single"/>
        </w:rPr>
      </w:pPr>
      <w:r w:rsidRPr="002A6130">
        <w:rPr>
          <w:b/>
          <w:bCs/>
          <w:i/>
          <w:iCs/>
          <w:u w:val="single"/>
        </w:rPr>
        <w:t>Outcomes.</w:t>
      </w:r>
      <w:r w:rsidR="00B65A2D">
        <w:t xml:space="preserve"> </w:t>
      </w:r>
      <w:r>
        <w:t>O</w:t>
      </w:r>
      <w:r w:rsidRPr="00445388">
        <w:t xml:space="preserve">ver half (64%) of outcomes </w:t>
      </w:r>
      <w:r>
        <w:t xml:space="preserve">are </w:t>
      </w:r>
      <w:r w:rsidRPr="00445388">
        <w:t xml:space="preserve">75% or more complete </w:t>
      </w:r>
      <w:r>
        <w:t>and</w:t>
      </w:r>
      <w:r w:rsidRPr="00445388">
        <w:t xml:space="preserve"> </w:t>
      </w:r>
      <w:r>
        <w:t xml:space="preserve">just </w:t>
      </w:r>
      <w:r w:rsidRPr="00445388">
        <w:t>10% not yet started.</w:t>
      </w:r>
      <w:r>
        <w:t xml:space="preserve">  </w:t>
      </w:r>
      <w:r>
        <w:rPr>
          <w:rFonts w:cstheme="minorHAnsi"/>
        </w:rPr>
        <w:t xml:space="preserve">An infographic on the outcomes dashboard page provides  “Year 5 Quarter 2 and Year 4 Quarter 4” non-cumulative, quarterly snapshots of students served overall, receiving at least one Pre-ETS service, potentially </w:t>
      </w:r>
      <w:r w:rsidRPr="002F3FDF">
        <w:rPr>
          <w:rFonts w:cstheme="minorHAnsi"/>
        </w:rPr>
        <w:t>eligible for services, and who applied for VR services.  The snapshots for Year 5, Quarter 2 do show larger numbers in each quarter.  The numbers of students with disabilities increased from 114, 577 to 232, 773.  Students receiving at least one Pre-ETS increased by over 20,000 from 56, 005 to 70, 857.  Identification of students with disabilities potentially eligible for Pre-ETS increased from 32, 856 to 45, 851.  And finally, students with disabilities who are potentially eligible and applied for VR services increased from 21, 782 to 25, 006.  Again, these are quarterly snapshots and not cumulative increases, but the larger numbers this quarter demonstrate that SVRAs are continuing and improving their implementation of required Pre-ETS services - continued successful progress of meeting WIOA expectations.  And as noted above</w:t>
      </w:r>
      <w:r>
        <w:rPr>
          <w:rFonts w:cstheme="minorHAnsi"/>
        </w:rPr>
        <w:t>, thousands of students are learning through the TA Team’s Explore-Work.com online portal.  Outcomes related to financial expenditures on Pre-ETS will be updated as part of the annual report.  Outcomes for underserved populations are not available in terms of specific numbers, but the TA Team notes that SVRAs report having greater difficulty reaching rural populations, youth with the most significant disabilities, youth in foster care, or who are homeless, or who live in poverty.</w:t>
      </w:r>
    </w:p>
    <w:p w14:paraId="361AE01D" w14:textId="0F36FE90" w:rsidR="00FC3CB3" w:rsidRDefault="00FC3CB3" w:rsidP="00B65A2D">
      <w:r>
        <w:rPr>
          <w:b/>
          <w:bCs/>
          <w:i/>
          <w:iCs/>
          <w:u w:val="single"/>
        </w:rPr>
        <w:t>Sustainability.</w:t>
      </w:r>
      <w:r>
        <w:t xml:space="preserve">  As the Pre-ETS Team reflects with SVRAs on the implementation of changes and how to sustain them, concerns have been raised that models of service delivery for youth with disabilities may need to be recalibrated and redesigned to be less costly and to ensure resources remain available to provide services to adults with disabilities.  In some cases, SVRAs are starting over with their models, necessitating additional TA from the Pre-ETS TA Team regarding policies, procedures, agreements with LEAs/SEAs, and staff training.</w:t>
      </w:r>
    </w:p>
    <w:p w14:paraId="40149A77" w14:textId="77777777" w:rsidR="00FC3CB3" w:rsidRPr="00C93F89" w:rsidRDefault="00FC3CB3" w:rsidP="00FC3CB3">
      <w:pPr>
        <w:pStyle w:val="Heading2"/>
      </w:pPr>
      <w:bookmarkStart w:id="24" w:name="_Toc41940195"/>
      <w:r w:rsidRPr="00C93F89">
        <w:t>Section 511</w:t>
      </w:r>
      <w:bookmarkEnd w:id="24"/>
    </w:p>
    <w:p w14:paraId="3240ED73" w14:textId="4BD08A6B" w:rsidR="00FC3CB3" w:rsidRPr="00B65A2D" w:rsidRDefault="00FC3CB3" w:rsidP="00B65A2D">
      <w:pPr>
        <w:spacing w:before="240"/>
        <w:rPr>
          <w:b/>
          <w:bCs/>
          <w:i/>
          <w:iCs/>
          <w:u w:val="single"/>
        </w:rPr>
      </w:pPr>
      <w:r w:rsidRPr="00C93F89">
        <w:rPr>
          <w:b/>
          <w:bCs/>
          <w:i/>
          <w:iCs/>
          <w:u w:val="single"/>
        </w:rPr>
        <w:t>Activities</w:t>
      </w:r>
      <w:r>
        <w:rPr>
          <w:b/>
          <w:bCs/>
          <w:i/>
          <w:iCs/>
          <w:u w:val="single"/>
        </w:rPr>
        <w:t xml:space="preserve"> and </w:t>
      </w:r>
      <w:r w:rsidRPr="00C93F89">
        <w:rPr>
          <w:b/>
          <w:bCs/>
          <w:i/>
          <w:iCs/>
          <w:u w:val="single"/>
        </w:rPr>
        <w:t>Outputs</w:t>
      </w:r>
      <w:r>
        <w:rPr>
          <w:b/>
          <w:bCs/>
          <w:i/>
          <w:iCs/>
          <w:u w:val="single"/>
        </w:rPr>
        <w:t xml:space="preserve">.  </w:t>
      </w:r>
      <w:r>
        <w:t>WINTAC provided intensive TA regarding Section 511 in 10 states (11 SVRAs). The TA approach started with initial implementation and compliance and then progressed to ongoing tracking and impact measurement. At this time, all intensive TA activities and outputs are complete and the TA Team is focusing on helping agencies identify data related to the activity and progress of individuals who received 511 services as they moved through the VR program.</w:t>
      </w:r>
    </w:p>
    <w:p w14:paraId="7FE22ADE" w14:textId="77777777" w:rsidR="00FC3CB3" w:rsidRDefault="00FC3CB3" w:rsidP="00FC3CB3">
      <w:r w:rsidRPr="00005A9D">
        <w:t xml:space="preserve">As of the </w:t>
      </w:r>
      <w:r>
        <w:t>middle</w:t>
      </w:r>
      <w:r w:rsidRPr="00005A9D">
        <w:t xml:space="preserve"> of Year </w:t>
      </w:r>
      <w:r>
        <w:t>5</w:t>
      </w:r>
      <w:r w:rsidRPr="00005A9D">
        <w:t xml:space="preserve"> of the WINTAC</w:t>
      </w:r>
      <w:r>
        <w:t xml:space="preserve"> project</w:t>
      </w:r>
      <w:r w:rsidRPr="00005A9D">
        <w:t>, there are 2</w:t>
      </w:r>
      <w:r>
        <w:t>2</w:t>
      </w:r>
      <w:r w:rsidRPr="00005A9D">
        <w:t xml:space="preserve"> activities identified across the 1</w:t>
      </w:r>
      <w:r>
        <w:t>1</w:t>
      </w:r>
      <w:r w:rsidRPr="00005A9D">
        <w:t xml:space="preserve"> ITAAs. </w:t>
      </w:r>
      <w:r>
        <w:t>In</w:t>
      </w:r>
      <w:r w:rsidRPr="00005A9D">
        <w:t xml:space="preserve"> terms of metrics, all 2</w:t>
      </w:r>
      <w:r>
        <w:t>2</w:t>
      </w:r>
      <w:r w:rsidRPr="00005A9D">
        <w:t xml:space="preserve"> activities resulted in completed outputs. The majority of these outputs include a strategic plan (7), development of CC&amp;I&amp;R resources (5)</w:t>
      </w:r>
      <w:r>
        <w:t xml:space="preserve"> and</w:t>
      </w:r>
      <w:r w:rsidRPr="00005A9D">
        <w:t xml:space="preserve"> development or improvement of policies and procedures (4).</w:t>
      </w:r>
    </w:p>
    <w:p w14:paraId="0EF71E66" w14:textId="274ACCB1" w:rsidR="00FC3CB3" w:rsidRPr="00FC3CB3" w:rsidRDefault="00FC3CB3" w:rsidP="00FC3CB3">
      <w:pPr>
        <w:rPr>
          <w:b/>
          <w:bCs/>
          <w:i/>
          <w:iCs/>
        </w:rPr>
      </w:pPr>
      <w:r w:rsidRPr="00C93F89">
        <w:rPr>
          <w:b/>
          <w:bCs/>
          <w:i/>
          <w:iCs/>
          <w:u w:val="single"/>
        </w:rPr>
        <w:t>Outcomes</w:t>
      </w:r>
      <w:r>
        <w:rPr>
          <w:b/>
          <w:bCs/>
          <w:i/>
          <w:iCs/>
        </w:rPr>
        <w:t xml:space="preserve">. </w:t>
      </w:r>
      <w:r w:rsidRPr="00B33BB1">
        <w:rPr>
          <w:rFonts w:cstheme="minorHAnsi"/>
        </w:rPr>
        <w:t>In the aggregate for the Section 511 Topic Area, there is 93% progress toward achieving the ITAAs’ 18 projected outcomes</w:t>
      </w:r>
      <w:r w:rsidRPr="00B33BB1">
        <w:rPr>
          <w:rFonts w:cstheme="minorHAnsi"/>
          <w:i/>
        </w:rPr>
        <w:t xml:space="preserve">. </w:t>
      </w:r>
      <w:r w:rsidRPr="00B33BB1">
        <w:t>This translates into SVRAs implementing Section 511 effectively as a result of the</w:t>
      </w:r>
      <w:r w:rsidRPr="00005A9D">
        <w:t xml:space="preserve"> trainings and TA they received from WINTAC. </w:t>
      </w:r>
      <w:r>
        <w:t>Out of the total of 18 short term outcomes</w:t>
      </w:r>
      <w:r w:rsidRPr="00005A9D">
        <w:t xml:space="preserve"> </w:t>
      </w:r>
      <w:r>
        <w:t>15</w:t>
      </w:r>
      <w:r w:rsidRPr="00005A9D">
        <w:t xml:space="preserve"> have been met, two </w:t>
      </w:r>
      <w:r>
        <w:t xml:space="preserve">are </w:t>
      </w:r>
      <w:r w:rsidRPr="00005A9D">
        <w:t>nearing completion</w:t>
      </w:r>
      <w:r>
        <w:t xml:space="preserve"> and one is underway at 25% complete</w:t>
      </w:r>
      <w:r w:rsidRPr="00005A9D">
        <w:t xml:space="preserve">. </w:t>
      </w:r>
      <w:r>
        <w:lastRenderedPageBreak/>
        <w:t>The last available data (2019) showed 6 states (with 7</w:t>
      </w:r>
      <w:r w:rsidRPr="00005A9D">
        <w:t xml:space="preserve"> SVRAs</w:t>
      </w:r>
      <w:r>
        <w:t>)</w:t>
      </w:r>
      <w:r w:rsidRPr="00005A9D">
        <w:t xml:space="preserve"> </w:t>
      </w:r>
      <w:r>
        <w:t>experiencing a</w:t>
      </w:r>
      <w:r w:rsidRPr="00005A9D">
        <w:t xml:space="preserve"> decrease in individuals entering subminimum wage</w:t>
      </w:r>
      <w:r>
        <w:t>, and six</w:t>
      </w:r>
      <w:r w:rsidRPr="00B1411B">
        <w:t xml:space="preserve"> </w:t>
      </w:r>
      <w:r>
        <w:t>routinely offering CC&amp;I&amp;R services, with the expectation that more individuals will avail themselves of VR services to seek competitive integrated employment (CIE). Increases in SMW workers opting for VR and CIE were not appreciable (1-2%) although one state that developed an extremely comprehensive CC&amp;I&amp;R process had a 10-20% jump. Most VR data systems do not have a means of tracking whether potential SMW workers (typically youth) are instead applying for VR services. In a preliminary attempt to collect this data, WINTAC received a fairly complete response from one SVRA and partial responses from two more.</w:t>
      </w:r>
    </w:p>
    <w:p w14:paraId="3013DF3E" w14:textId="5B8DFD48" w:rsidR="00FC3CB3" w:rsidRPr="00FC3CB3" w:rsidRDefault="00FC3CB3" w:rsidP="00FC3CB3">
      <w:pPr>
        <w:rPr>
          <w:b/>
          <w:bCs/>
          <w:i/>
          <w:iCs/>
          <w:u w:val="single"/>
        </w:rPr>
      </w:pPr>
      <w:r w:rsidRPr="00C93F89">
        <w:rPr>
          <w:b/>
          <w:bCs/>
          <w:i/>
          <w:iCs/>
          <w:u w:val="single"/>
        </w:rPr>
        <w:t>Sustainability</w:t>
      </w:r>
      <w:r>
        <w:rPr>
          <w:b/>
          <w:bCs/>
          <w:i/>
          <w:iCs/>
          <w:u w:val="single"/>
        </w:rPr>
        <w:t>.</w:t>
      </w:r>
      <w:r w:rsidRPr="00FC3CB3">
        <w:rPr>
          <w:b/>
          <w:bCs/>
          <w:i/>
          <w:iCs/>
        </w:rPr>
        <w:t xml:space="preserve"> </w:t>
      </w:r>
      <w:r w:rsidRPr="00005A9D">
        <w:rPr>
          <w:rFonts w:eastAsia="Times New Roman" w:cstheme="minorHAnsi"/>
          <w:shd w:val="clear" w:color="auto" w:fill="FFFFFF"/>
        </w:rPr>
        <w:t xml:space="preserve">The purpose of </w:t>
      </w:r>
      <w:r>
        <w:rPr>
          <w:rFonts w:eastAsia="Times New Roman" w:cstheme="minorHAnsi"/>
          <w:shd w:val="clear" w:color="auto" w:fill="FFFFFF"/>
        </w:rPr>
        <w:t xml:space="preserve">WINTAC’s technical assistance related to </w:t>
      </w:r>
      <w:r w:rsidRPr="00005A9D">
        <w:rPr>
          <w:rFonts w:eastAsia="Times New Roman" w:cstheme="minorHAnsi"/>
          <w:shd w:val="clear" w:color="auto" w:fill="FFFFFF"/>
        </w:rPr>
        <w:t xml:space="preserve">Section 511 </w:t>
      </w:r>
      <w:r>
        <w:rPr>
          <w:rFonts w:eastAsia="Times New Roman" w:cstheme="minorHAnsi"/>
          <w:shd w:val="clear" w:color="auto" w:fill="FFFFFF"/>
        </w:rPr>
        <w:t>has been to support SVRA</w:t>
      </w:r>
      <w:r w:rsidRPr="00005A9D">
        <w:rPr>
          <w:rFonts w:eastAsia="Times New Roman" w:cstheme="minorHAnsi"/>
          <w:shd w:val="clear" w:color="auto" w:fill="FFFFFF"/>
        </w:rPr>
        <w:t xml:space="preserve">s </w:t>
      </w:r>
      <w:r>
        <w:rPr>
          <w:rFonts w:eastAsia="Times New Roman" w:cstheme="minorHAnsi"/>
          <w:shd w:val="clear" w:color="auto" w:fill="FFFFFF"/>
        </w:rPr>
        <w:t xml:space="preserve">in establishing an infrastructure to </w:t>
      </w:r>
      <w:r w:rsidRPr="00005A9D">
        <w:rPr>
          <w:rFonts w:eastAsia="Times New Roman" w:cstheme="minorHAnsi"/>
          <w:shd w:val="clear" w:color="auto" w:fill="FFFFFF"/>
        </w:rPr>
        <w:t xml:space="preserve">ensure that individuals with disabilities have access to information and services </w:t>
      </w:r>
      <w:r>
        <w:rPr>
          <w:rFonts w:eastAsia="Times New Roman" w:cstheme="minorHAnsi"/>
          <w:shd w:val="clear" w:color="auto" w:fill="FFFFFF"/>
        </w:rPr>
        <w:t>enabling</w:t>
      </w:r>
      <w:r w:rsidRPr="00005A9D">
        <w:rPr>
          <w:rFonts w:eastAsia="Times New Roman" w:cstheme="minorHAnsi"/>
          <w:shd w:val="clear" w:color="auto" w:fill="FFFFFF"/>
        </w:rPr>
        <w:t xml:space="preserve"> </w:t>
      </w:r>
      <w:r w:rsidRPr="00005A9D">
        <w:t>them</w:t>
      </w:r>
      <w:r w:rsidRPr="00005A9D">
        <w:rPr>
          <w:rFonts w:eastAsia="Times New Roman" w:cstheme="minorHAnsi"/>
          <w:shd w:val="clear" w:color="auto" w:fill="FFFFFF"/>
        </w:rPr>
        <w:t xml:space="preserve"> to achieve competitive integrated employment. </w:t>
      </w:r>
      <w:r>
        <w:rPr>
          <w:rFonts w:eastAsia="Times New Roman" w:cstheme="minorHAnsi"/>
          <w:shd w:val="clear" w:color="auto" w:fill="FFFFFF"/>
        </w:rPr>
        <w:t xml:space="preserve">This infrastructure, consisting of plans, policies, procedures and resources, provides the supports needed for a sustainable program. </w:t>
      </w:r>
      <w:r>
        <w:t>With the activities, outputs and outcomes largely complete, it can be inferred that measures to sustain the program are in place. WINTAC will work with SVRAs to improve data collection and maintain service quality as needed to continue the program’s progress and reinforce the intent of the law.</w:t>
      </w:r>
    </w:p>
    <w:p w14:paraId="04D26DF5" w14:textId="77777777" w:rsidR="00FC3CB3" w:rsidRPr="006060BB" w:rsidRDefault="00FC3CB3" w:rsidP="00FC3CB3">
      <w:pPr>
        <w:pStyle w:val="Heading2"/>
      </w:pPr>
      <w:bookmarkStart w:id="25" w:name="_Toc41940196"/>
      <w:r w:rsidRPr="006060BB">
        <w:t>Common Performance Measures</w:t>
      </w:r>
      <w:bookmarkEnd w:id="25"/>
    </w:p>
    <w:p w14:paraId="476883E6" w14:textId="0E002DAD" w:rsidR="00FC3CB3" w:rsidRDefault="00FC3CB3" w:rsidP="00FC3CB3">
      <w:pPr>
        <w:spacing w:before="240"/>
        <w:rPr>
          <w:szCs w:val="14"/>
        </w:rPr>
      </w:pPr>
      <w:r>
        <w:rPr>
          <w:b/>
          <w:bCs/>
          <w:i/>
          <w:iCs/>
          <w:szCs w:val="14"/>
          <w:u w:val="single"/>
        </w:rPr>
        <w:t>Activities and Outputs</w:t>
      </w:r>
      <w:r w:rsidRPr="00533653">
        <w:rPr>
          <w:b/>
          <w:bCs/>
          <w:i/>
          <w:iCs/>
          <w:szCs w:val="14"/>
          <w:u w:val="single"/>
        </w:rPr>
        <w:t>.</w:t>
      </w:r>
      <w:r>
        <w:rPr>
          <w:szCs w:val="14"/>
        </w:rPr>
        <w:t xml:space="preserve">  Across 137 activities articulated in ITAAs, half (49%) are complete (compared to a third (33%) at the end of Year 4) with another 10% nearing or having reached completion (representing a completion rate of 75% or  more).  Less than a fifth have not yet started.  </w:t>
      </w:r>
    </w:p>
    <w:p w14:paraId="184E46D6" w14:textId="5A7F7BEA" w:rsidR="00FC3CB3" w:rsidRPr="00FC3CB3" w:rsidRDefault="00FC3CB3" w:rsidP="00FC3CB3">
      <w:pPr>
        <w:rPr>
          <w:szCs w:val="14"/>
        </w:rPr>
      </w:pPr>
      <w:r>
        <w:rPr>
          <w:szCs w:val="14"/>
        </w:rPr>
        <w:t>Although understanding the agencies capacity is an important first step and training the agency on CPM and 911 definitions and requirements (activity six – also largely complete) is critical, the remaining activities regarding policies, procedures, internal controls, and developing aligned work performance standards remaining mostly incomplete.  These differential p</w:t>
      </w:r>
      <w:r w:rsidRPr="005E199E">
        <w:t xml:space="preserve">rogress rates </w:t>
      </w:r>
      <w:r>
        <w:t>have been identified by the TA Team as being due to</w:t>
      </w:r>
      <w:r w:rsidRPr="005E199E">
        <w:t xml:space="preserve"> the SVRAs’ focus on meeting reporting requirements and expectations mandated under WIOA</w:t>
      </w:r>
      <w:r>
        <w:t xml:space="preserve"> to complete reports.  Even though outcomes related to timely reporting are being met, accuracy remains a next step to be taken and addressing policies, practices, standards, and controls would facilitate this.</w:t>
      </w:r>
      <w:r>
        <w:rPr>
          <w:szCs w:val="14"/>
        </w:rPr>
        <w:t xml:space="preserve"> These systems changes, built to accommodate updated regulations, will ensure improve reporting accuracy and facilitate use of data to improve program performance, and thus, client outcomes.</w:t>
      </w:r>
    </w:p>
    <w:p w14:paraId="5C4D0852" w14:textId="72FFCD9A" w:rsidR="00FC3CB3" w:rsidRPr="00E97FFD" w:rsidRDefault="00FC3CB3" w:rsidP="00FC3CB3">
      <w:pPr>
        <w:rPr>
          <w:szCs w:val="14"/>
        </w:rPr>
      </w:pPr>
      <w:r w:rsidRPr="003D0953">
        <w:rPr>
          <w:b/>
          <w:bCs/>
          <w:i/>
          <w:iCs/>
          <w:szCs w:val="14"/>
          <w:u w:val="single"/>
        </w:rPr>
        <w:t>Outcomes.</w:t>
      </w:r>
      <w:r>
        <w:rPr>
          <w:szCs w:val="14"/>
        </w:rPr>
        <w:t xml:space="preserve"> All ITAA agencies are successfully submitting their common performance measure reports, an important outcome and requirement for SVRAs.  The next set of steps with agencies will be to address the accuracy of the data submitted.  Both intensive TA and targeted TA around CPMs requires more time and resources than the TA Team often has, but a Community of Practice developed for addressing issues around Internal Controls was developed (involving 15 ITAA states) and may be a strategy for other sub-topics.  As one of the areas of evolving implementation guidance, the CPM team has found (similar to the Pre-ETS Team) that one is never really “finished” providing TA as the shifting contours of regulations may mean that SVRAs have to retool their approaches to meeting mandates and need support doing so.  Fortunately, the CPM Team’s close working relationship with RSA facilitates rollouts of supportive resources and tools that meet SVRA needs.  Increased Targeted TA work, including </w:t>
      </w:r>
      <w:r>
        <w:rPr>
          <w:szCs w:val="14"/>
        </w:rPr>
        <w:lastRenderedPageBreak/>
        <w:t>weekly calls with many ITAA states and other SVRAs has also increased workload, but facilitated meeting needs.</w:t>
      </w:r>
    </w:p>
    <w:p w14:paraId="1245281B" w14:textId="77777777" w:rsidR="00FC3CB3" w:rsidRDefault="00FC3CB3" w:rsidP="00FC3CB3">
      <w:pPr>
        <w:rPr>
          <w:szCs w:val="14"/>
        </w:rPr>
      </w:pPr>
      <w:r w:rsidRPr="003D0953">
        <w:rPr>
          <w:b/>
          <w:bCs/>
          <w:i/>
          <w:iCs/>
          <w:szCs w:val="14"/>
          <w:u w:val="single"/>
        </w:rPr>
        <w:t>Sustainability.</w:t>
      </w:r>
      <w:r>
        <w:rPr>
          <w:szCs w:val="14"/>
        </w:rPr>
        <w:t xml:space="preserve">  A significant challenge to effective CPM reporting and use of performance measure data is the robustness of an agency’s case management system (CMS).  Some SVRAs are using “home-grown” systems and some do not have any and still maintain paper records.  In addition, as the contours of regulations become apparent and/or shift, a CMS often has to be updated, the data migration and reporting functions have to be updated, operational procedures need to be changed, and staff training has to be conducted to allow them to use the changed systems.  A discussion group has begun to discuss CMS issues and will continue quarterly; this should facilitate learning between peers, supported by the TA Team, to improve processes and mitigate this barrier for agencies that cannot readily invest in an entirely new system.  </w:t>
      </w:r>
      <w:r w:rsidRPr="00A80A19">
        <w:rPr>
          <w:szCs w:val="14"/>
        </w:rPr>
        <w:t>RSA has begun its ReThink Initiative</w:t>
      </w:r>
      <w:r>
        <w:rPr>
          <w:szCs w:val="14"/>
        </w:rPr>
        <w:t>, a workgroup that includes representatives from SVRAs, RSA, CSAVR and NCSAB, as well as WINTAC’s CPM TA Team member.  The group has a goal of identifying how to use data to tell the success story of the VR program and identify areas needing ongoing evaluation.  They will do this in part through the provision of tools and information disseminated to SVRAs so they may use performance data being collected under the auspices of CPMs.  The WINTAC TA Team has worked with RSA to develop tools and resources that support SVRAs, for example as they undergo performance reviews.</w:t>
      </w:r>
    </w:p>
    <w:p w14:paraId="2A44B9BD" w14:textId="77777777" w:rsidR="00FC3CB3" w:rsidRPr="00FF57DA" w:rsidRDefault="00FC3CB3" w:rsidP="00FC3CB3">
      <w:pPr>
        <w:pStyle w:val="Heading2"/>
      </w:pPr>
      <w:bookmarkStart w:id="26" w:name="_Toc41940197"/>
      <w:r w:rsidRPr="00FF57DA">
        <w:t>Workforce Integration</w:t>
      </w:r>
      <w:bookmarkEnd w:id="26"/>
    </w:p>
    <w:p w14:paraId="05C05B5D" w14:textId="67511E48" w:rsidR="00FC3CB3" w:rsidRDefault="00FC3CB3" w:rsidP="00FC3CB3">
      <w:pPr>
        <w:tabs>
          <w:tab w:val="left" w:pos="360"/>
        </w:tabs>
        <w:spacing w:before="240"/>
        <w:rPr>
          <w:szCs w:val="14"/>
        </w:rPr>
      </w:pPr>
      <w:r>
        <w:rPr>
          <w:b/>
          <w:bCs/>
          <w:i/>
          <w:iCs/>
          <w:szCs w:val="14"/>
          <w:u w:val="single"/>
        </w:rPr>
        <w:t>Activities and Outputs</w:t>
      </w:r>
      <w:r w:rsidRPr="00533653">
        <w:rPr>
          <w:b/>
          <w:bCs/>
          <w:i/>
          <w:iCs/>
          <w:szCs w:val="14"/>
          <w:u w:val="single"/>
        </w:rPr>
        <w:t>.</w:t>
      </w:r>
      <w:r>
        <w:rPr>
          <w:szCs w:val="14"/>
        </w:rPr>
        <w:t xml:space="preserve"> Across </w:t>
      </w:r>
      <w:r w:rsidRPr="00A64E91">
        <w:rPr>
          <w:szCs w:val="14"/>
        </w:rPr>
        <w:t xml:space="preserve">64 activities articulated in ITAAs, most are complete (64%) or moving to completion (5%).  </w:t>
      </w:r>
      <w:r w:rsidRPr="00342A21">
        <w:t>Activities showing complete or good progress include assessments and trainings</w:t>
      </w:r>
      <w:r>
        <w:t>, such as assessing readiness and capacity as an agency, or system-wide, for workforce integration and/or career pathways and/or IRTs.  Policies and procedures, pilot site development, and partnership / collaborative-oriented agreements and MOUs show slower progress.</w:t>
      </w:r>
    </w:p>
    <w:p w14:paraId="55E73218" w14:textId="2E038F64" w:rsidR="00FC3CB3" w:rsidRPr="00FC3CB3" w:rsidRDefault="00FC3CB3" w:rsidP="00FC3CB3">
      <w:pPr>
        <w:tabs>
          <w:tab w:val="left" w:pos="360"/>
        </w:tabs>
        <w:rPr>
          <w:szCs w:val="14"/>
        </w:rPr>
      </w:pPr>
      <w:r>
        <w:rPr>
          <w:b/>
          <w:bCs/>
          <w:i/>
          <w:iCs/>
          <w:szCs w:val="14"/>
          <w:u w:val="single"/>
        </w:rPr>
        <w:t>Outcomes</w:t>
      </w:r>
      <w:r w:rsidRPr="00533653">
        <w:rPr>
          <w:b/>
          <w:bCs/>
          <w:i/>
          <w:iCs/>
          <w:szCs w:val="14"/>
          <w:u w:val="single"/>
        </w:rPr>
        <w:t>.</w:t>
      </w:r>
      <w:r>
        <w:rPr>
          <w:szCs w:val="14"/>
        </w:rPr>
        <w:t xml:space="preserve"> </w:t>
      </w:r>
      <w:r>
        <w:t>One-fifth</w:t>
      </w:r>
      <w:r w:rsidRPr="00445388">
        <w:t xml:space="preserve"> of outcomes 75% or more </w:t>
      </w:r>
      <w:r>
        <w:t xml:space="preserve">are </w:t>
      </w:r>
      <w:r w:rsidRPr="00445388">
        <w:t xml:space="preserve">complete </w:t>
      </w:r>
      <w:r>
        <w:t>and</w:t>
      </w:r>
      <w:r w:rsidRPr="00445388">
        <w:t xml:space="preserve"> </w:t>
      </w:r>
      <w:r>
        <w:t>6</w:t>
      </w:r>
      <w:r w:rsidRPr="00445388">
        <w:t>1% not yet started</w:t>
      </w:r>
      <w:r>
        <w:t xml:space="preserve"> for an overall progress of 24%</w:t>
      </w:r>
      <w:r w:rsidRPr="00445388">
        <w:t>.</w:t>
      </w:r>
      <w:r>
        <w:t xml:space="preserve">  Using the new outcome data templates created in the most recent</w:t>
      </w:r>
      <w:r w:rsidRPr="00CD5EAA">
        <w:t xml:space="preserve"> quarter, the Integration TA Team was able to collect data from some agencies</w:t>
      </w:r>
      <w:r>
        <w:t xml:space="preserve">, though baseline levels and target levels for most of the measures have yet to be established.  Five agencies are establishing strategic self-assessment planning with most (3) at the evaluation-expansion-sustainability phases.  Across 12 SVRAs, 2 are in the planning phase, 6 in the design phase, and 4 in the implementation phase and there are 417 consumers engaged in just one state in career pathways.  One SVRA identifies 18 IRTs in place with 9 consumers employed and 3 meeting career objectives.  Beyond simple metrics, the TA Team identifies several “success” stories (integrated in the program report) regarding client experiences with IRTs and agency leadership in multiple agencies recognizing the importance and value of career pathway and IRB processes.  </w:t>
      </w:r>
    </w:p>
    <w:p w14:paraId="54074E22" w14:textId="59A0C3FF" w:rsidR="00FC3CB3" w:rsidRDefault="00FC3CB3" w:rsidP="00FC3CB3">
      <w:r>
        <w:rPr>
          <w:b/>
          <w:bCs/>
          <w:i/>
          <w:iCs/>
          <w:u w:val="single"/>
        </w:rPr>
        <w:t>Sustainability.</w:t>
      </w:r>
      <w:r>
        <w:t xml:space="preserve">  The team uses “Road Maps” as guides for SVRAs to achieve systems change, as well as the Strategic Service Alignment Planning process described above in the outcomes progress.  By operationalizing constructive collaborations to engage in effective career pathways, apprenticeships, and create IRTs, this topic area guides SVRAs through the process of creating integration with other agencies and the workforce development system.  Similarly, through modeling collaboration and engaging other WINTAC topic areas such as LMI and CPMs, SVRAs are able to see the concrete ways in which collaboration and integration lead to improved services and outcomes.</w:t>
      </w:r>
    </w:p>
    <w:p w14:paraId="2DB170A0" w14:textId="77777777" w:rsidR="00FC3CB3" w:rsidRPr="007A3876" w:rsidRDefault="00FC3CB3" w:rsidP="00FC3CB3">
      <w:pPr>
        <w:pStyle w:val="Heading2"/>
      </w:pPr>
      <w:bookmarkStart w:id="27" w:name="_Toc41940198"/>
      <w:r w:rsidRPr="007A3876">
        <w:lastRenderedPageBreak/>
        <w:t>CIE and Supported Employment</w:t>
      </w:r>
      <w:bookmarkEnd w:id="27"/>
    </w:p>
    <w:p w14:paraId="5D30800F" w14:textId="4E0039B8" w:rsidR="00FC3CB3" w:rsidRPr="00FC3CB3" w:rsidRDefault="00FC3CB3" w:rsidP="00FC3CB3">
      <w:pPr>
        <w:spacing w:before="240"/>
        <w:rPr>
          <w:b/>
          <w:bCs/>
          <w:i/>
          <w:iCs/>
          <w:u w:val="single"/>
        </w:rPr>
      </w:pPr>
      <w:r w:rsidRPr="007A3876">
        <w:rPr>
          <w:b/>
          <w:bCs/>
          <w:i/>
          <w:iCs/>
          <w:u w:val="single"/>
        </w:rPr>
        <w:t>Activities</w:t>
      </w:r>
      <w:r>
        <w:rPr>
          <w:b/>
          <w:bCs/>
          <w:i/>
          <w:iCs/>
          <w:u w:val="single"/>
        </w:rPr>
        <w:t xml:space="preserve"> and </w:t>
      </w:r>
      <w:r w:rsidRPr="007A3876">
        <w:rPr>
          <w:b/>
          <w:bCs/>
          <w:i/>
          <w:iCs/>
          <w:u w:val="single"/>
        </w:rPr>
        <w:t>Outputs</w:t>
      </w:r>
      <w:r>
        <w:rPr>
          <w:b/>
          <w:bCs/>
          <w:i/>
          <w:iCs/>
          <w:u w:val="single"/>
        </w:rPr>
        <w:t>.</w:t>
      </w:r>
      <w:r>
        <w:t xml:space="preserve"> The number of SVRAs requesting intensive TA in CIE-only and in Supported Employment has declined as a result of changing needs or completion of ITAA activities. At this time, WINTAC continues to work with two SVRAs on Supported Employment activities related to the development of MOUs as required by WIOA although one is reported to be complete and the other is 90% complete. Earlier TA involving one CIE activity and a Supported Employment pilot also is complete.</w:t>
      </w:r>
    </w:p>
    <w:p w14:paraId="28B0289B" w14:textId="24C6503E" w:rsidR="00FC3CB3" w:rsidRPr="00FC3CB3" w:rsidRDefault="00FC3CB3" w:rsidP="00FC3CB3">
      <w:pPr>
        <w:rPr>
          <w:b/>
          <w:bCs/>
          <w:i/>
          <w:iCs/>
          <w:u w:val="single"/>
        </w:rPr>
      </w:pPr>
      <w:r w:rsidRPr="007A3876">
        <w:rPr>
          <w:b/>
          <w:bCs/>
          <w:i/>
          <w:iCs/>
          <w:u w:val="single"/>
        </w:rPr>
        <w:t>Outcomes</w:t>
      </w:r>
      <w:r>
        <w:rPr>
          <w:b/>
          <w:bCs/>
          <w:i/>
          <w:iCs/>
          <w:u w:val="single"/>
        </w:rPr>
        <w:t>.</w:t>
      </w:r>
      <w:r>
        <w:rPr>
          <w:rFonts w:cstheme="minorHAnsi"/>
        </w:rPr>
        <w:t xml:space="preserve"> W</w:t>
      </w:r>
      <w:r w:rsidRPr="0033105A">
        <w:rPr>
          <w:rFonts w:cstheme="minorHAnsi"/>
        </w:rPr>
        <w:t>hile</w:t>
      </w:r>
      <w:r>
        <w:rPr>
          <w:rFonts w:cstheme="minorHAnsi"/>
        </w:rPr>
        <w:t xml:space="preserve"> the outcome numbers for CIE-only and Supported Employment are small their accomplishments are significant. The CIE-only activity </w:t>
      </w:r>
      <w:r>
        <w:rPr>
          <w:color w:val="000000" w:themeColor="text1"/>
        </w:rPr>
        <w:t xml:space="preserve">resulted in negotiation of a framework for unprecedented collaboration and resource-sharing between the VR and DD agencies, positioning the state to make progress in improving access to and achievement of CIE outcomes. Of the two </w:t>
      </w:r>
      <w:r>
        <w:t>Supported Employment outcomes one is fully (100%) achieved representing an increase in services to consumers seeking SE as an alternative to sub-minimum wage employment and the second shows the projected outcome of increasing SE service capacity to be 50% achieved.</w:t>
      </w:r>
    </w:p>
    <w:p w14:paraId="279BCAE5" w14:textId="17E82913" w:rsidR="00FC3CB3" w:rsidRPr="00FC3CB3" w:rsidRDefault="00FC3CB3" w:rsidP="00FC3CB3">
      <w:pPr>
        <w:rPr>
          <w:rFonts w:cstheme="minorHAnsi"/>
          <w:b/>
          <w:bCs/>
          <w:i/>
          <w:iCs/>
        </w:rPr>
      </w:pPr>
      <w:r w:rsidRPr="007A3876">
        <w:rPr>
          <w:rFonts w:cstheme="minorHAnsi"/>
          <w:b/>
          <w:bCs/>
          <w:i/>
          <w:iCs/>
          <w:u w:val="single"/>
        </w:rPr>
        <w:t>Sustainability</w:t>
      </w:r>
      <w:r>
        <w:rPr>
          <w:rFonts w:cstheme="minorHAnsi"/>
          <w:b/>
          <w:bCs/>
          <w:i/>
          <w:iCs/>
          <w:u w:val="single"/>
        </w:rPr>
        <w:t>.</w:t>
      </w:r>
      <w:r w:rsidRPr="00FC3CB3">
        <w:rPr>
          <w:rFonts w:cstheme="minorHAnsi"/>
          <w:b/>
          <w:bCs/>
          <w:i/>
          <w:iCs/>
        </w:rPr>
        <w:t xml:space="preserve"> </w:t>
      </w:r>
      <w:r>
        <w:rPr>
          <w:rFonts w:cstheme="minorHAnsi"/>
          <w:color w:val="000000" w:themeColor="text1"/>
        </w:rPr>
        <w:t>The Supported Employment tools and other products developed by WINTAC will be available to sustain current programs and support future efforts. Findings and recommendations from the successful SE pilot also should be disseminated for consideration by other SVRAs interested in enhancing the capacity and quality of their SE programs. It will be important to ensure that all sustainability resources provide guidance for future programs or pilots to establish evaluation plans from the outset, including clearly articulated outcomes, baselines, measures and tracking processes and timetables.</w:t>
      </w:r>
    </w:p>
    <w:p w14:paraId="4DA78D5B" w14:textId="77777777" w:rsidR="00FC3CB3" w:rsidRPr="00FC3CB3" w:rsidRDefault="00FC3CB3" w:rsidP="00FC3CB3">
      <w:pPr>
        <w:pStyle w:val="Heading2"/>
      </w:pPr>
      <w:bookmarkStart w:id="28" w:name="_Toc41940199"/>
      <w:r w:rsidRPr="00FC3CB3">
        <w:t>Customized Employment</w:t>
      </w:r>
      <w:bookmarkEnd w:id="28"/>
    </w:p>
    <w:p w14:paraId="41670405" w14:textId="3B9819C5" w:rsidR="00FC3CB3" w:rsidRPr="00FC3CB3" w:rsidRDefault="00FC3CB3" w:rsidP="00FC3CB3">
      <w:pPr>
        <w:spacing w:before="240"/>
        <w:rPr>
          <w:rFonts w:cstheme="minorHAnsi"/>
          <w:b/>
          <w:bCs/>
          <w:i/>
          <w:iCs/>
          <w:u w:val="single"/>
        </w:rPr>
      </w:pPr>
      <w:r w:rsidRPr="0018307C">
        <w:rPr>
          <w:rFonts w:cstheme="minorHAnsi"/>
          <w:b/>
          <w:bCs/>
          <w:i/>
          <w:iCs/>
          <w:u w:val="single"/>
        </w:rPr>
        <w:t>Activities</w:t>
      </w:r>
      <w:r>
        <w:rPr>
          <w:rFonts w:cstheme="minorHAnsi"/>
          <w:b/>
          <w:bCs/>
          <w:i/>
          <w:iCs/>
          <w:u w:val="single"/>
        </w:rPr>
        <w:t xml:space="preserve"> and </w:t>
      </w:r>
      <w:r w:rsidRPr="0018307C">
        <w:rPr>
          <w:rFonts w:cstheme="minorHAnsi"/>
          <w:b/>
          <w:bCs/>
          <w:i/>
          <w:iCs/>
          <w:u w:val="single"/>
        </w:rPr>
        <w:t>Outputs</w:t>
      </w:r>
      <w:r>
        <w:rPr>
          <w:rFonts w:cstheme="minorHAnsi"/>
          <w:b/>
          <w:bCs/>
          <w:i/>
          <w:iCs/>
          <w:u w:val="single"/>
        </w:rPr>
        <w:t>.</w:t>
      </w:r>
      <w:r>
        <w:rPr>
          <w:rFonts w:cstheme="minorHAnsi"/>
        </w:rPr>
        <w:t xml:space="preserve"> WINTAC is providing intensive TA regarding CE in 12 states (15 SVRAs). Eleven active pilots (13 SVRAs) are in varying stages of implementation and two more are in development. The pilot approach </w:t>
      </w:r>
      <w:r w:rsidRPr="005E5B52">
        <w:t>involves</w:t>
      </w:r>
      <w:r>
        <w:rPr>
          <w:rFonts w:cstheme="minorHAnsi"/>
        </w:rPr>
        <w:t xml:space="preserve"> a sequence of orientation, readiness assessment, planning and design steps, followed by infrastructure development, training and pilot implementation. These actions are facilitated by the TA Team using a flexible Roadmap and multiple tools and templates. Evaluation, expansion and sustainability measures are guided by a quality and fidelity framework and additional resources and tools. A community of practice provides additional supports for SVRAs to engage, share experiences and problem-solve together.  </w:t>
      </w:r>
    </w:p>
    <w:p w14:paraId="28120737" w14:textId="77777777" w:rsidR="00FC3CB3" w:rsidRDefault="00FC3CB3" w:rsidP="00FC3CB3">
      <w:pPr>
        <w:rPr>
          <w:rFonts w:cstheme="minorHAnsi"/>
        </w:rPr>
      </w:pPr>
      <w:r>
        <w:rPr>
          <w:rFonts w:cstheme="minorHAnsi"/>
        </w:rPr>
        <w:t>The topic area’s 73 intensive TA activities with these 15 SVRAs focus on each of the above pilot steps. Not surprisingly, most feasibility and design activities are complete. Capacity-building activities focused specifically on training also are mostly complete. Infrastructure, expansion and sustainability are progressing at lower rates although there is already improvement in the six months since last reported; this is expected, given that sustainability is a primary focus of TA in Year 5.</w:t>
      </w:r>
    </w:p>
    <w:p w14:paraId="56AB82D3" w14:textId="77777777" w:rsidR="00FC3CB3" w:rsidRDefault="00FC3CB3" w:rsidP="00FC3CB3">
      <w:pPr>
        <w:rPr>
          <w:rFonts w:cstheme="minorHAnsi"/>
        </w:rPr>
      </w:pPr>
      <w:r>
        <w:rPr>
          <w:rFonts w:cstheme="minorHAnsi"/>
        </w:rPr>
        <w:t xml:space="preserve">WINTAC’s CE pilot dashboard further quantifies pilot activity and showcases the extent of CE exposure afforded by this project. For the dashboard, SVRAs report on six core data elements, periodically entering data online where it is automatically displayed and all reports are aggregated. According to the most recent dashboard, from pilot startup through March 2020, pilots are bringing CE </w:t>
      </w:r>
      <w:r>
        <w:rPr>
          <w:rFonts w:cstheme="minorHAnsi"/>
        </w:rPr>
        <w:lastRenderedPageBreak/>
        <w:t xml:space="preserve">to 23 different sites across the 12 states, engaging partners including CRPs, Developmental Disabilities agencies and education, as well as sister VR agencies, Medicaid, Employment First, Mental Health and Workforce. Twenty-eight cohorts of CE training have been delivered, with 731 individuals completing the training; 216 completers having participated in the in-depth curriculum designed for practitioners. An additional nine trainings are in progress.  </w:t>
      </w:r>
    </w:p>
    <w:p w14:paraId="3F07CE72" w14:textId="78BCAB9A" w:rsidR="00FC3CB3" w:rsidRPr="00FC3CB3" w:rsidRDefault="00FC3CB3" w:rsidP="00FC3CB3">
      <w:pPr>
        <w:tabs>
          <w:tab w:val="left" w:pos="360"/>
        </w:tabs>
        <w:rPr>
          <w:rFonts w:cstheme="minorHAnsi"/>
          <w:b/>
          <w:bCs/>
          <w:i/>
          <w:iCs/>
          <w:u w:val="single"/>
        </w:rPr>
      </w:pPr>
      <w:r w:rsidRPr="0018307C">
        <w:rPr>
          <w:rFonts w:cstheme="minorHAnsi"/>
          <w:b/>
          <w:bCs/>
          <w:i/>
          <w:iCs/>
          <w:u w:val="single"/>
        </w:rPr>
        <w:t>Outcomes</w:t>
      </w:r>
      <w:r>
        <w:rPr>
          <w:rFonts w:cstheme="minorHAnsi"/>
          <w:b/>
          <w:bCs/>
          <w:i/>
          <w:iCs/>
          <w:u w:val="single"/>
        </w:rPr>
        <w:t>.</w:t>
      </w:r>
      <w:r>
        <w:rPr>
          <w:rFonts w:cstheme="minorHAnsi"/>
        </w:rPr>
        <w:t xml:space="preserve"> </w:t>
      </w:r>
      <w:r w:rsidRPr="00FC40A7">
        <w:rPr>
          <w:rFonts w:cstheme="minorHAnsi"/>
        </w:rPr>
        <w:t>In the aggregate for the CE Topic Area, there is 47% progress toward achieving the ITAAs’ 53 projected CE outcomes</w:t>
      </w:r>
      <w:r w:rsidRPr="00FC40A7">
        <w:rPr>
          <w:rFonts w:cstheme="minorHAnsi"/>
          <w:i/>
        </w:rPr>
        <w:t xml:space="preserve">. </w:t>
      </w:r>
      <w:r w:rsidRPr="00FC40A7">
        <w:rPr>
          <w:rFonts w:cstheme="minorHAnsi"/>
        </w:rPr>
        <w:t>Nearly one-third of CE outcomes are at least 75% completed, relating primarily to</w:t>
      </w:r>
      <w:r>
        <w:rPr>
          <w:rFonts w:cstheme="minorHAnsi"/>
        </w:rPr>
        <w:t xml:space="preserve"> readiness, feasibility and training, and fewer relating to expansion and sustainability planning. Almost half of all CE outcomes are only 25% achieved, likely reflecting the amount of time it takes for foundational activities to bear consumer results.</w:t>
      </w:r>
    </w:p>
    <w:p w14:paraId="2987B31F" w14:textId="77777777" w:rsidR="00FC3CB3" w:rsidRDefault="00FC3CB3" w:rsidP="00FC3CB3">
      <w:pPr>
        <w:tabs>
          <w:tab w:val="left" w:pos="360"/>
        </w:tabs>
        <w:rPr>
          <w:rFonts w:cstheme="minorHAnsi"/>
        </w:rPr>
      </w:pPr>
      <w:r>
        <w:rPr>
          <w:rFonts w:cstheme="minorHAnsi"/>
        </w:rPr>
        <w:t>To put CE pilot outcomes in context however, it must be said that almost without exception these are SVRAs that, pre-pilot, had little to no track record in finding competitive integrated employment for individuals with the most significant disabilities. One SVRA observes that CE gives them an option for working with individuals who cannot participate in Supported Employment and have failed in multiple placements. They report that individuals meeting this description are now working in such positions as drone factory worker, golf course attendant, baker, dance instructor and pet store worker, as a result of the CE process.</w:t>
      </w:r>
    </w:p>
    <w:p w14:paraId="55EF7F95" w14:textId="77777777" w:rsidR="00FC3CB3" w:rsidRDefault="00FC3CB3" w:rsidP="00FC3CB3">
      <w:pPr>
        <w:rPr>
          <w:rFonts w:cstheme="minorHAnsi"/>
        </w:rPr>
      </w:pPr>
      <w:r>
        <w:rPr>
          <w:rFonts w:cstheme="minorHAnsi"/>
        </w:rPr>
        <w:t>Indeed now, thanks to the CE pilots, most SVRAs have measurable capacity and client outcomes to show for their efforts</w:t>
      </w:r>
      <w:r w:rsidRPr="005A2188">
        <w:rPr>
          <w:rFonts w:cstheme="minorHAnsi"/>
        </w:rPr>
        <w:t xml:space="preserve">. </w:t>
      </w:r>
      <w:r>
        <w:rPr>
          <w:rFonts w:cstheme="minorHAnsi"/>
        </w:rPr>
        <w:t xml:space="preserve">According to the CE dashboard, currently (through March 31, 2020) as many as </w:t>
      </w:r>
      <w:r w:rsidRPr="00E72511">
        <w:rPr>
          <w:rFonts w:cstheme="minorHAnsi"/>
        </w:rPr>
        <w:t>93</w:t>
      </w:r>
      <w:r>
        <w:rPr>
          <w:rFonts w:cstheme="minorHAnsi"/>
        </w:rPr>
        <w:t xml:space="preserve"> organizations and 200 practitioners actively provide CE services, where pre-pilot few to none were qualified to do so. In the same </w:t>
      </w:r>
      <w:r w:rsidRPr="00891EA1">
        <w:rPr>
          <w:rFonts w:cstheme="minorHAnsi"/>
        </w:rPr>
        <w:t xml:space="preserve">period </w:t>
      </w:r>
      <w:r w:rsidRPr="00E72511">
        <w:rPr>
          <w:rFonts w:cstheme="minorHAnsi"/>
        </w:rPr>
        <w:t>156</w:t>
      </w:r>
      <w:r w:rsidRPr="00891EA1">
        <w:rPr>
          <w:rFonts w:cstheme="minorHAnsi"/>
        </w:rPr>
        <w:t xml:space="preserve"> consumers</w:t>
      </w:r>
      <w:r>
        <w:rPr>
          <w:rFonts w:cstheme="minorHAnsi"/>
        </w:rPr>
        <w:t xml:space="preserve"> were placed in competitive integrated employment, with an additional </w:t>
      </w:r>
      <w:r w:rsidRPr="00B702BD">
        <w:rPr>
          <w:rFonts w:cstheme="minorHAnsi"/>
        </w:rPr>
        <w:t>241</w:t>
      </w:r>
      <w:r w:rsidRPr="00891EA1">
        <w:rPr>
          <w:rFonts w:cstheme="minorHAnsi"/>
        </w:rPr>
        <w:t xml:space="preserve"> </w:t>
      </w:r>
      <w:r>
        <w:rPr>
          <w:rFonts w:cstheme="minorHAnsi"/>
        </w:rPr>
        <w:t>completing at least one segment of the CE process (Discovery only, or both Discovery and Job Development). CE CoP members agreed that these intermediate points in the process are powerful indicators of impact, for example, representing individuals for whom it is too early to expect an employment outcome, who might be “continuing their education, honing their choices or defining critical supports for their future.” Again, such results had not been seen in these SVRAs prior to CE implementation.</w:t>
      </w:r>
    </w:p>
    <w:p w14:paraId="3A5E0CCD" w14:textId="7BA08E43" w:rsidR="00FC3CB3" w:rsidRDefault="00FC3CB3" w:rsidP="00FC3CB3">
      <w:pPr>
        <w:rPr>
          <w:rFonts w:cstheme="minorHAnsi"/>
        </w:rPr>
      </w:pPr>
      <w:r w:rsidRPr="0018307C">
        <w:rPr>
          <w:b/>
          <w:bCs/>
          <w:i/>
          <w:iCs/>
          <w:u w:val="single"/>
        </w:rPr>
        <w:t>Sustainability</w:t>
      </w:r>
      <w:r>
        <w:rPr>
          <w:b/>
          <w:bCs/>
          <w:i/>
          <w:iCs/>
          <w:u w:val="single"/>
        </w:rPr>
        <w:t>.</w:t>
      </w:r>
      <w:r>
        <w:rPr>
          <w:rFonts w:cstheme="minorHAnsi"/>
        </w:rPr>
        <w:t xml:space="preserve"> </w:t>
      </w:r>
      <w:r w:rsidRPr="0087350A">
        <w:rPr>
          <w:rFonts w:cstheme="minorHAnsi"/>
        </w:rPr>
        <w:t xml:space="preserve">WINTAC </w:t>
      </w:r>
      <w:r>
        <w:rPr>
          <w:rFonts w:cstheme="minorHAnsi"/>
        </w:rPr>
        <w:t xml:space="preserve">has emphasized sustainability since very early in the project, promoting national quality standards and creating practical tools and resources to support CE adoption and ongoing implementation. The TA Team currently is collaborating with national experts and state partners to develop and test a framework for sustainable capacity-building that will support comprehensive systems for training, mentoring, credentialing and quality assurance. In addition WINTAC is working with </w:t>
      </w:r>
      <w:r w:rsidRPr="0087350A">
        <w:rPr>
          <w:rFonts w:cstheme="minorHAnsi"/>
        </w:rPr>
        <w:t>each SVRA to develop</w:t>
      </w:r>
      <w:r>
        <w:rPr>
          <w:rFonts w:cstheme="minorHAnsi"/>
        </w:rPr>
        <w:t xml:space="preserve"> an</w:t>
      </w:r>
      <w:r w:rsidRPr="0087350A">
        <w:rPr>
          <w:rFonts w:cstheme="minorHAnsi"/>
        </w:rPr>
        <w:t xml:space="preserve"> </w:t>
      </w:r>
      <w:r>
        <w:rPr>
          <w:rFonts w:cstheme="minorHAnsi"/>
        </w:rPr>
        <w:t xml:space="preserve">individual </w:t>
      </w:r>
      <w:r w:rsidRPr="0087350A">
        <w:rPr>
          <w:rFonts w:cstheme="minorHAnsi"/>
        </w:rPr>
        <w:t>sustainability plan</w:t>
      </w:r>
      <w:r>
        <w:rPr>
          <w:rFonts w:cstheme="minorHAnsi"/>
        </w:rPr>
        <w:t xml:space="preserve"> for them</w:t>
      </w:r>
      <w:r w:rsidRPr="0087350A">
        <w:rPr>
          <w:rFonts w:cstheme="minorHAnsi"/>
        </w:rPr>
        <w:t xml:space="preserve"> </w:t>
      </w:r>
      <w:r>
        <w:rPr>
          <w:rFonts w:cstheme="minorHAnsi"/>
        </w:rPr>
        <w:t>to scale</w:t>
      </w:r>
      <w:r w:rsidRPr="0087350A">
        <w:rPr>
          <w:rFonts w:cstheme="minorHAnsi"/>
        </w:rPr>
        <w:t xml:space="preserve"> up from pilot to full implementation. Plans will compare pilots’ current status with targets and long term objectives and identify action steps in areas of CE infrastructure, partnerships, providers, evaluation and training.</w:t>
      </w:r>
    </w:p>
    <w:p w14:paraId="77817636" w14:textId="33A19B28" w:rsidR="00FC3CB3" w:rsidRPr="00FC3CB3" w:rsidRDefault="00FC3CB3" w:rsidP="00FC3CB3">
      <w:pPr>
        <w:pStyle w:val="Heading2"/>
        <w:rPr>
          <w:bCs/>
        </w:rPr>
      </w:pPr>
      <w:bookmarkStart w:id="29" w:name="_Toc41940200"/>
      <w:r w:rsidRPr="00FC3CB3">
        <w:rPr>
          <w:bCs/>
        </w:rPr>
        <w:t>SARA Pilots</w:t>
      </w:r>
      <w:bookmarkEnd w:id="29"/>
    </w:p>
    <w:p w14:paraId="05A46F62" w14:textId="02508027" w:rsidR="00FC3CB3" w:rsidRDefault="00FC3CB3" w:rsidP="00FC3CB3">
      <w:pPr>
        <w:tabs>
          <w:tab w:val="left" w:pos="360"/>
        </w:tabs>
        <w:spacing w:before="240"/>
        <w:rPr>
          <w:szCs w:val="14"/>
        </w:rPr>
      </w:pPr>
      <w:r>
        <w:rPr>
          <w:b/>
          <w:bCs/>
          <w:i/>
          <w:iCs/>
          <w:szCs w:val="14"/>
          <w:u w:val="single"/>
        </w:rPr>
        <w:t>Activities and Outputs</w:t>
      </w:r>
      <w:r w:rsidRPr="00533653">
        <w:rPr>
          <w:b/>
          <w:bCs/>
          <w:i/>
          <w:iCs/>
          <w:szCs w:val="14"/>
          <w:u w:val="single"/>
        </w:rPr>
        <w:t>.</w:t>
      </w:r>
      <w:r>
        <w:rPr>
          <w:szCs w:val="14"/>
        </w:rPr>
        <w:t xml:space="preserve">  Across the pilot area of SARA, progress on activities is complete (100% of activities). Below the first average activity progress bar, using “thermometer charts,” the progress rate is broken out by specific activity with the linked outputs’ progress rates provided side-by-side.  </w:t>
      </w:r>
      <w:r>
        <w:rPr>
          <w:szCs w:val="14"/>
        </w:rPr>
        <w:lastRenderedPageBreak/>
        <w:t xml:space="preserve">These dashboards show a one-to-one correspondence between the rate of completion for SARA activities and associated outputs – all of which are 100% complete.  </w:t>
      </w:r>
    </w:p>
    <w:p w14:paraId="1051B21C" w14:textId="77777777" w:rsidR="00FC3CB3" w:rsidRDefault="00FC3CB3" w:rsidP="00FC3CB3">
      <w:pPr>
        <w:tabs>
          <w:tab w:val="left" w:pos="360"/>
        </w:tabs>
        <w:rPr>
          <w:szCs w:val="14"/>
        </w:rPr>
      </w:pPr>
      <w:r>
        <w:rPr>
          <w:szCs w:val="14"/>
        </w:rPr>
        <w:t>As with TCI+, one way to examine the utility of the system is to see ongoing and continued use of it.  The number of VRC users stayed strong, showing a rise in users over the past two quarters from the end of Year 4 in each of the 3 pilots.  Similarly, the average number of clients processed per quarter increased in all the states.  The number of SARA communications also paints a picture; quarterly averages were up for SARA initiated contacts in Nevada and Alaska by large margins.  In Kentucky, where VRCs are engaging with SARA, but the SVRA Administration has not been engaged for some time, SARA generated contacts remained the same.  VRC initiated contacts showed the same pattern, as did client contacts.  These patterns suggest that, in Nevada and Alaska, SARA has proven important during a time of pandemic when communications between agencies and clients have become virtualized.</w:t>
      </w:r>
    </w:p>
    <w:p w14:paraId="292A95CB" w14:textId="77777777" w:rsidR="00FC3CB3" w:rsidRDefault="00FC3CB3" w:rsidP="00FC3CB3">
      <w:pPr>
        <w:tabs>
          <w:tab w:val="left" w:pos="360"/>
        </w:tabs>
        <w:rPr>
          <w:szCs w:val="14"/>
        </w:rPr>
      </w:pPr>
      <w:r>
        <w:rPr>
          <w:b/>
          <w:bCs/>
          <w:i/>
          <w:iCs/>
          <w:szCs w:val="14"/>
          <w:u w:val="single"/>
        </w:rPr>
        <w:t>Outcomes.</w:t>
      </w:r>
      <w:r>
        <w:rPr>
          <w:b/>
          <w:bCs/>
          <w:szCs w:val="14"/>
        </w:rPr>
        <w:t xml:space="preserve">  </w:t>
      </w:r>
      <w:r>
        <w:rPr>
          <w:szCs w:val="14"/>
        </w:rPr>
        <w:t xml:space="preserve">Outcomes are nearly 100% complete as well, save for one remaining agency needing to finalize the data sharing agreement with a signature.  This has been outstanding for some time and the SARA Team has tried multiple times to reengage the VR administration.  Despite the disengagement, SARA continues to be successfully used by VR counselors who have created 3, 648 casenotes for 5, 121 clients.  </w:t>
      </w:r>
    </w:p>
    <w:p w14:paraId="61C15A5F" w14:textId="77777777" w:rsidR="00FC3CB3" w:rsidRDefault="00FC3CB3" w:rsidP="00FC3CB3">
      <w:pPr>
        <w:tabs>
          <w:tab w:val="left" w:pos="360"/>
        </w:tabs>
        <w:rPr>
          <w:szCs w:val="14"/>
        </w:rPr>
      </w:pPr>
      <w:r>
        <w:rPr>
          <w:szCs w:val="14"/>
        </w:rPr>
        <w:t>SARA also continues to support the collection of outcome data for SVRAs; for the past two quarters we `see increases for all 3 pilot SVRAs in capture of CPM 4 – credentials (data for CPM 5 – measurable skills gains - was not updated, but at Year 4 end it was collecting data from all 3 pilot areas for this as well).  Employer data and co-enrollment data was not updated.</w:t>
      </w:r>
    </w:p>
    <w:p w14:paraId="51B4CF3E" w14:textId="77777777" w:rsidR="00FC3CB3" w:rsidRDefault="00FC3CB3" w:rsidP="00FC3CB3">
      <w:pPr>
        <w:tabs>
          <w:tab w:val="left" w:pos="360"/>
        </w:tabs>
        <w:rPr>
          <w:szCs w:val="14"/>
        </w:rPr>
      </w:pPr>
      <w:r w:rsidRPr="0053793F">
        <w:rPr>
          <w:b/>
          <w:bCs/>
          <w:i/>
          <w:iCs/>
          <w:szCs w:val="14"/>
          <w:u w:val="single"/>
        </w:rPr>
        <w:t>Covid-19 Impacts.</w:t>
      </w:r>
      <w:r>
        <w:rPr>
          <w:szCs w:val="14"/>
        </w:rPr>
        <w:t xml:space="preserve">  As described in other sections, the pandemic has dramatically shifted the way SVRAs do their work and what they have to prioritize.  Pre-ETS saw spikes in traffic related to their online Explore-Work.com site for example.  SARA is a system of virtual communication, and with SVRAs operating virtually during this period of time, SARA is instrumental to ongoing contact with clients.  When pilot sites needed to close, SARA was able to send bulk text and email notifications to clients and as described above, communications are initiated through SARA by both VRCs and clients.</w:t>
      </w:r>
    </w:p>
    <w:p w14:paraId="207F6A79" w14:textId="77777777" w:rsidR="00FC3CB3" w:rsidRPr="00917B1A" w:rsidRDefault="00FC3CB3" w:rsidP="00FC3CB3">
      <w:pPr>
        <w:contextualSpacing/>
        <w:rPr>
          <w:rFonts w:cstheme="minorHAnsi"/>
        </w:rPr>
      </w:pPr>
      <w:r>
        <w:rPr>
          <w:b/>
          <w:bCs/>
          <w:i/>
          <w:iCs/>
          <w:szCs w:val="14"/>
          <w:u w:val="single"/>
        </w:rPr>
        <w:t>Sustainability.</w:t>
      </w:r>
      <w:r>
        <w:t xml:space="preserve"> </w:t>
      </w:r>
      <w:r w:rsidRPr="00381931">
        <w:t>T</w:t>
      </w:r>
      <w:r>
        <w:t>he</w:t>
      </w:r>
      <w:r w:rsidRPr="00381931">
        <w:t xml:space="preserve"> TA Team </w:t>
      </w:r>
      <w:r w:rsidRPr="00507B40">
        <w:t>identified key steps involved in implementation that also impact sustainability, such as: making readiness factors explicit and supporting SVRAs with tools to assess readiness and put necessary precursors in place (e.g., data sharing agreements – for which the TA developed a template)</w:t>
      </w:r>
      <w:r>
        <w:t>;</w:t>
      </w:r>
      <w:r w:rsidRPr="00507B40">
        <w:t xml:space="preserve">  consider culture change</w:t>
      </w:r>
      <w:r>
        <w:t>; u</w:t>
      </w:r>
      <w:r w:rsidRPr="00507B40">
        <w:t>tilize implementation checklists and other project management tools for pre-launch and post</w:t>
      </w:r>
      <w:r>
        <w:t>-launch activities; a</w:t>
      </w:r>
      <w:r w:rsidRPr="00CB6C2F">
        <w:rPr>
          <w:bCs/>
        </w:rPr>
        <w:t xml:space="preserve">s possible, </w:t>
      </w:r>
      <w:r>
        <w:rPr>
          <w:bCs/>
        </w:rPr>
        <w:t xml:space="preserve">consider </w:t>
      </w:r>
      <w:r w:rsidRPr="00B6593E">
        <w:t xml:space="preserve">an </w:t>
      </w:r>
      <w:r>
        <w:t xml:space="preserve">early </w:t>
      </w:r>
      <w:r w:rsidRPr="00B6593E">
        <w:t>on-site visit to gauge management strength, staff morale, existing processes, and the degree to which IT is ready and available to engage</w:t>
      </w:r>
      <w:r>
        <w:t>; finally, r</w:t>
      </w:r>
      <w:r w:rsidRPr="00B6593E">
        <w:t>equire matching funds be set aside for training and support.</w:t>
      </w:r>
    </w:p>
    <w:p w14:paraId="50C793B7" w14:textId="599BE419" w:rsidR="00FC3CB3" w:rsidRPr="00FC3CB3" w:rsidRDefault="00FC3CB3" w:rsidP="00FC3CB3">
      <w:pPr>
        <w:pStyle w:val="Heading2"/>
      </w:pPr>
      <w:bookmarkStart w:id="30" w:name="_Toc41940201"/>
      <w:r>
        <w:t>TCI+/LMI</w:t>
      </w:r>
      <w:bookmarkEnd w:id="30"/>
    </w:p>
    <w:p w14:paraId="683A87B6" w14:textId="3D47254C" w:rsidR="00FC3CB3" w:rsidRPr="00FC3CB3" w:rsidRDefault="00FC3CB3" w:rsidP="00FC3CB3">
      <w:pPr>
        <w:spacing w:before="240"/>
        <w:rPr>
          <w:szCs w:val="14"/>
        </w:rPr>
      </w:pPr>
      <w:r>
        <w:rPr>
          <w:b/>
          <w:bCs/>
          <w:i/>
          <w:iCs/>
          <w:szCs w:val="14"/>
          <w:u w:val="single"/>
        </w:rPr>
        <w:t>Activities and Outputs</w:t>
      </w:r>
      <w:r w:rsidRPr="00533653">
        <w:rPr>
          <w:b/>
          <w:bCs/>
          <w:i/>
          <w:iCs/>
          <w:szCs w:val="14"/>
          <w:u w:val="single"/>
        </w:rPr>
        <w:t>.</w:t>
      </w:r>
      <w:r>
        <w:rPr>
          <w:szCs w:val="14"/>
        </w:rPr>
        <w:t xml:space="preserve"> </w:t>
      </w:r>
      <w:r>
        <w:t xml:space="preserve"> Of 21 </w:t>
      </w:r>
      <w:r w:rsidRPr="008F5E6D">
        <w:t>activities</w:t>
      </w:r>
      <w:r>
        <w:t xml:space="preserve"> total,</w:t>
      </w:r>
      <w:r w:rsidRPr="008F5E6D">
        <w:t xml:space="preserve"> </w:t>
      </w:r>
      <w:r>
        <w:t xml:space="preserve">a </w:t>
      </w:r>
      <w:r w:rsidRPr="008F5E6D">
        <w:t xml:space="preserve">majority of </w:t>
      </w:r>
      <w:r>
        <w:t xml:space="preserve">them </w:t>
      </w:r>
      <w:r w:rsidRPr="008F5E6D">
        <w:t>are complete or 90% complete (</w:t>
      </w:r>
      <w:r>
        <w:t>7</w:t>
      </w:r>
      <w:r w:rsidRPr="008F5E6D">
        <w:t>6%), one-</w:t>
      </w:r>
      <w:r>
        <w:t>quarter</w:t>
      </w:r>
      <w:r w:rsidRPr="008F5E6D">
        <w:t xml:space="preserve"> are underway (25-50% complete), and </w:t>
      </w:r>
      <w:r>
        <w:t>5%</w:t>
      </w:r>
      <w:r w:rsidRPr="008F5E6D">
        <w:t xml:space="preserve"> have not started.</w:t>
      </w:r>
      <w:r>
        <w:t xml:space="preserve">  In terms of specific activities,  activity 1 and 5 are entirely complete (assessment of SVRA capacity to use LMI/TCI+ and sustainability planning respectively), and the rest are underway with strong rates of completion (developing and implementing training and policies and procedures to implement trainings).</w:t>
      </w:r>
    </w:p>
    <w:p w14:paraId="28754A6E" w14:textId="77777777" w:rsidR="00FC3CB3" w:rsidRPr="00FB1415" w:rsidRDefault="00FC3CB3" w:rsidP="00FC3CB3">
      <w:pPr>
        <w:tabs>
          <w:tab w:val="left" w:pos="360"/>
        </w:tabs>
        <w:rPr>
          <w:rFonts w:cstheme="minorHAnsi"/>
        </w:rPr>
      </w:pPr>
      <w:r w:rsidRPr="00FB1415">
        <w:rPr>
          <w:rFonts w:cstheme="minorHAnsi"/>
          <w:b/>
          <w:bCs/>
          <w:i/>
          <w:iCs/>
          <w:u w:val="single"/>
        </w:rPr>
        <w:lastRenderedPageBreak/>
        <w:t>Outcomes</w:t>
      </w:r>
      <w:r w:rsidRPr="00FB1415">
        <w:rPr>
          <w:rFonts w:cstheme="minorHAnsi"/>
          <w:i/>
          <w:iCs/>
        </w:rPr>
        <w:t>.</w:t>
      </w:r>
      <w:r w:rsidRPr="00FB1415">
        <w:rPr>
          <w:rFonts w:cstheme="minorHAnsi"/>
        </w:rPr>
        <w:t xml:space="preserve"> </w:t>
      </w:r>
      <w:r w:rsidRPr="00FB1415">
        <w:t>Outcomes are approximately one-third not started (33%) and one-half completed (58%).  These do not appear to be of one kind of outcome versus another, but rather a function of time where earlier pilots are more complete as would be expected.</w:t>
      </w:r>
      <w:r w:rsidRPr="00FB1415">
        <w:rPr>
          <w:rFonts w:cstheme="minorHAnsi"/>
        </w:rPr>
        <w:t xml:space="preserve">  </w:t>
      </w:r>
      <w:r>
        <w:rPr>
          <w:rFonts w:cstheme="minorHAnsi"/>
        </w:rPr>
        <w:t>At the end of Year 4, data regarding the outcome of TA usage was shared demonstrating good use of the system.  Updated numbers were not provided for this report, but website traffic analytics for the resources page of this topic area where guidance and recorded trainings on using TCI+ show robust and steady patterns of visits and sessions.  This may suggest ongoing use of the system and continued seeking out of resources to facilitate doing so.  In the Year 5 Annual Evaluation report we hope to provide updated system usage data confirming this inference or clarifying use patterns.</w:t>
      </w:r>
    </w:p>
    <w:p w14:paraId="36B5145C" w14:textId="77777777" w:rsidR="00FC3CB3" w:rsidRDefault="00FC3CB3" w:rsidP="00FC3CB3">
      <w:r w:rsidRPr="00FB1415">
        <w:t>The Evaluation and TA Teams continued to work on next steps with SVRAs to examine how TCI+ and LMI usage is being implemented and leading to systems changes and outcomes for clients.  Having been so successful at completing ITAA activities, the TA Team implemented a Community of Practice (CoP) to further discuss evaluation issues and develop plans for evaluation collaboratively with SVRAs, all of whom joined the CoP out of an interest to pursue a better understanding of how LMI use could be</w:t>
      </w:r>
      <w:r>
        <w:t xml:space="preserve"> evaluated in their agency.  </w:t>
      </w:r>
    </w:p>
    <w:p w14:paraId="5BDAE250" w14:textId="77777777" w:rsidR="00FC3CB3" w:rsidRDefault="00FC3CB3" w:rsidP="00FC3CB3">
      <w:pPr>
        <w:tabs>
          <w:tab w:val="left" w:pos="360"/>
        </w:tabs>
      </w:pPr>
      <w:r>
        <w:t>Over the past two quarters, meetings yielded rich information about the way agencies are incorporating LMI into the culture and processes of their work, and possible ways we could work with them to review data and provide preliminary answers on patterns of SVRA and client interaction with TCI+ or other LMI systems (if tracked by the SVRA).  In order to explore systems changes, SVRA participants were asked to share information about the policies and practices they were implementing.</w:t>
      </w:r>
    </w:p>
    <w:p w14:paraId="77290F8B" w14:textId="77777777" w:rsidR="00FC3CB3" w:rsidRDefault="00FC3CB3" w:rsidP="00FC3CB3">
      <w:pPr>
        <w:tabs>
          <w:tab w:val="left" w:pos="360"/>
        </w:tabs>
      </w:pPr>
      <w:r>
        <w:t>Multiple agencies articulated that one policy addressing LMI use is not a realistic approach; rather they have different policies or expectations for various populations (e.g., those at the eligibility stage just beginning engagement with VR, those</w:t>
      </w:r>
      <w:r w:rsidRPr="005C6131">
        <w:t xml:space="preserve"> </w:t>
      </w:r>
      <w:r>
        <w:t>setting career goals, those looking at different education or training programs, etc.) and documentation of LMI is required as justification throughout the process of working with a client.  Often, there are expectations for the client to justify choices with LMI supporting their goals as well (e.g., are jobs in a particular career path available? Or will the client move to where such jobs can be had?).  One agency described how LMI is being woven throughout the culture of their agency to inform all stages of work and to examine outcomes (e.g., are placements aligning with career clusters in their state?), including that they evaluate incoming new hires during the interview process with an LMI “task.” In another agency, LMI is explicitly tied to their goals to improve employment retention performance indicators which they believe will happen when LMI is used to support good placements (evaluated through alignment of SOC codes with local career clusters and employment outlooks).   Agencies also identified collaboration with businesses and American Job Centers / One-Stops due to LMI work.</w:t>
      </w:r>
    </w:p>
    <w:p w14:paraId="7D464AB1" w14:textId="259E32DE" w:rsidR="00FC3CB3" w:rsidRDefault="00FC3CB3" w:rsidP="00FC3CB3">
      <w:pPr>
        <w:contextualSpacing/>
      </w:pPr>
      <w:r w:rsidRPr="009D4C96">
        <w:rPr>
          <w:b/>
          <w:bCs/>
          <w:i/>
          <w:iCs/>
          <w:u w:val="single"/>
        </w:rPr>
        <w:t>Sustainability.</w:t>
      </w:r>
      <w:r w:rsidRPr="009D4C96">
        <w:t xml:space="preserve"> The CoP focused on evaluation has been focused on discussion of evaluation stories</w:t>
      </w:r>
      <w:r>
        <w:t xml:space="preserve"> and metrics, and agencies have begun to work with the TA and Evaluation Teams one-on-one to begin the process of data collection and provision.  In the remaining two quarters of the year, there are good opportunities to work from early discussions around LMI implementation as agency culture, goal-aligned, and a continuous part of the process as ways to ensure sustainability around the practice of LMI integration.</w:t>
      </w:r>
    </w:p>
    <w:p w14:paraId="4112421E" w14:textId="77777777" w:rsidR="002F670A" w:rsidRDefault="002F670A" w:rsidP="00FC3CB3">
      <w:pPr>
        <w:contextualSpacing/>
      </w:pPr>
    </w:p>
    <w:p w14:paraId="40223DB0" w14:textId="77777777" w:rsidR="00FC3CB3" w:rsidRPr="00903985" w:rsidRDefault="00FC3CB3" w:rsidP="00FC3CB3">
      <w:pPr>
        <w:pStyle w:val="Heading2"/>
      </w:pPr>
      <w:bookmarkStart w:id="31" w:name="_Toc41940202"/>
      <w:r w:rsidRPr="00903985">
        <w:lastRenderedPageBreak/>
        <w:t>Peer Mentoring</w:t>
      </w:r>
      <w:bookmarkEnd w:id="31"/>
    </w:p>
    <w:p w14:paraId="7035992D" w14:textId="77777777" w:rsidR="00FC3CB3" w:rsidRDefault="00FC3CB3" w:rsidP="00FC3CB3">
      <w:pPr>
        <w:spacing w:before="240"/>
      </w:pPr>
      <w:r w:rsidRPr="00903985">
        <w:rPr>
          <w:b/>
          <w:bCs/>
          <w:i/>
          <w:iCs/>
          <w:u w:val="single"/>
        </w:rPr>
        <w:t>Activities</w:t>
      </w:r>
      <w:r>
        <w:rPr>
          <w:b/>
          <w:bCs/>
          <w:i/>
          <w:iCs/>
          <w:u w:val="single"/>
        </w:rPr>
        <w:t xml:space="preserve"> and </w:t>
      </w:r>
      <w:r w:rsidRPr="00903985">
        <w:rPr>
          <w:b/>
          <w:bCs/>
          <w:i/>
          <w:iCs/>
          <w:u w:val="single"/>
        </w:rPr>
        <w:t>Outputs</w:t>
      </w:r>
      <w:r>
        <w:rPr>
          <w:b/>
          <w:bCs/>
          <w:i/>
          <w:iCs/>
          <w:u w:val="single"/>
        </w:rPr>
        <w:t>.</w:t>
      </w:r>
      <w:r>
        <w:t xml:space="preserve"> WINTAC is providing Peer Mentoring technical assistance in 7 states, involving 9 SVRAs.</w:t>
      </w:r>
      <w:r w:rsidRPr="0010632C">
        <w:t xml:space="preserve"> </w:t>
      </w:r>
      <w:r>
        <w:t>Activities and outputs relate to pilot planning, capacity-building and PreETS alignment to create or expand Peer Mentoring programs. There are a total of 22 activities, 12 of which relate to PreETS. Nearly all activities have been 90-100% completed. Corresponding outputs likewise are nearing completion.</w:t>
      </w:r>
    </w:p>
    <w:p w14:paraId="53425426" w14:textId="77777777" w:rsidR="00FC3CB3" w:rsidRDefault="00FC3CB3" w:rsidP="00FC3CB3">
      <w:r w:rsidRPr="0034493F">
        <w:rPr>
          <w:b/>
          <w:bCs/>
          <w:i/>
          <w:iCs/>
          <w:u w:val="single"/>
        </w:rPr>
        <w:t>Outcomes</w:t>
      </w:r>
      <w:r>
        <w:rPr>
          <w:b/>
          <w:bCs/>
          <w:i/>
          <w:iCs/>
          <w:u w:val="single"/>
        </w:rPr>
        <w:t>.</w:t>
      </w:r>
      <w:r>
        <w:t xml:space="preserve"> Over half of anticipated Peer Mentoring pilot outcomes are 75-100% achieved. Most of these outcomes involve production or updating of a written plan to </w:t>
      </w:r>
      <w:r w:rsidRPr="00571015">
        <w:rPr>
          <w:rFonts w:cstheme="minorHAnsi"/>
        </w:rPr>
        <w:t xml:space="preserve">establish or expand peer mentoring, </w:t>
      </w:r>
      <w:r>
        <w:rPr>
          <w:rFonts w:cstheme="minorHAnsi"/>
        </w:rPr>
        <w:t>with</w:t>
      </w:r>
      <w:r w:rsidRPr="00571015">
        <w:rPr>
          <w:rFonts w:cstheme="minorHAnsi"/>
        </w:rPr>
        <w:t xml:space="preserve"> strategies and target dates for training and implementation</w:t>
      </w:r>
      <w:r>
        <w:rPr>
          <w:rFonts w:cstheme="minorHAnsi"/>
        </w:rPr>
        <w:t xml:space="preserve">. The 44% of </w:t>
      </w:r>
      <w:r>
        <w:t>outcomes not started (especially student outcomes under PreETS) may be explained by the lag between completion of training or other activities and commencement or completion of services.</w:t>
      </w:r>
    </w:p>
    <w:p w14:paraId="32A318F0" w14:textId="77777777" w:rsidR="00FC3CB3" w:rsidRDefault="00FC3CB3" w:rsidP="00FC3CB3">
      <w:r>
        <w:t>The peer mentoring pilots are in various stages of implementation, ranging from ready-to-launch/relaunch to active expansion, some with preliminary capacity and consumer outcomes. One SVRA in particular continues active implementation of peer mentoring as a PreETS enhanced service and is actively engaged in expansion of its post secondary pilot to improve outcomes and academic retention. With WINTAC support they have drafted a new fee schedule, conducted additional coordinator trainings and scheduled a referral training to heighten readiness for an anticipated uptick in demand. Active CRPs continue to participate in the in-state CoP and show ongoing interest in training and certification. As of the end of March 2020 they were developing mitigation strategies and creative alternatives to business as usual in light of the changes brought on by COVID-19.</w:t>
      </w:r>
    </w:p>
    <w:p w14:paraId="499EF0DE" w14:textId="15EEAFD3" w:rsidR="00FC3CB3" w:rsidRPr="00FC3CB3" w:rsidRDefault="00FC3CB3" w:rsidP="00FC3CB3">
      <w:pPr>
        <w:rPr>
          <w:b/>
          <w:bCs/>
          <w:i/>
          <w:iCs/>
          <w:u w:val="single"/>
        </w:rPr>
      </w:pPr>
      <w:r w:rsidRPr="0034493F">
        <w:rPr>
          <w:b/>
          <w:bCs/>
          <w:i/>
          <w:iCs/>
          <w:u w:val="single"/>
        </w:rPr>
        <w:t>Sustainability</w:t>
      </w:r>
      <w:r>
        <w:rPr>
          <w:b/>
          <w:bCs/>
          <w:i/>
          <w:iCs/>
          <w:u w:val="single"/>
        </w:rPr>
        <w:t>.</w:t>
      </w:r>
      <w:r>
        <w:t xml:space="preserve"> WINTAC’s technical assistance strategies increasingly focus on creating resources and capacity that will sustain peer mentoring programs beyond the life of the pilot. This has involved reinforcing the importance of early identification of leadership, staff training and other program sustainability measures. The team also continues to emphasize and support incorporating peer mentoring into Pre-Employment Transition Services.</w:t>
      </w:r>
    </w:p>
    <w:p w14:paraId="07C7C92A" w14:textId="77777777" w:rsidR="00FC3CB3" w:rsidRPr="008B2143" w:rsidRDefault="00FC3CB3" w:rsidP="00FC3CB3">
      <w:pPr>
        <w:pStyle w:val="Heading2"/>
      </w:pPr>
      <w:bookmarkStart w:id="32" w:name="_Toc41940203"/>
      <w:r w:rsidRPr="008B2143">
        <w:t>Business Engagement</w:t>
      </w:r>
      <w:bookmarkEnd w:id="32"/>
    </w:p>
    <w:p w14:paraId="5C828D4C" w14:textId="76B1065B" w:rsidR="00FC3CB3" w:rsidRPr="00FC3CB3" w:rsidRDefault="00FC3CB3" w:rsidP="00FC3CB3">
      <w:pPr>
        <w:tabs>
          <w:tab w:val="left" w:pos="360"/>
        </w:tabs>
        <w:spacing w:before="240"/>
        <w:rPr>
          <w:szCs w:val="14"/>
        </w:rPr>
      </w:pPr>
      <w:r w:rsidRPr="00952A66">
        <w:rPr>
          <w:b/>
          <w:bCs/>
          <w:i/>
          <w:iCs/>
          <w:szCs w:val="14"/>
          <w:u w:val="single"/>
        </w:rPr>
        <w:t>Activities and Outputs.</w:t>
      </w:r>
      <w:r w:rsidRPr="00952A66">
        <w:rPr>
          <w:szCs w:val="14"/>
        </w:rPr>
        <w:t xml:space="preserve"> Across the topic area of Business Engagement, progress for the majority of activities (70%) are 50% or less complete (first dashboard).  Across the 8 ITAAs and 27 activities, over half of activities are complete (37%) or moving to completion (15%) for a total of 51% of activities nearly complete.  At the end of Year 4, this total was at just a third, reflecting strong momentum.  Activity 1, assessing effectiveness of current BE strategies was selected by only SVRA for their ITAA and it is complete.  Activities 2 and 3 have been selected by 5 SVRAs each and are the most complete at 60% and 50% respectively; corresponding to the development of standard operating protocols for business engagement and development of a tracking tool that records information on employer service effectiveness.  The value of such tools is evident in the </w:t>
      </w:r>
      <w:r>
        <w:rPr>
          <w:szCs w:val="14"/>
        </w:rPr>
        <w:t>outcomes dashboard</w:t>
      </w:r>
      <w:r w:rsidRPr="00952A66">
        <w:rPr>
          <w:szCs w:val="14"/>
        </w:rPr>
        <w:t xml:space="preserve"> reporting on outcomes and the large table in the outcomes dashboard above, where we see three SVRAs that have been able to provide reports of </w:t>
      </w:r>
      <w:r>
        <w:rPr>
          <w:szCs w:val="14"/>
        </w:rPr>
        <w:t xml:space="preserve">several </w:t>
      </w:r>
      <w:r w:rsidRPr="00952A66">
        <w:rPr>
          <w:szCs w:val="14"/>
        </w:rPr>
        <w:t>measur</w:t>
      </w:r>
      <w:r>
        <w:rPr>
          <w:szCs w:val="14"/>
        </w:rPr>
        <w:t>es of</w:t>
      </w:r>
      <w:r w:rsidRPr="00952A66">
        <w:rPr>
          <w:szCs w:val="14"/>
        </w:rPr>
        <w:t xml:space="preserve"> outcomes achievement.</w:t>
      </w:r>
      <w:r>
        <w:rPr>
          <w:szCs w:val="14"/>
        </w:rPr>
        <w:t xml:space="preserve">  </w:t>
      </w:r>
    </w:p>
    <w:p w14:paraId="42F5D290" w14:textId="004DD431" w:rsidR="00FC3CB3" w:rsidRDefault="00FC3CB3" w:rsidP="00FC3CB3">
      <w:r w:rsidRPr="006F0567">
        <w:rPr>
          <w:b/>
          <w:bCs/>
          <w:i/>
          <w:iCs/>
          <w:u w:val="single"/>
        </w:rPr>
        <w:lastRenderedPageBreak/>
        <w:t>Outcomes.</w:t>
      </w:r>
      <w:r>
        <w:t xml:space="preserve">  O</w:t>
      </w:r>
      <w:r w:rsidRPr="00952A66">
        <w:t>utcomes</w:t>
      </w:r>
      <w:r>
        <w:t xml:space="preserve"> have</w:t>
      </w:r>
      <w:r w:rsidRPr="00952A66">
        <w:t xml:space="preserve"> increased over the past two quarters since the end of Year 4, from 7% to 11% overall.  Ten percent of activities are completed or nearly complete, up from 6% at the end of the year.  </w:t>
      </w:r>
      <w:r>
        <w:t xml:space="preserve">Over the past quarter, the Evaluation Team worked with all TA Teams to develop targeted lists of measurable outcomes more specific than those that may have been originally articulated in ITAAs to ensure representation of all the changes created by the TA Team and SVRAs’ collaborations on ITAAs.  </w:t>
      </w:r>
      <w:r w:rsidRPr="00E3145F">
        <w:rPr>
          <w:u w:val="single"/>
        </w:rPr>
        <w:t>Within just this one quarter, the BE TA Team was able to collect data from three separate agencies</w:t>
      </w:r>
      <w:r>
        <w:t xml:space="preserve"> regarding </w:t>
      </w:r>
      <w:r w:rsidRPr="00952A66">
        <w:t xml:space="preserve">changes in SVRA staff capacity, services to business, and services to consumers related to the engagement of businesses.  </w:t>
      </w:r>
      <w:r>
        <w:t xml:space="preserve">Indeed, the TA Team anticipated those SVRAs implementing the “Progressive Employment” model would be able to provide this information as it is incorporated already.  </w:t>
      </w:r>
      <w:r w:rsidRPr="00E3145F">
        <w:rPr>
          <w:u w:val="single"/>
        </w:rPr>
        <w:t>While early yet</w:t>
      </w:r>
      <w:r>
        <w:t xml:space="preserve"> to even anticipate significant outcomes, given BE TA began in Spring of 2018 and 4 ITAAs were added just in the past two quarters, </w:t>
      </w:r>
      <w:r w:rsidRPr="00E3145F">
        <w:rPr>
          <w:u w:val="single"/>
        </w:rPr>
        <w:t>we still see in many instances increases from pre-TA or baseline levels on the metrics as well as targets being met or exceeded</w:t>
      </w:r>
      <w:r w:rsidRPr="00952A66">
        <w:t xml:space="preserve">.  </w:t>
      </w:r>
      <w:r>
        <w:t>In the case of one agency, the number of dedicated business engagement staff didn’t change but a staff member that was promoted out of the position was actively and purposefully replaced and the BE TA Team is now actively working on performance standards for the role.</w:t>
      </w:r>
    </w:p>
    <w:p w14:paraId="6B9BB42E" w14:textId="77777777" w:rsidR="00FC3CB3" w:rsidRDefault="00FC3CB3" w:rsidP="00FC3CB3">
      <w:r w:rsidRPr="00952A66">
        <w:t xml:space="preserve">Evaluation recommendations have </w:t>
      </w:r>
      <w:r>
        <w:t xml:space="preserve">previously </w:t>
      </w:r>
      <w:r w:rsidRPr="00952A66">
        <w:t>suggested working with ITAA states to create measurable outcomes and to assess both baseline levels and target levels and with these SVRAs we see that being done successfully and contextualizing the present levels so we can understand whether (1) current levels of outcome measures represent improvements and (2) TA provided has been effective in meeting needs and expectations of SVRAs.</w:t>
      </w:r>
    </w:p>
    <w:p w14:paraId="4F5C28B2" w14:textId="77777777" w:rsidR="00FC3CB3" w:rsidRDefault="00FC3CB3" w:rsidP="00FC3CB3">
      <w:r>
        <w:t>For SVRAs unable to provide this information, it is instructive to understand that and continue to build tools and models that may work for them; already ongoing conversations with SVRAs address the needs around shared data systems and organized approaches to business engagement.</w:t>
      </w:r>
    </w:p>
    <w:p w14:paraId="1D92025E" w14:textId="77777777" w:rsidR="00FC3CB3" w:rsidRDefault="00FC3CB3" w:rsidP="00FC3CB3">
      <w:pPr>
        <w:contextualSpacing/>
      </w:pPr>
      <w:r>
        <w:rPr>
          <w:b/>
          <w:bCs/>
          <w:i/>
          <w:iCs/>
          <w:u w:val="single"/>
        </w:rPr>
        <w:t>Sustainability.</w:t>
      </w:r>
      <w:r>
        <w:t xml:space="preserve">  Much of the work of the BE Team has been focused on short-term outcomes given the shortened timeframe for them to work with SVRAs.  These outcomes are being achieved and establish staff capacity that can continue to provide appropriate services.  SVRAs adopting standard operating protocols and tracking tools regarding employer services will have infrastructure in place to manage staff turnover and maintain the approach to service delivery being established with a means to track, report, and evaluate their efforts – establishing systems change.</w:t>
      </w:r>
    </w:p>
    <w:p w14:paraId="6F648B45" w14:textId="77777777" w:rsidR="00FC3CB3" w:rsidRPr="00CB624D" w:rsidRDefault="00FC3CB3" w:rsidP="00FC3CB3">
      <w:pPr>
        <w:pStyle w:val="Heading2"/>
      </w:pPr>
      <w:bookmarkStart w:id="33" w:name="_Toc41940204"/>
      <w:r>
        <w:t>Apprenticeship</w:t>
      </w:r>
      <w:bookmarkEnd w:id="33"/>
    </w:p>
    <w:p w14:paraId="09525D8D" w14:textId="23812743" w:rsidR="00FC3CB3" w:rsidRDefault="00FC3CB3" w:rsidP="00E8795C">
      <w:pPr>
        <w:tabs>
          <w:tab w:val="left" w:pos="360"/>
        </w:tabs>
        <w:spacing w:before="240"/>
        <w:rPr>
          <w:szCs w:val="14"/>
        </w:rPr>
      </w:pPr>
      <w:r w:rsidRPr="006F5E21">
        <w:rPr>
          <w:b/>
          <w:bCs/>
          <w:i/>
          <w:iCs/>
          <w:szCs w:val="14"/>
          <w:u w:val="single"/>
        </w:rPr>
        <w:t>Activities and Outputs.</w:t>
      </w:r>
      <w:r w:rsidRPr="006F5E21">
        <w:rPr>
          <w:szCs w:val="14"/>
        </w:rPr>
        <w:t xml:space="preserve"> Across the topic area of Apprenticeship, progress on activities is now 100% complete, significant progress in just two quarters as it was 40% complete and 60% almost complete (75% or more) at the end of Year 4.  </w:t>
      </w:r>
      <w:r>
        <w:rPr>
          <w:szCs w:val="14"/>
        </w:rPr>
        <w:t>Activities 1 and 2 (assisting in identifying resources and development of new or revised policies and procedures, respectively) are addressed by these progress rates. None of the current ITAAs under Apprenticeship chose Activity 3 regarding training.</w:t>
      </w:r>
      <w:r w:rsidRPr="006F5E21">
        <w:rPr>
          <w:szCs w:val="14"/>
        </w:rPr>
        <w:t xml:space="preserve">  </w:t>
      </w:r>
    </w:p>
    <w:p w14:paraId="0106B924" w14:textId="176B49D3" w:rsidR="00FC3CB3" w:rsidRPr="00D4416D" w:rsidRDefault="00FC3CB3" w:rsidP="00E8795C">
      <w:pPr>
        <w:tabs>
          <w:tab w:val="left" w:pos="360"/>
        </w:tabs>
        <w:rPr>
          <w:szCs w:val="14"/>
        </w:rPr>
      </w:pPr>
      <w:r w:rsidRPr="00765997">
        <w:rPr>
          <w:b/>
          <w:bCs/>
          <w:i/>
          <w:iCs/>
          <w:szCs w:val="14"/>
          <w:u w:val="single"/>
        </w:rPr>
        <w:t>Out</w:t>
      </w:r>
      <w:r>
        <w:rPr>
          <w:b/>
          <w:bCs/>
          <w:i/>
          <w:iCs/>
          <w:szCs w:val="14"/>
          <w:u w:val="single"/>
        </w:rPr>
        <w:t>come</w:t>
      </w:r>
      <w:r w:rsidRPr="00765997">
        <w:rPr>
          <w:b/>
          <w:bCs/>
          <w:i/>
          <w:iCs/>
          <w:szCs w:val="14"/>
          <w:u w:val="single"/>
        </w:rPr>
        <w:t>s.</w:t>
      </w:r>
      <w:r>
        <w:rPr>
          <w:szCs w:val="14"/>
        </w:rPr>
        <w:t xml:space="preserve">  Outcomes address (1) adults engaged in apprenticeships and (2) students including apprenticeship in their IEP planning process.  Overall, progress is 75%.  T</w:t>
      </w:r>
      <w:r>
        <w:rPr>
          <w:rFonts w:ascii="Calibri" w:hAnsi="Calibri" w:cs="Calibri"/>
          <w:color w:val="212121"/>
          <w:shd w:val="clear" w:color="auto" w:fill="FFFFFF"/>
        </w:rPr>
        <w:t xml:space="preserve">here are 29 total </w:t>
      </w:r>
      <w:r>
        <w:rPr>
          <w:szCs w:val="14"/>
        </w:rPr>
        <w:t>consumers noted as being in apprenticeships</w:t>
      </w:r>
      <w:r w:rsidRPr="004B6277">
        <w:rPr>
          <w:rFonts w:ascii="Calibri" w:hAnsi="Calibri" w:cs="Calibri"/>
          <w:color w:val="212121"/>
          <w:shd w:val="clear" w:color="auto" w:fill="FFFFFF"/>
        </w:rPr>
        <w:t xml:space="preserve"> </w:t>
      </w:r>
      <w:r>
        <w:rPr>
          <w:rFonts w:ascii="Calibri" w:hAnsi="Calibri" w:cs="Calibri"/>
          <w:color w:val="212121"/>
          <w:shd w:val="clear" w:color="auto" w:fill="FFFFFF"/>
        </w:rPr>
        <w:t>so far</w:t>
      </w:r>
      <w:r>
        <w:rPr>
          <w:szCs w:val="14"/>
        </w:rPr>
        <w:t xml:space="preserve">.  Two of these stories have been posted to WINTAC’s website and submitted for RSA’s celebration of 100 years of VR.  Notable as other outcomes not specified in the ITAAs has been the collaboration between VR and American Job Centers (AJCs) to facilitate the </w:t>
      </w:r>
      <w:r>
        <w:rPr>
          <w:szCs w:val="14"/>
        </w:rPr>
        <w:lastRenderedPageBreak/>
        <w:t>involvement of clients in apprenticeships, and the use of a “Roadmap” to plan work, and collaboration between SVRAs to share and translate knowledge.  Three states have partnered and expanded apprenticeship programs to reach larger pools of individuals, including one program that is now statewide.</w:t>
      </w:r>
    </w:p>
    <w:p w14:paraId="79F94A07" w14:textId="77777777" w:rsidR="00FC3CB3" w:rsidRPr="00E103D5" w:rsidRDefault="00FC3CB3" w:rsidP="00FC3CB3">
      <w:pPr>
        <w:contextualSpacing/>
        <w:rPr>
          <w:rFonts w:cstheme="minorHAnsi"/>
        </w:rPr>
      </w:pPr>
      <w:r w:rsidRPr="00765997">
        <w:rPr>
          <w:b/>
          <w:bCs/>
          <w:i/>
          <w:iCs/>
          <w:szCs w:val="14"/>
          <w:u w:val="single"/>
        </w:rPr>
        <w:t>Sustainability.</w:t>
      </w:r>
      <w:r>
        <w:rPr>
          <w:szCs w:val="14"/>
        </w:rPr>
        <w:t xml:space="preserve">  As noted in outcomes, partnerships and collaborations have been unarticulated outcomes of work on this topic, including engagement with other SVRAs and workforce partners doing work on apprenticeship programs.  This community will support sustainability beyond the pilot stage, serving as resources.  Continued work on planning through the pandemic reflects a commitment to continue with apprenticeships as a strategy for achieving work-based training and employment once states re-open.</w:t>
      </w:r>
    </w:p>
    <w:p w14:paraId="776781DF" w14:textId="77777777" w:rsidR="00FC3CB3" w:rsidRDefault="00FC3CB3" w:rsidP="00E8795C">
      <w:pPr>
        <w:pStyle w:val="Heading2"/>
      </w:pPr>
      <w:bookmarkStart w:id="34" w:name="_Toc41940205"/>
      <w:r>
        <w:t>Conclusions</w:t>
      </w:r>
      <w:bookmarkEnd w:id="34"/>
    </w:p>
    <w:p w14:paraId="58EE3435" w14:textId="77777777" w:rsidR="00FC3CB3" w:rsidRDefault="00FC3CB3" w:rsidP="00FC3CB3">
      <w:r>
        <w:t>The Evaluation Reports, complementary to the Program Reports, speak volumes about the breadth and depth of work undertaken and the impacts achieved with WINTAC’s intensive technical assistance. It also shows how WINTAC’s approach to TA has evolved to accommodate changing needs and obtain results (or at least move the needle) on long-standing issues in the VR community. Indeed, when the entire VR system had to shift to virtualized and remote service delivery, WINTAC became the go-to resource and wasted no time in developing resources, tools, trainings, and providing support.  With depth in program management issues complementing breadth and depth in specific topics of service delivery, WINTAC is in an unparalleled position to work closely with SVRAs in this unprecedented and evolving situation.  This report documents positive change for VR consumers, state systems, and the state of the art in VR service delivery. It also shares lessons learned and remaining challenges, and provides recommendations for future action, in particular pertaining to evaluation and sustainability.</w:t>
      </w:r>
    </w:p>
    <w:p w14:paraId="4555BA2F" w14:textId="77777777" w:rsidR="00FC3CB3" w:rsidRDefault="00FC3CB3" w:rsidP="00FC3CB3">
      <w:r>
        <w:t xml:space="preserve">A consistent TA theme from one area to the next is that the need, and the corresponding nature of the work, is less about transferring information or introducing new tools and more about </w:t>
      </w:r>
      <w:r w:rsidRPr="001B3EB3">
        <w:rPr>
          <w:b/>
          <w:bCs/>
          <w:u w:val="single"/>
        </w:rPr>
        <w:t>promoting and supporting systems change – structural, cultural, institutional – within and across organizations</w:t>
      </w:r>
      <w:r>
        <w:t>: from shifting attitudes about employability to instinctively working collaboratively to planning for sustainability from the start. Over the course of this project we have observed unprecedented and measurable advances in terms of partnering, leveraging resources, and building capacity. In many different ways, VR now is not only at the table but often assumes a lead role.  Similarly, the alignment of policies, procedures, and funding across agencies that historically have had nothing to do with each other – including General and Blind agencies – is creating transformational change impacting clients’ everyday interactions.</w:t>
      </w:r>
    </w:p>
    <w:p w14:paraId="04D46A41" w14:textId="77777777" w:rsidR="00FC3CB3" w:rsidRDefault="00FC3CB3" w:rsidP="00FC3CB3">
      <w:r>
        <w:t>Evidence of improved capacity, efficiencies achieved, and individuals being served are being seen and seem strong enough to predict promising outcomes as the systems, infrastructures, and programs mature. Importantly, VR and partners are putting mechanisms in place to track and review the results of their actions and factor the findings into future systems improvements.</w:t>
      </w:r>
    </w:p>
    <w:p w14:paraId="63FCF689" w14:textId="77777777" w:rsidR="00FC3CB3" w:rsidRDefault="00FC3CB3" w:rsidP="00FC3CB3">
      <w:r w:rsidRPr="00F37BD5">
        <w:t>The challenges</w:t>
      </w:r>
      <w:r>
        <w:t xml:space="preserve"> encountered are complex and wide-ranging. The one cited in most every area is posed by epic rates of turnover in personnel. The implications for states and TA teams alike are enormous: New leadership may abandon agreements that took months (years?) to negotiate. New VR staff may not buy into a process or practice whose integrity requires commitment from all parties. Service delivery staff trained at great expense may move on to greener pastures leaving vacancies </w:t>
      </w:r>
      <w:r>
        <w:lastRenderedPageBreak/>
        <w:t>unfilled because of the heavy investment in finding or training qualified replacements. Two other commonly cited challenges that can impede successful TA and have required significant resourcefulness to address relate to site readiness (to comply with a regulation or adopt or adapt a given program or practice) and system or program sustainability. As noted in this report, WINTAC has invested significant time and energy in clearly defining and addressing (or beginning to address) these and other barriers to achieving TA objectives.</w:t>
      </w:r>
    </w:p>
    <w:p w14:paraId="7A8AC513" w14:textId="77777777" w:rsidR="00FC3CB3" w:rsidRDefault="00FC3CB3" w:rsidP="00FC3CB3">
      <w:r>
        <w:t>WINTAC manages these accomplishments and challenges with a team of diverse and highly regarded national experts and with ongoing innovation in TA practice that increases its reach, productivity, and effectiveness. Partnering is perhaps the best example of innovative TA – joining with collaborators and competitors alike: Nationally, cultivating relationships with other TACs, associations, universities, and government entities to advance the state of the art in VR practice or advocate for statutory or regulatory changes that will improve services to individuals with disabilities. At the state level, WINTAC recruits partners and resources to wrap richer supports around agencies and individuals and move virtual mountains by facilitating and nurturing relationships across and within agencies. Finally, at the TA operations level, WINTAC structures open communications with RSA and internal collaborations across TA areas.</w:t>
      </w:r>
    </w:p>
    <w:p w14:paraId="38B76BE7" w14:textId="77777777" w:rsidR="00FC3CB3" w:rsidRDefault="00FC3CB3" w:rsidP="00FC3CB3">
      <w:r>
        <w:t>Another innovation in WINTAC’s intensive TA is a culture of continuity: WINTAC teams inform themselves about (if not immerse themselves in) the state’s VR affairs – establishing hands-on connections, customizing their assistance, and demonstrating that they are in it through thick and thin. They collaborate with each other to coordinate and maximize resources. They facilitate communities of practice and offer other supplemental forms of contact. As a result, states view the teams as an ongoing, reliable source of support and expertise and are more likely to seek assistance before their needs or problems worsen.</w:t>
      </w:r>
    </w:p>
    <w:p w14:paraId="6FB35C73" w14:textId="77777777" w:rsidR="00FC3CB3" w:rsidRPr="004D22E3" w:rsidRDefault="00FC3CB3" w:rsidP="00FC3CB3">
      <w:pPr>
        <w:rPr>
          <w:rFonts w:cstheme="minorHAnsi"/>
        </w:rPr>
      </w:pPr>
      <w:r>
        <w:t>Our observations about the work in Customized Employment apply equally to all ITA topic areas: “</w:t>
      </w:r>
      <w:r w:rsidRPr="00925FD8">
        <w:rPr>
          <w:rFonts w:cstheme="minorHAnsi"/>
          <w:i/>
        </w:rPr>
        <w:t>The numbers are already promising, in terms of [systems,</w:t>
      </w:r>
      <w:r>
        <w:rPr>
          <w:rFonts w:cstheme="minorHAnsi"/>
          <w:i/>
        </w:rPr>
        <w:t xml:space="preserve"> resources</w:t>
      </w:r>
      <w:r w:rsidRPr="00925FD8">
        <w:rPr>
          <w:rFonts w:cstheme="minorHAnsi"/>
          <w:i/>
        </w:rPr>
        <w:t xml:space="preserve">] partnerships, capacity and consumers served. The experiences behind the numbers tell more of the story, in terms of the degree of collaboration and cultural and systems change it has taken to get to this point, what it will take to sustain the effort and how intensive the TA will still need to be to support it all. It is complicated and multi-layered: </w:t>
      </w:r>
      <w:r>
        <w:rPr>
          <w:rFonts w:cstheme="minorHAnsi"/>
          <w:i/>
        </w:rPr>
        <w:t>The SVRA layer being about a</w:t>
      </w:r>
      <w:r w:rsidRPr="00925FD8">
        <w:rPr>
          <w:rFonts w:cstheme="minorHAnsi"/>
          <w:i/>
        </w:rPr>
        <w:t xml:space="preserve">dopting and sustaining [a new </w:t>
      </w:r>
      <w:r>
        <w:rPr>
          <w:rFonts w:cstheme="minorHAnsi"/>
          <w:i/>
        </w:rPr>
        <w:t xml:space="preserve">policy or </w:t>
      </w:r>
      <w:r w:rsidRPr="00925FD8">
        <w:rPr>
          <w:rFonts w:cstheme="minorHAnsi"/>
          <w:i/>
        </w:rPr>
        <w:t>practice];</w:t>
      </w:r>
      <w:r>
        <w:rPr>
          <w:rFonts w:cstheme="minorHAnsi"/>
          <w:i/>
        </w:rPr>
        <w:t xml:space="preserve"> the TA layer being about</w:t>
      </w:r>
      <w:r w:rsidRPr="00925FD8">
        <w:rPr>
          <w:rFonts w:cstheme="minorHAnsi"/>
          <w:i/>
        </w:rPr>
        <w:t xml:space="preserve"> designing, implementing and evaluating a [</w:t>
      </w:r>
      <w:r>
        <w:rPr>
          <w:rFonts w:cstheme="minorHAnsi"/>
          <w:i/>
        </w:rPr>
        <w:t>projec</w:t>
      </w:r>
      <w:r w:rsidRPr="00925FD8">
        <w:rPr>
          <w:rFonts w:cstheme="minorHAnsi"/>
          <w:i/>
        </w:rPr>
        <w:t>t];</w:t>
      </w:r>
      <w:r>
        <w:rPr>
          <w:rFonts w:cstheme="minorHAnsi"/>
          <w:i/>
        </w:rPr>
        <w:t xml:space="preserve"> and the systems layer being</w:t>
      </w:r>
      <w:r w:rsidRPr="00925FD8">
        <w:rPr>
          <w:rFonts w:cstheme="minorHAnsi"/>
          <w:i/>
        </w:rPr>
        <w:t xml:space="preserve"> </w:t>
      </w:r>
      <w:r>
        <w:rPr>
          <w:rFonts w:cstheme="minorHAnsi"/>
          <w:i/>
        </w:rPr>
        <w:t xml:space="preserve">about </w:t>
      </w:r>
      <w:r w:rsidRPr="00925FD8">
        <w:rPr>
          <w:rFonts w:cstheme="minorHAnsi"/>
          <w:i/>
        </w:rPr>
        <w:t>bringing it all together in a way that [</w:t>
      </w:r>
      <w:r>
        <w:rPr>
          <w:rFonts w:cstheme="minorHAnsi"/>
          <w:i/>
        </w:rPr>
        <w:t>the new policy or practice</w:t>
      </w:r>
      <w:r w:rsidRPr="00925FD8">
        <w:rPr>
          <w:rFonts w:cstheme="minorHAnsi"/>
          <w:i/>
        </w:rPr>
        <w:t>] is integral to VR service delivery. There are challenges at every turn. But to its credit, WINTAC has the expertise, the access, credibility and finesse to bring it together, and the track record to see it through going forward as time and resources permit.</w:t>
      </w:r>
      <w:r>
        <w:rPr>
          <w:rFonts w:cstheme="minorHAnsi"/>
          <w:i/>
        </w:rPr>
        <w:t>”</w:t>
      </w:r>
    </w:p>
    <w:p w14:paraId="1A04E639" w14:textId="0AA02248" w:rsidR="00922287" w:rsidRPr="00922287" w:rsidRDefault="00922287" w:rsidP="00F21352">
      <w:pPr>
        <w:sectPr w:rsidR="00922287" w:rsidRPr="00922287" w:rsidSect="00364BDC">
          <w:pgSz w:w="12240" w:h="15840" w:code="1"/>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start="1" w:chapStyle="1"/>
          <w:cols w:space="720"/>
          <w:docGrid w:linePitch="360"/>
        </w:sectPr>
      </w:pPr>
      <w:r>
        <w:t>.</w:t>
      </w:r>
    </w:p>
    <w:p w14:paraId="75119BEC" w14:textId="77777777" w:rsidR="003067CF" w:rsidRPr="00220867" w:rsidRDefault="003067CF" w:rsidP="003067CF">
      <w:pPr>
        <w:pStyle w:val="Heading1"/>
        <w:rPr>
          <w:caps/>
        </w:rPr>
      </w:pPr>
      <w:bookmarkStart w:id="35" w:name="_Toc41904107"/>
      <w:bookmarkStart w:id="36" w:name="_Toc41940206"/>
      <w:r>
        <w:lastRenderedPageBreak/>
        <w:t xml:space="preserve">A. </w:t>
      </w:r>
      <w:bookmarkStart w:id="37" w:name="_Toc28011409"/>
      <w:bookmarkStart w:id="38" w:name="_Toc41646915"/>
      <w:r w:rsidRPr="00755285">
        <w:t>P</w:t>
      </w:r>
      <w:r>
        <w:t>r</w:t>
      </w:r>
      <w:r w:rsidRPr="00755285">
        <w:t>e -Employment Transition Services</w:t>
      </w:r>
      <w:bookmarkEnd w:id="35"/>
      <w:bookmarkEnd w:id="36"/>
      <w:bookmarkEnd w:id="37"/>
      <w:bookmarkEnd w:id="38"/>
    </w:p>
    <w:p w14:paraId="3F97A140" w14:textId="77777777" w:rsidR="003067CF" w:rsidRDefault="003067CF" w:rsidP="00B67107">
      <w:pPr>
        <w:ind w:left="-450" w:firstLine="0"/>
        <w:rPr>
          <w:noProof/>
        </w:rPr>
      </w:pPr>
      <w:r>
        <w:rPr>
          <w:noProof/>
          <w:lang w:eastAsia="ko-KR"/>
        </w:rPr>
        <w:drawing>
          <wp:inline distT="0" distB="0" distL="0" distR="0" wp14:anchorId="55F75860" wp14:editId="0D064547">
            <wp:extent cx="5943600" cy="4320540"/>
            <wp:effectExtent l="304800" t="304800" r="323850" b="327660"/>
            <wp:docPr id="28" name="Picture 28" descr="Map of Pre-ETS ITAAs covering the states and territories of: AK, Am.Samoa, AR, AZ, CA, CNMI, DE, FL, GA, Guam, HI, IN, IA, KY, LA, MD, MA, MI, MN, MS, MO, MT, NV, NH, NC, PA, PR, RI, SC, UT, Virg.Isl., 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re-ETS ITAAs Map Y5Q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3205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3711D91C" w14:textId="77777777" w:rsidR="003067CF" w:rsidRDefault="003067CF" w:rsidP="003067CF"/>
    <w:p w14:paraId="42C2DE3D" w14:textId="77777777" w:rsidR="003067CF" w:rsidRDefault="003067CF" w:rsidP="003067CF">
      <w:pPr>
        <w:sectPr w:rsidR="003067CF" w:rsidSect="00EC24EB">
          <w:pgSz w:w="12240" w:h="15840" w:code="1"/>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cols w:space="720"/>
          <w:vAlign w:val="center"/>
          <w:docGrid w:linePitch="360"/>
        </w:sectPr>
      </w:pPr>
    </w:p>
    <w:p w14:paraId="48D4A68C" w14:textId="77777777" w:rsidR="003067CF" w:rsidRPr="00220867" w:rsidRDefault="003067CF" w:rsidP="003067CF">
      <w:pPr>
        <w:pStyle w:val="Heading2"/>
        <w:pBdr>
          <w:bottom w:val="single" w:sz="24" w:space="1" w:color="auto"/>
        </w:pBdr>
        <w:shd w:val="clear" w:color="auto" w:fill="B4C6E7" w:themeFill="accent1" w:themeFillTint="66"/>
        <w:rPr>
          <w:szCs w:val="36"/>
        </w:rPr>
      </w:pPr>
      <w:bookmarkStart w:id="39" w:name="_Toc41646916"/>
      <w:bookmarkStart w:id="40" w:name="_Toc41904108"/>
      <w:bookmarkStart w:id="41" w:name="_Toc41940207"/>
      <w:r w:rsidRPr="00220867">
        <w:rPr>
          <w:szCs w:val="36"/>
        </w:rPr>
        <w:lastRenderedPageBreak/>
        <w:t>Pre-ETS – ITA Logic Model</w:t>
      </w:r>
      <w:bookmarkEnd w:id="39"/>
      <w:bookmarkEnd w:id="40"/>
      <w:bookmarkEnd w:id="41"/>
    </w:p>
    <w:tbl>
      <w:tblPr>
        <w:tblW w:w="5000" w:type="pct"/>
        <w:tblLook w:val="04A0" w:firstRow="1" w:lastRow="0" w:firstColumn="1" w:lastColumn="0" w:noHBand="0" w:noVBand="1"/>
      </w:tblPr>
      <w:tblGrid>
        <w:gridCol w:w="4765"/>
        <w:gridCol w:w="4585"/>
      </w:tblGrid>
      <w:tr w:rsidR="003067CF" w:rsidRPr="00206792" w14:paraId="7E97167E" w14:textId="77777777" w:rsidTr="00A52221">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1062147" w14:textId="77777777" w:rsidR="003067CF" w:rsidRPr="00206792" w:rsidRDefault="003067CF" w:rsidP="00A52221">
            <w:pPr>
              <w:spacing w:after="0" w:line="240" w:lineRule="auto"/>
              <w:jc w:val="center"/>
              <w:rPr>
                <w:b/>
                <w:bCs/>
                <w:color w:val="000000"/>
              </w:rPr>
            </w:pPr>
            <w:r w:rsidRPr="00206792">
              <w:rPr>
                <w:b/>
                <w:bCs/>
                <w:color w:val="000000"/>
              </w:rPr>
              <w:t>Activity</w:t>
            </w:r>
          </w:p>
        </w:tc>
        <w:tc>
          <w:tcPr>
            <w:tcW w:w="2452"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03376129" w14:textId="77777777" w:rsidR="003067CF" w:rsidRPr="00206792" w:rsidRDefault="003067CF" w:rsidP="00A52221">
            <w:pPr>
              <w:spacing w:after="0" w:line="240" w:lineRule="auto"/>
              <w:jc w:val="center"/>
              <w:rPr>
                <w:b/>
                <w:bCs/>
                <w:color w:val="000000"/>
              </w:rPr>
            </w:pPr>
            <w:r w:rsidRPr="00206792">
              <w:rPr>
                <w:b/>
                <w:bCs/>
                <w:color w:val="000000"/>
              </w:rPr>
              <w:t>Output</w:t>
            </w:r>
          </w:p>
        </w:tc>
      </w:tr>
      <w:tr w:rsidR="003067CF" w:rsidRPr="00206792" w14:paraId="1E0B09CC" w14:textId="77777777" w:rsidTr="00A52221">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0546CD40" w14:textId="77777777" w:rsidR="003067CF" w:rsidRPr="00206792" w:rsidRDefault="003067CF" w:rsidP="00A52221">
            <w:pPr>
              <w:pStyle w:val="ListParagraph"/>
              <w:numPr>
                <w:ilvl w:val="0"/>
                <w:numId w:val="3"/>
              </w:numPr>
              <w:spacing w:after="0" w:line="240" w:lineRule="auto"/>
            </w:pPr>
            <w:r w:rsidRPr="00206792">
              <w:t>Review existing documentation, policies, procedures and internal controls for Pre-ETS, including the tracking and reporting of Pre-ETS</w:t>
            </w:r>
          </w:p>
        </w:tc>
        <w:tc>
          <w:tcPr>
            <w:tcW w:w="2452" w:type="pct"/>
            <w:tcBorders>
              <w:top w:val="nil"/>
              <w:left w:val="nil"/>
              <w:bottom w:val="single" w:sz="4" w:space="0" w:color="000000"/>
              <w:right w:val="single" w:sz="4" w:space="0" w:color="000000"/>
            </w:tcBorders>
            <w:shd w:val="clear" w:color="auto" w:fill="auto"/>
            <w:vAlign w:val="center"/>
            <w:hideMark/>
          </w:tcPr>
          <w:p w14:paraId="083CC2D5" w14:textId="77777777" w:rsidR="003067CF" w:rsidRPr="00206792" w:rsidRDefault="003067CF" w:rsidP="00A52221">
            <w:pPr>
              <w:pStyle w:val="ListParagraph"/>
              <w:numPr>
                <w:ilvl w:val="0"/>
                <w:numId w:val="4"/>
              </w:numPr>
              <w:spacing w:after="0" w:line="240" w:lineRule="auto"/>
              <w:ind w:left="340"/>
            </w:pPr>
            <w:r w:rsidRPr="00206792">
              <w:t>Documented feedback on documentation, policies, procedures and internal controls for Pre-ETS, including the tracking and reporting of Pre-ETS</w:t>
            </w:r>
          </w:p>
        </w:tc>
      </w:tr>
      <w:tr w:rsidR="003067CF" w:rsidRPr="00206792" w14:paraId="4165D71F" w14:textId="77777777" w:rsidTr="00A52221">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2883953A" w14:textId="77777777" w:rsidR="003067CF" w:rsidRPr="00206792" w:rsidRDefault="003067CF" w:rsidP="00A52221">
            <w:pPr>
              <w:pStyle w:val="ListParagraph"/>
              <w:numPr>
                <w:ilvl w:val="0"/>
                <w:numId w:val="3"/>
              </w:numPr>
              <w:spacing w:after="0" w:line="240" w:lineRule="auto"/>
            </w:pPr>
            <w:r w:rsidRPr="00206792">
              <w:t>Assist in the development of new or revised policies and procedures and internal controls for Pre-ETS including the expenditures, tracking and reporting of Pre-ETS</w:t>
            </w:r>
          </w:p>
        </w:tc>
        <w:tc>
          <w:tcPr>
            <w:tcW w:w="2452" w:type="pct"/>
            <w:tcBorders>
              <w:top w:val="nil"/>
              <w:left w:val="nil"/>
              <w:bottom w:val="single" w:sz="4" w:space="0" w:color="000000"/>
              <w:right w:val="single" w:sz="4" w:space="0" w:color="000000"/>
            </w:tcBorders>
            <w:shd w:val="clear" w:color="auto" w:fill="auto"/>
            <w:vAlign w:val="center"/>
            <w:hideMark/>
          </w:tcPr>
          <w:p w14:paraId="5B009BCC" w14:textId="77777777" w:rsidR="003067CF" w:rsidRPr="00206792" w:rsidRDefault="003067CF" w:rsidP="00A52221">
            <w:pPr>
              <w:pStyle w:val="ListParagraph"/>
              <w:numPr>
                <w:ilvl w:val="0"/>
                <w:numId w:val="4"/>
              </w:numPr>
              <w:spacing w:after="0" w:line="240" w:lineRule="auto"/>
              <w:ind w:left="340"/>
            </w:pPr>
            <w:r w:rsidRPr="00206792">
              <w:t>Draft of new and/or revised policies and procedures and internal controls for Pre-ETS</w:t>
            </w:r>
          </w:p>
        </w:tc>
      </w:tr>
      <w:tr w:rsidR="003067CF" w:rsidRPr="00206792" w14:paraId="699686A9" w14:textId="77777777" w:rsidTr="00A52221">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7AFA9D52" w14:textId="77777777" w:rsidR="003067CF" w:rsidRPr="00206792" w:rsidRDefault="003067CF" w:rsidP="00A52221">
            <w:pPr>
              <w:pStyle w:val="ListParagraph"/>
              <w:numPr>
                <w:ilvl w:val="0"/>
                <w:numId w:val="3"/>
              </w:numPr>
              <w:spacing w:after="0" w:line="240" w:lineRule="auto"/>
            </w:pPr>
            <w:r w:rsidRPr="00206792">
              <w:t>Review existing expenditures allocated to the reserved funds and determine if they are allowable costs</w:t>
            </w:r>
          </w:p>
        </w:tc>
        <w:tc>
          <w:tcPr>
            <w:tcW w:w="2452" w:type="pct"/>
            <w:tcBorders>
              <w:top w:val="nil"/>
              <w:left w:val="nil"/>
              <w:bottom w:val="single" w:sz="4" w:space="0" w:color="000000"/>
              <w:right w:val="single" w:sz="4" w:space="0" w:color="000000"/>
            </w:tcBorders>
            <w:shd w:val="clear" w:color="auto" w:fill="auto"/>
            <w:vAlign w:val="center"/>
            <w:hideMark/>
          </w:tcPr>
          <w:p w14:paraId="7B72438E" w14:textId="77777777" w:rsidR="003067CF" w:rsidRPr="00206792" w:rsidRDefault="003067CF" w:rsidP="00A52221">
            <w:pPr>
              <w:pStyle w:val="ListParagraph"/>
              <w:numPr>
                <w:ilvl w:val="0"/>
                <w:numId w:val="4"/>
              </w:numPr>
              <w:spacing w:after="0" w:line="240" w:lineRule="auto"/>
              <w:ind w:left="340"/>
            </w:pPr>
            <w:r w:rsidRPr="00206792">
              <w:t>Documented feedback on allowable expenditures</w:t>
            </w:r>
          </w:p>
        </w:tc>
      </w:tr>
      <w:tr w:rsidR="003067CF" w:rsidRPr="00206792" w14:paraId="32F3AE25" w14:textId="77777777" w:rsidTr="00A52221">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4EB8E6C6" w14:textId="77777777" w:rsidR="003067CF" w:rsidRPr="00206792" w:rsidRDefault="003067CF" w:rsidP="00A52221">
            <w:pPr>
              <w:pStyle w:val="ListParagraph"/>
              <w:numPr>
                <w:ilvl w:val="0"/>
                <w:numId w:val="3"/>
              </w:numPr>
              <w:spacing w:after="0" w:line="240" w:lineRule="auto"/>
            </w:pPr>
            <w:r w:rsidRPr="00206792">
              <w:t>Assist the agency in the development of processes and internal controls for accurate financial reporting of Pre-ETS</w:t>
            </w:r>
          </w:p>
        </w:tc>
        <w:tc>
          <w:tcPr>
            <w:tcW w:w="2452" w:type="pct"/>
            <w:tcBorders>
              <w:top w:val="nil"/>
              <w:left w:val="nil"/>
              <w:bottom w:val="single" w:sz="4" w:space="0" w:color="000000"/>
              <w:right w:val="single" w:sz="4" w:space="0" w:color="000000"/>
            </w:tcBorders>
            <w:shd w:val="clear" w:color="auto" w:fill="auto"/>
            <w:vAlign w:val="center"/>
            <w:hideMark/>
          </w:tcPr>
          <w:p w14:paraId="267A0A8E" w14:textId="77777777" w:rsidR="003067CF" w:rsidRPr="00206792" w:rsidRDefault="003067CF" w:rsidP="00A52221">
            <w:pPr>
              <w:pStyle w:val="ListParagraph"/>
              <w:numPr>
                <w:ilvl w:val="0"/>
                <w:numId w:val="4"/>
              </w:numPr>
              <w:spacing w:after="0" w:line="240" w:lineRule="auto"/>
              <w:ind w:left="340"/>
            </w:pPr>
            <w:r w:rsidRPr="00206792">
              <w:t>Draft of written processes and internal controls provided to the agency</w:t>
            </w:r>
          </w:p>
        </w:tc>
      </w:tr>
      <w:tr w:rsidR="003067CF" w:rsidRPr="00206792" w14:paraId="4BCB3B25" w14:textId="77777777" w:rsidTr="00A52221">
        <w:trPr>
          <w:trHeight w:val="20"/>
        </w:trPr>
        <w:tc>
          <w:tcPr>
            <w:tcW w:w="2548" w:type="pct"/>
            <w:tcBorders>
              <w:top w:val="nil"/>
              <w:left w:val="single" w:sz="4" w:space="0" w:color="000000"/>
              <w:bottom w:val="nil"/>
              <w:right w:val="single" w:sz="4" w:space="0" w:color="000000"/>
            </w:tcBorders>
            <w:shd w:val="clear" w:color="auto" w:fill="auto"/>
            <w:vAlign w:val="center"/>
            <w:hideMark/>
          </w:tcPr>
          <w:p w14:paraId="496CA2FF" w14:textId="77777777" w:rsidR="003067CF" w:rsidRPr="00206792" w:rsidRDefault="003067CF" w:rsidP="00A52221">
            <w:pPr>
              <w:pStyle w:val="ListParagraph"/>
              <w:numPr>
                <w:ilvl w:val="0"/>
                <w:numId w:val="3"/>
              </w:numPr>
              <w:spacing w:after="0" w:line="240" w:lineRule="auto"/>
            </w:pPr>
            <w:r w:rsidRPr="00206792">
              <w:t>Review current interagency agreement between VR and SEA that encompasses the required elements in WIOA</w:t>
            </w:r>
          </w:p>
        </w:tc>
        <w:tc>
          <w:tcPr>
            <w:tcW w:w="2452" w:type="pct"/>
            <w:tcBorders>
              <w:top w:val="nil"/>
              <w:left w:val="nil"/>
              <w:bottom w:val="nil"/>
              <w:right w:val="single" w:sz="4" w:space="0" w:color="000000"/>
            </w:tcBorders>
            <w:shd w:val="clear" w:color="auto" w:fill="auto"/>
            <w:vAlign w:val="center"/>
            <w:hideMark/>
          </w:tcPr>
          <w:p w14:paraId="67B5FD81" w14:textId="77777777" w:rsidR="003067CF" w:rsidRPr="00206792" w:rsidRDefault="003067CF" w:rsidP="00A52221">
            <w:pPr>
              <w:pStyle w:val="ListParagraph"/>
              <w:numPr>
                <w:ilvl w:val="0"/>
                <w:numId w:val="4"/>
              </w:numPr>
              <w:spacing w:after="0" w:line="240" w:lineRule="auto"/>
              <w:ind w:left="340"/>
            </w:pPr>
            <w:r w:rsidRPr="00206792">
              <w:t>Documented feedback on interagency agreement</w:t>
            </w:r>
          </w:p>
        </w:tc>
      </w:tr>
      <w:tr w:rsidR="003067CF" w:rsidRPr="00206792" w14:paraId="0D058207" w14:textId="77777777" w:rsidTr="00A52221">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A8C8E4" w14:textId="77777777" w:rsidR="003067CF" w:rsidRPr="00206792" w:rsidRDefault="003067CF" w:rsidP="00A52221">
            <w:pPr>
              <w:pStyle w:val="ListParagraph"/>
              <w:numPr>
                <w:ilvl w:val="0"/>
                <w:numId w:val="3"/>
              </w:numPr>
              <w:spacing w:after="0" w:line="240" w:lineRule="auto"/>
            </w:pPr>
            <w:r w:rsidRPr="00206792">
              <w:t xml:space="preserve">Assist in the development of an updated interagency agreement between VR and SEA that encompasses the required elements in WIOA to use as a model for LEA agreements </w:t>
            </w:r>
          </w:p>
        </w:tc>
        <w:tc>
          <w:tcPr>
            <w:tcW w:w="2452" w:type="pct"/>
            <w:tcBorders>
              <w:top w:val="single" w:sz="4" w:space="0" w:color="auto"/>
              <w:left w:val="nil"/>
              <w:bottom w:val="single" w:sz="4" w:space="0" w:color="auto"/>
              <w:right w:val="single" w:sz="4" w:space="0" w:color="auto"/>
            </w:tcBorders>
            <w:shd w:val="clear" w:color="auto" w:fill="auto"/>
            <w:vAlign w:val="center"/>
            <w:hideMark/>
          </w:tcPr>
          <w:p w14:paraId="3C2FB37C" w14:textId="77777777" w:rsidR="003067CF" w:rsidRPr="00206792" w:rsidRDefault="003067CF" w:rsidP="00A52221">
            <w:pPr>
              <w:pStyle w:val="ListParagraph"/>
              <w:numPr>
                <w:ilvl w:val="0"/>
                <w:numId w:val="4"/>
              </w:numPr>
              <w:spacing w:after="0" w:line="240" w:lineRule="auto"/>
              <w:ind w:left="340"/>
            </w:pPr>
            <w:r w:rsidRPr="00206792">
              <w:t>Draft updated agreement with recommendations</w:t>
            </w:r>
          </w:p>
        </w:tc>
      </w:tr>
      <w:tr w:rsidR="003067CF" w:rsidRPr="00206792" w14:paraId="3FC5A1E2" w14:textId="77777777" w:rsidTr="00A52221">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5A0230" w14:textId="77777777" w:rsidR="003067CF" w:rsidRPr="00206792" w:rsidRDefault="003067CF" w:rsidP="00A52221">
            <w:pPr>
              <w:pStyle w:val="ListParagraph"/>
              <w:numPr>
                <w:ilvl w:val="0"/>
                <w:numId w:val="3"/>
              </w:numPr>
              <w:spacing w:after="0" w:line="240" w:lineRule="auto"/>
            </w:pPr>
            <w:r w:rsidRPr="00206792">
              <w:t>Assist agency in demonstrating that they have met the requirement for the provision of pre-employment transition services required and coordination activities before assigning authorized services to reserved funds</w:t>
            </w: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12B564" w14:textId="77777777" w:rsidR="003067CF" w:rsidRPr="00206792" w:rsidRDefault="003067CF" w:rsidP="00A52221">
            <w:pPr>
              <w:pStyle w:val="ListParagraph"/>
              <w:numPr>
                <w:ilvl w:val="0"/>
                <w:numId w:val="4"/>
              </w:numPr>
              <w:spacing w:after="0" w:line="240" w:lineRule="auto"/>
              <w:ind w:left="340"/>
            </w:pPr>
            <w:r w:rsidRPr="00206792">
              <w:t>Completion of RSA approved model of movement from required to authorized activities</w:t>
            </w:r>
          </w:p>
        </w:tc>
      </w:tr>
      <w:tr w:rsidR="003067CF" w:rsidRPr="00206792" w14:paraId="6734946F" w14:textId="77777777" w:rsidTr="00A52221">
        <w:trPr>
          <w:trHeight w:val="20"/>
        </w:trPr>
        <w:tc>
          <w:tcPr>
            <w:tcW w:w="2548" w:type="pct"/>
            <w:tcBorders>
              <w:top w:val="single" w:sz="4" w:space="0" w:color="auto"/>
              <w:left w:val="single" w:sz="4" w:space="0" w:color="000000"/>
              <w:bottom w:val="nil"/>
              <w:right w:val="single" w:sz="4" w:space="0" w:color="000000"/>
            </w:tcBorders>
            <w:shd w:val="clear" w:color="auto" w:fill="auto"/>
            <w:vAlign w:val="center"/>
            <w:hideMark/>
          </w:tcPr>
          <w:p w14:paraId="1BE02BCD" w14:textId="77777777" w:rsidR="003067CF" w:rsidRPr="00206792" w:rsidRDefault="003067CF" w:rsidP="00A52221">
            <w:pPr>
              <w:pStyle w:val="ListParagraph"/>
              <w:numPr>
                <w:ilvl w:val="0"/>
                <w:numId w:val="3"/>
              </w:numPr>
              <w:spacing w:after="0" w:line="240" w:lineRule="auto"/>
            </w:pPr>
            <w:r w:rsidRPr="00206792">
              <w:t>Provide training to VR staff regarding Pre-ETS and S. 113 of the Act as amended by WIOA</w:t>
            </w:r>
          </w:p>
        </w:tc>
        <w:tc>
          <w:tcPr>
            <w:tcW w:w="2452" w:type="pct"/>
            <w:tcBorders>
              <w:top w:val="single" w:sz="4" w:space="0" w:color="auto"/>
              <w:left w:val="nil"/>
              <w:bottom w:val="single" w:sz="4" w:space="0" w:color="auto"/>
              <w:right w:val="single" w:sz="4" w:space="0" w:color="auto"/>
            </w:tcBorders>
            <w:shd w:val="clear" w:color="auto" w:fill="auto"/>
            <w:vAlign w:val="center"/>
            <w:hideMark/>
          </w:tcPr>
          <w:p w14:paraId="01FD2301" w14:textId="77777777" w:rsidR="003067CF" w:rsidRPr="00206792" w:rsidRDefault="003067CF" w:rsidP="00A52221">
            <w:pPr>
              <w:pStyle w:val="ListParagraph"/>
              <w:numPr>
                <w:ilvl w:val="0"/>
                <w:numId w:val="4"/>
              </w:numPr>
              <w:spacing w:after="0" w:line="240" w:lineRule="auto"/>
              <w:ind w:left="340"/>
            </w:pPr>
            <w:r w:rsidRPr="00206792">
              <w:t>The number of individuals that complete the training(s).</w:t>
            </w:r>
          </w:p>
        </w:tc>
      </w:tr>
      <w:tr w:rsidR="003067CF" w:rsidRPr="00206792" w14:paraId="025289D5" w14:textId="77777777" w:rsidTr="00A52221">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2F5392" w14:textId="77777777" w:rsidR="003067CF" w:rsidRPr="00206792" w:rsidRDefault="003067CF" w:rsidP="00A52221">
            <w:pPr>
              <w:pStyle w:val="ListParagraph"/>
              <w:numPr>
                <w:ilvl w:val="0"/>
                <w:numId w:val="3"/>
              </w:numPr>
              <w:spacing w:after="0" w:line="240" w:lineRule="auto"/>
            </w:pPr>
            <w:r w:rsidRPr="00206792">
              <w:t>Provide training to VR staff regarding Agency’s updated policies and procedures related to Pre-ETS</w:t>
            </w:r>
          </w:p>
        </w:tc>
        <w:tc>
          <w:tcPr>
            <w:tcW w:w="2452" w:type="pct"/>
            <w:tcBorders>
              <w:top w:val="nil"/>
              <w:left w:val="nil"/>
              <w:bottom w:val="nil"/>
              <w:right w:val="single" w:sz="4" w:space="0" w:color="000000"/>
            </w:tcBorders>
            <w:shd w:val="clear" w:color="auto" w:fill="auto"/>
            <w:vAlign w:val="center"/>
            <w:hideMark/>
          </w:tcPr>
          <w:p w14:paraId="1DA5F271" w14:textId="77777777" w:rsidR="003067CF" w:rsidRPr="00206792" w:rsidRDefault="003067CF" w:rsidP="00A52221">
            <w:pPr>
              <w:pStyle w:val="ListParagraph"/>
              <w:numPr>
                <w:ilvl w:val="0"/>
                <w:numId w:val="4"/>
              </w:numPr>
              <w:spacing w:after="0" w:line="240" w:lineRule="auto"/>
              <w:ind w:left="340"/>
            </w:pPr>
            <w:r w:rsidRPr="00206792">
              <w:t>The number of individuals that complete the training(s).</w:t>
            </w:r>
          </w:p>
        </w:tc>
      </w:tr>
      <w:tr w:rsidR="003067CF" w:rsidRPr="00206792" w14:paraId="101D41F2" w14:textId="77777777" w:rsidTr="00A52221">
        <w:trPr>
          <w:trHeight w:val="20"/>
        </w:trPr>
        <w:tc>
          <w:tcPr>
            <w:tcW w:w="2548" w:type="pct"/>
            <w:tcBorders>
              <w:top w:val="single" w:sz="4" w:space="0" w:color="auto"/>
              <w:left w:val="single" w:sz="4" w:space="0" w:color="000000"/>
              <w:bottom w:val="single" w:sz="4" w:space="0" w:color="auto"/>
              <w:right w:val="single" w:sz="4" w:space="0" w:color="000000"/>
            </w:tcBorders>
            <w:shd w:val="clear" w:color="auto" w:fill="auto"/>
            <w:vAlign w:val="center"/>
            <w:hideMark/>
          </w:tcPr>
          <w:p w14:paraId="337E6D5F" w14:textId="77777777" w:rsidR="003067CF" w:rsidRPr="00206792" w:rsidRDefault="003067CF" w:rsidP="00A52221">
            <w:pPr>
              <w:pStyle w:val="ListParagraph"/>
              <w:numPr>
                <w:ilvl w:val="0"/>
                <w:numId w:val="3"/>
              </w:numPr>
              <w:spacing w:after="0" w:line="240" w:lineRule="auto"/>
            </w:pPr>
            <w:r w:rsidRPr="00206792">
              <w:t>Assist in the development of a strategy to explore and expand Pre-ETS service delivery including possible electronic/online options and modalities</w:t>
            </w:r>
          </w:p>
        </w:tc>
        <w:tc>
          <w:tcPr>
            <w:tcW w:w="2452" w:type="pct"/>
            <w:tcBorders>
              <w:top w:val="single" w:sz="4" w:space="0" w:color="000000"/>
              <w:left w:val="nil"/>
              <w:bottom w:val="single" w:sz="4" w:space="0" w:color="000000"/>
              <w:right w:val="single" w:sz="4" w:space="0" w:color="000000"/>
            </w:tcBorders>
            <w:shd w:val="clear" w:color="auto" w:fill="auto"/>
            <w:vAlign w:val="center"/>
            <w:hideMark/>
          </w:tcPr>
          <w:p w14:paraId="1436A9D0" w14:textId="77777777" w:rsidR="003067CF" w:rsidRPr="00206792" w:rsidRDefault="003067CF" w:rsidP="00A52221">
            <w:pPr>
              <w:pStyle w:val="ListParagraph"/>
              <w:numPr>
                <w:ilvl w:val="0"/>
                <w:numId w:val="4"/>
              </w:numPr>
              <w:spacing w:after="0" w:line="240" w:lineRule="auto"/>
              <w:ind w:left="340"/>
            </w:pPr>
            <w:r w:rsidRPr="00206792">
              <w:t>Disseminate Explore-Work.com to agency</w:t>
            </w:r>
          </w:p>
        </w:tc>
      </w:tr>
      <w:tr w:rsidR="003067CF" w:rsidRPr="00206792" w14:paraId="60E3C8E5" w14:textId="77777777" w:rsidTr="00A52221">
        <w:trPr>
          <w:trHeight w:val="20"/>
        </w:trPr>
        <w:tc>
          <w:tcPr>
            <w:tcW w:w="5000" w:type="pct"/>
            <w:gridSpan w:val="2"/>
            <w:tcBorders>
              <w:top w:val="single" w:sz="4" w:space="0" w:color="auto"/>
              <w:left w:val="single" w:sz="4" w:space="0" w:color="000000"/>
              <w:bottom w:val="single" w:sz="4" w:space="0" w:color="auto"/>
              <w:right w:val="single" w:sz="4" w:space="0" w:color="000000"/>
            </w:tcBorders>
            <w:shd w:val="clear" w:color="auto" w:fill="D9E2F3" w:themeFill="accent1" w:themeFillTint="33"/>
            <w:vAlign w:val="center"/>
          </w:tcPr>
          <w:p w14:paraId="4D7788ED" w14:textId="77777777" w:rsidR="003067CF" w:rsidRPr="00206792" w:rsidRDefault="003067CF" w:rsidP="00A52221">
            <w:pPr>
              <w:spacing w:after="0" w:line="240" w:lineRule="auto"/>
              <w:jc w:val="center"/>
              <w:rPr>
                <w:b/>
              </w:rPr>
            </w:pPr>
            <w:r w:rsidRPr="00206792">
              <w:rPr>
                <w:b/>
              </w:rPr>
              <w:t>Short-Term Outcomes</w:t>
            </w:r>
          </w:p>
          <w:p w14:paraId="7DCCC5C9" w14:textId="77777777" w:rsidR="003067CF" w:rsidRPr="00206792" w:rsidRDefault="003067CF" w:rsidP="00A52221">
            <w:pPr>
              <w:pStyle w:val="ListParagraph"/>
              <w:numPr>
                <w:ilvl w:val="0"/>
                <w:numId w:val="2"/>
              </w:numPr>
              <w:spacing w:after="0" w:line="240" w:lineRule="auto"/>
            </w:pPr>
            <w:r w:rsidRPr="00206792">
              <w:t>There will be an increase in the number of students with disabilities that receive at least one of the five required services from year to year.</w:t>
            </w:r>
          </w:p>
          <w:p w14:paraId="33CC9A1E" w14:textId="77777777" w:rsidR="003067CF" w:rsidRPr="00206792" w:rsidRDefault="003067CF" w:rsidP="00A52221">
            <w:pPr>
              <w:pStyle w:val="ListParagraph"/>
              <w:numPr>
                <w:ilvl w:val="0"/>
                <w:numId w:val="2"/>
              </w:numPr>
              <w:spacing w:after="0" w:line="240" w:lineRule="auto"/>
            </w:pPr>
            <w:r w:rsidRPr="00206792">
              <w:t>The agency will completely and accurately report on the expenditure of the 15% reserve</w:t>
            </w:r>
          </w:p>
          <w:p w14:paraId="4B415288" w14:textId="77777777" w:rsidR="003067CF" w:rsidRPr="00206792" w:rsidRDefault="003067CF" w:rsidP="00A52221">
            <w:pPr>
              <w:pStyle w:val="ListParagraph"/>
              <w:numPr>
                <w:ilvl w:val="0"/>
                <w:numId w:val="2"/>
              </w:numPr>
              <w:spacing w:after="0" w:line="240" w:lineRule="auto"/>
            </w:pPr>
            <w:r w:rsidRPr="00206792">
              <w:t>The VR program will increase the allocation of Pre-ETS expenditures towards the minimum 15% reserve until it is fully expended</w:t>
            </w:r>
          </w:p>
          <w:p w14:paraId="2407F8E2" w14:textId="77777777" w:rsidR="003067CF" w:rsidRPr="00206792" w:rsidRDefault="003067CF" w:rsidP="00A52221">
            <w:pPr>
              <w:pStyle w:val="ListParagraph"/>
              <w:numPr>
                <w:ilvl w:val="0"/>
                <w:numId w:val="2"/>
              </w:numPr>
              <w:spacing w:after="0" w:line="240" w:lineRule="auto"/>
            </w:pPr>
            <w:r w:rsidRPr="00206792">
              <w:t>Improved interagency coordination and collaboration regarding pre-employment transition services at a state-level (systems change)</w:t>
            </w:r>
          </w:p>
        </w:tc>
      </w:tr>
    </w:tbl>
    <w:p w14:paraId="1D9EEE62" w14:textId="77777777" w:rsidR="003067CF" w:rsidRDefault="003067CF" w:rsidP="003067CF">
      <w:pPr>
        <w:pStyle w:val="Heading2"/>
        <w:rPr>
          <w:szCs w:val="36"/>
        </w:rPr>
      </w:pPr>
      <w:r>
        <w:rPr>
          <w:szCs w:val="36"/>
        </w:rPr>
        <w:br w:type="page"/>
      </w:r>
    </w:p>
    <w:p w14:paraId="752BDC5F" w14:textId="77777777" w:rsidR="003067CF" w:rsidRPr="00CD49F8" w:rsidRDefault="003067CF" w:rsidP="003067CF">
      <w:pPr>
        <w:pStyle w:val="Heading2"/>
      </w:pPr>
      <w:bookmarkStart w:id="42" w:name="_Toc41646917"/>
      <w:bookmarkStart w:id="43" w:name="_Toc41904109"/>
      <w:bookmarkStart w:id="44" w:name="_Toc41940208"/>
      <w:bookmarkStart w:id="45" w:name="_Hlk41418315"/>
      <w:r w:rsidRPr="00CD49F8">
        <w:lastRenderedPageBreak/>
        <w:t xml:space="preserve">Pre-ETS: </w:t>
      </w:r>
      <w:bookmarkEnd w:id="42"/>
      <w:r w:rsidRPr="00CD49F8">
        <w:t>Activities &amp; Outputs Progress Dashboards</w:t>
      </w:r>
      <w:bookmarkEnd w:id="43"/>
      <w:bookmarkEnd w:id="44"/>
    </w:p>
    <w:p w14:paraId="2EB22040" w14:textId="77777777" w:rsidR="003067CF" w:rsidRDefault="003067CF" w:rsidP="003067CF">
      <w:pPr>
        <w:ind w:firstLine="0"/>
      </w:pPr>
    </w:p>
    <w:p w14:paraId="028BF4EC" w14:textId="77777777" w:rsidR="003067CF" w:rsidRDefault="003067CF" w:rsidP="003067CF">
      <w:pPr>
        <w:ind w:firstLine="0"/>
        <w:jc w:val="center"/>
      </w:pPr>
      <w:r>
        <w:rPr>
          <w:noProof/>
          <w:lang w:eastAsia="ko-KR"/>
        </w:rPr>
        <w:drawing>
          <wp:inline distT="0" distB="0" distL="0" distR="0" wp14:anchorId="449C6592" wp14:editId="3F124593">
            <wp:extent cx="5915025" cy="2219325"/>
            <wp:effectExtent l="0" t="0" r="9525" b="9525"/>
            <wp:docPr id="12" name="Picture 12" descr="Progress Pre-ETS: Activities showing 72% complete">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15025" cy="2219325"/>
                    </a:xfrm>
                    <a:prstGeom prst="rect">
                      <a:avLst/>
                    </a:prstGeom>
                  </pic:spPr>
                </pic:pic>
              </a:graphicData>
            </a:graphic>
          </wp:inline>
        </w:drawing>
      </w:r>
    </w:p>
    <w:p w14:paraId="4E3FA1A7" w14:textId="77777777" w:rsidR="003067CF" w:rsidRDefault="003067CF" w:rsidP="003067CF">
      <w:pPr>
        <w:rPr>
          <w:sz w:val="24"/>
          <w:szCs w:val="24"/>
        </w:rPr>
      </w:pPr>
      <w:r w:rsidRPr="00073B3B">
        <w:rPr>
          <w:b/>
          <w:bCs/>
          <w:sz w:val="24"/>
          <w:szCs w:val="24"/>
        </w:rPr>
        <w:t xml:space="preserve">Across </w:t>
      </w:r>
      <w:r>
        <w:rPr>
          <w:b/>
          <w:bCs/>
          <w:sz w:val="24"/>
          <w:szCs w:val="24"/>
        </w:rPr>
        <w:t>233</w:t>
      </w:r>
      <w:r w:rsidRPr="00073B3B">
        <w:rPr>
          <w:b/>
          <w:bCs/>
          <w:sz w:val="24"/>
          <w:szCs w:val="24"/>
        </w:rPr>
        <w:t xml:space="preserve"> activities articulated in ITAAs, most are complete (72%)</w:t>
      </w:r>
      <w:r w:rsidRPr="00E47117">
        <w:rPr>
          <w:sz w:val="24"/>
          <w:szCs w:val="24"/>
        </w:rPr>
        <w:t xml:space="preserve"> or moving to completion (</w:t>
      </w:r>
      <w:r>
        <w:rPr>
          <w:sz w:val="24"/>
          <w:szCs w:val="24"/>
        </w:rPr>
        <w:t>8</w:t>
      </w:r>
      <w:r w:rsidRPr="00E47117">
        <w:rPr>
          <w:sz w:val="24"/>
          <w:szCs w:val="24"/>
        </w:rPr>
        <w:t xml:space="preserve">%).  </w:t>
      </w:r>
      <w:r>
        <w:rPr>
          <w:sz w:val="24"/>
          <w:szCs w:val="24"/>
        </w:rPr>
        <w:t>Further b</w:t>
      </w:r>
      <w:r w:rsidRPr="00E47117">
        <w:rPr>
          <w:sz w:val="24"/>
          <w:szCs w:val="24"/>
        </w:rPr>
        <w:t>elow, thermometers demonstrate the level of completion for the different activities and outputs as defined in the logic model</w:t>
      </w:r>
      <w:r>
        <w:rPr>
          <w:sz w:val="24"/>
          <w:szCs w:val="24"/>
        </w:rPr>
        <w:t xml:space="preserve"> for ITAA states</w:t>
      </w:r>
      <w:r w:rsidRPr="00E47117">
        <w:rPr>
          <w:sz w:val="24"/>
          <w:szCs w:val="24"/>
        </w:rPr>
        <w:t>.  A handful of idiosyncratic activities in the ITAAs not listed in logic models are captured together in their own thermometer</w:t>
      </w:r>
      <w:r>
        <w:rPr>
          <w:sz w:val="24"/>
          <w:szCs w:val="24"/>
        </w:rPr>
        <w:t xml:space="preserve"> (U)</w:t>
      </w:r>
      <w:r w:rsidRPr="00E47117">
        <w:rPr>
          <w:sz w:val="24"/>
          <w:szCs w:val="24"/>
        </w:rPr>
        <w:t>.</w:t>
      </w:r>
      <w:r>
        <w:rPr>
          <w:sz w:val="24"/>
          <w:szCs w:val="24"/>
        </w:rPr>
        <w:t xml:space="preserve"> </w:t>
      </w:r>
    </w:p>
    <w:p w14:paraId="7A296C0B" w14:textId="1E5AB6EC" w:rsidR="003067CF" w:rsidRDefault="003067CF" w:rsidP="003067CF">
      <w:pPr>
        <w:rPr>
          <w:sz w:val="24"/>
          <w:szCs w:val="24"/>
        </w:rPr>
      </w:pPr>
      <w:r>
        <w:rPr>
          <w:sz w:val="24"/>
          <w:szCs w:val="24"/>
        </w:rPr>
        <w:t xml:space="preserve">Immediately below are two pie charts representing data collected by the TA Team regarding both their Intensive </w:t>
      </w:r>
      <w:r w:rsidRPr="00D76CA0">
        <w:rPr>
          <w:i/>
          <w:iCs/>
          <w:sz w:val="24"/>
          <w:szCs w:val="24"/>
        </w:rPr>
        <w:t>and</w:t>
      </w:r>
      <w:r>
        <w:rPr>
          <w:sz w:val="24"/>
          <w:szCs w:val="24"/>
        </w:rPr>
        <w:t xml:space="preserve"> their Targeted </w:t>
      </w:r>
      <w:r w:rsidRPr="00D76CA0">
        <w:rPr>
          <w:sz w:val="24"/>
          <w:szCs w:val="24"/>
        </w:rPr>
        <w:t>TA</w:t>
      </w:r>
      <w:r>
        <w:rPr>
          <w:sz w:val="24"/>
          <w:szCs w:val="24"/>
        </w:rPr>
        <w:t xml:space="preserve"> activities cumulatively to date.  “Activities” include taking TA calls, answering questions from SVRAs, and conducting site visits.  “Outputs” include reviewing and providing feedback and/or supporting drafts of new forms, policies, SEAs, and contracts.  Activities for Targeted TA represent 16% of the total reported activities, whereas Outputs for Targeted TA represents only 5% of the total reported outputs.  This is to be expected as the ITAAs establish clearly that outputs will result from activities, setting mutual expectations for their accomplishment.  It is instructive too; </w:t>
      </w:r>
      <w:r w:rsidRPr="00C90675">
        <w:rPr>
          <w:b/>
          <w:bCs/>
          <w:sz w:val="24"/>
          <w:szCs w:val="24"/>
        </w:rPr>
        <w:t>should SVRAs or RSA require outputs, they are better achieved under the auspices of an intensive TA agreement</w:t>
      </w:r>
      <w:r>
        <w:rPr>
          <w:sz w:val="24"/>
          <w:szCs w:val="24"/>
        </w:rPr>
        <w:t xml:space="preserve"> and less likely to be completed if SVRAs must use Targeted TA to independently complete them.</w:t>
      </w:r>
    </w:p>
    <w:p w14:paraId="19283AC0" w14:textId="4089DBB8" w:rsidR="00B65A2D" w:rsidRDefault="00354788" w:rsidP="00354788">
      <w:pPr>
        <w:ind w:firstLine="0"/>
        <w:jc w:val="center"/>
        <w:rPr>
          <w:sz w:val="36"/>
        </w:rPr>
      </w:pPr>
      <w:r>
        <w:rPr>
          <w:noProof/>
          <w:lang w:eastAsia="ko-KR"/>
        </w:rPr>
        <w:drawing>
          <wp:inline distT="0" distB="0" distL="0" distR="0" wp14:anchorId="7459C500" wp14:editId="32E79087">
            <wp:extent cx="2019300" cy="1724025"/>
            <wp:effectExtent l="19050" t="19050" r="19050" b="28575"/>
            <wp:docPr id="1" name="Picture 1" descr="Pie-chart reflecting activities by Pre-ETS TA Team such as site visits, answering questions showing 1,402 such engagements for Intensive TA (84% of the total) and 276 such engagements for Targeted TA (16% of the 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7348" t="7179" r="6122"/>
                    <a:stretch/>
                  </pic:blipFill>
                  <pic:spPr bwMode="auto">
                    <a:xfrm>
                      <a:off x="0" y="0"/>
                      <a:ext cx="2019300" cy="17240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noProof/>
          <w:lang w:eastAsia="ko-KR"/>
        </w:rPr>
        <w:drawing>
          <wp:inline distT="0" distB="0" distL="0" distR="0" wp14:anchorId="30C6575A" wp14:editId="4411E1A6">
            <wp:extent cx="2257425" cy="1724025"/>
            <wp:effectExtent l="19050" t="19050" r="28575" b="28575"/>
            <wp:docPr id="87" name="Picture 87" descr="Pie-chart reflecting outputs by Pre-ETS TA Team such as review or development of forms, policies and procedures, agreements, and contracts showing 890 such outputs for Intensive TA (95% of the total) and 51 such engagements for Targeted TA (5% of the 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57425" cy="1724025"/>
                    </a:xfrm>
                    <a:prstGeom prst="rect">
                      <a:avLst/>
                    </a:prstGeom>
                    <a:ln>
                      <a:solidFill>
                        <a:schemeClr val="tx1"/>
                      </a:solidFill>
                    </a:ln>
                  </pic:spPr>
                </pic:pic>
              </a:graphicData>
            </a:graphic>
          </wp:inline>
        </w:drawing>
      </w:r>
    </w:p>
    <w:bookmarkEnd w:id="45"/>
    <w:p w14:paraId="2D24A91B" w14:textId="77777777" w:rsidR="003067CF" w:rsidRPr="00654A28" w:rsidRDefault="003067CF" w:rsidP="00B65A2D">
      <w:pPr>
        <w:ind w:firstLine="0"/>
        <w:rPr>
          <w:szCs w:val="14"/>
        </w:rPr>
        <w:sectPr w:rsidR="003067CF" w:rsidRPr="00654A28" w:rsidSect="00FA0379">
          <w:headerReference w:type="even" r:id="rId20"/>
          <w:headerReference w:type="default" r:id="rId21"/>
          <w:footerReference w:type="even" r:id="rId22"/>
          <w:footerReference w:type="default" r:id="rId23"/>
          <w:headerReference w:type="first" r:id="rId24"/>
          <w:footerReference w:type="first" r:id="rId25"/>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docGrid w:linePitch="360"/>
        </w:sectPr>
      </w:pPr>
    </w:p>
    <w:p w14:paraId="727842C7" w14:textId="77777777" w:rsidR="003067CF" w:rsidRDefault="003067CF" w:rsidP="00B67107">
      <w:pPr>
        <w:tabs>
          <w:tab w:val="left" w:pos="360"/>
        </w:tabs>
        <w:ind w:firstLine="0"/>
        <w:jc w:val="center"/>
        <w:rPr>
          <w:b/>
          <w:bCs/>
          <w:szCs w:val="14"/>
        </w:rPr>
      </w:pPr>
      <w:r w:rsidRPr="003A10D6">
        <w:rPr>
          <w:sz w:val="36"/>
          <w:szCs w:val="36"/>
        </w:rPr>
        <w:lastRenderedPageBreak/>
        <w:t>Activity</w:t>
      </w:r>
      <w:r>
        <w:rPr>
          <w:sz w:val="36"/>
          <w:szCs w:val="36"/>
        </w:rPr>
        <w:t xml:space="preserve"> 1</w:t>
      </w:r>
    </w:p>
    <w:p w14:paraId="0AA6C18F" w14:textId="77777777" w:rsidR="003067CF" w:rsidRDefault="003067CF" w:rsidP="003067CF">
      <w:pPr>
        <w:tabs>
          <w:tab w:val="left" w:pos="360"/>
        </w:tabs>
        <w:jc w:val="center"/>
        <w:rPr>
          <w:b/>
          <w:bCs/>
          <w:szCs w:val="14"/>
        </w:rPr>
      </w:pPr>
      <w:r>
        <w:rPr>
          <w:noProof/>
          <w:lang w:eastAsia="ko-KR"/>
        </w:rPr>
        <w:drawing>
          <wp:inline distT="0" distB="0" distL="0" distR="0" wp14:anchorId="4CBF416C" wp14:editId="2C431501">
            <wp:extent cx="1545336" cy="4572000"/>
            <wp:effectExtent l="0" t="0" r="0" b="0"/>
            <wp:docPr id="41" name="Picture 41" descr="Activity &amp; Outputs Progres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545336" cy="4572000"/>
                    </a:xfrm>
                    <a:prstGeom prst="rect">
                      <a:avLst/>
                    </a:prstGeom>
                  </pic:spPr>
                </pic:pic>
              </a:graphicData>
            </a:graphic>
          </wp:inline>
        </w:drawing>
      </w:r>
      <w:r>
        <w:rPr>
          <w:sz w:val="36"/>
          <w:szCs w:val="36"/>
        </w:rPr>
        <w:br/>
      </w:r>
      <w:r>
        <w:rPr>
          <w:noProof/>
          <w:lang w:eastAsia="ko-KR"/>
        </w:rPr>
        <w:drawing>
          <wp:inline distT="0" distB="0" distL="0" distR="0" wp14:anchorId="3A521EF8" wp14:editId="0EF5243E">
            <wp:extent cx="2090057" cy="370114"/>
            <wp:effectExtent l="0" t="0" r="5715" b="0"/>
            <wp:docPr id="42" name="Picture 42" title="Activity and output bar">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3A5C48C4" w14:textId="77777777" w:rsidR="003067CF" w:rsidRDefault="003067CF" w:rsidP="003067CF">
      <w:pPr>
        <w:tabs>
          <w:tab w:val="left" w:pos="360"/>
        </w:tabs>
        <w:ind w:firstLine="0"/>
        <w:rPr>
          <w:szCs w:val="14"/>
        </w:rPr>
      </w:pPr>
      <w:r w:rsidRPr="00912EC0">
        <w:rPr>
          <w:b/>
          <w:bCs/>
          <w:szCs w:val="14"/>
        </w:rPr>
        <w:t>Activity 1</w:t>
      </w:r>
      <w:r>
        <w:rPr>
          <w:szCs w:val="14"/>
        </w:rPr>
        <w:t>: Review existing documentation, policies, procedures, and internal controls for Pre-ETS, including the tracking and reporting of Pre-ETS.</w:t>
      </w:r>
    </w:p>
    <w:p w14:paraId="01605B6D" w14:textId="77777777" w:rsidR="003067CF" w:rsidRDefault="003067CF" w:rsidP="003067CF">
      <w:pPr>
        <w:tabs>
          <w:tab w:val="left" w:pos="360"/>
        </w:tabs>
        <w:ind w:firstLine="0"/>
        <w:rPr>
          <w:szCs w:val="14"/>
        </w:rPr>
      </w:pPr>
      <w:r w:rsidRPr="00912EC0">
        <w:rPr>
          <w:b/>
          <w:bCs/>
          <w:szCs w:val="14"/>
        </w:rPr>
        <w:t>Output A</w:t>
      </w:r>
      <w:r>
        <w:rPr>
          <w:szCs w:val="14"/>
        </w:rPr>
        <w:t>: Documented feedback.</w:t>
      </w:r>
    </w:p>
    <w:p w14:paraId="68A01E5D" w14:textId="77777777" w:rsidR="003067CF" w:rsidRDefault="003067CF" w:rsidP="003067CF">
      <w:pPr>
        <w:tabs>
          <w:tab w:val="left" w:pos="360"/>
        </w:tabs>
        <w:ind w:firstLine="0"/>
        <w:jc w:val="center"/>
        <w:rPr>
          <w:szCs w:val="14"/>
        </w:rPr>
      </w:pPr>
      <w:r w:rsidRPr="003A10D6">
        <w:rPr>
          <w:sz w:val="36"/>
          <w:szCs w:val="36"/>
        </w:rPr>
        <w:t>Activity 2</w:t>
      </w:r>
      <w:r>
        <w:rPr>
          <w:szCs w:val="14"/>
        </w:rPr>
        <w:br/>
      </w:r>
      <w:r>
        <w:rPr>
          <w:noProof/>
          <w:lang w:eastAsia="ko-KR"/>
        </w:rPr>
        <w:drawing>
          <wp:inline distT="0" distB="0" distL="0" distR="0" wp14:anchorId="33CF5A1F" wp14:editId="3C15F66F">
            <wp:extent cx="1618488" cy="4572000"/>
            <wp:effectExtent l="0" t="0" r="1270" b="0"/>
            <wp:docPr id="38" name="Picture 38" descr="Activity &amp; Outputs Progres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272" t="2777" r="5118"/>
                    <a:stretch/>
                  </pic:blipFill>
                  <pic:spPr bwMode="auto">
                    <a:xfrm>
                      <a:off x="0" y="0"/>
                      <a:ext cx="1618488" cy="4572000"/>
                    </a:xfrm>
                    <a:prstGeom prst="rect">
                      <a:avLst/>
                    </a:prstGeom>
                    <a:ln>
                      <a:noFill/>
                    </a:ln>
                    <a:extLst>
                      <a:ext uri="{53640926-AAD7-44D8-BBD7-CCE9431645EC}">
                        <a14:shadowObscured xmlns:a14="http://schemas.microsoft.com/office/drawing/2010/main"/>
                      </a:ext>
                    </a:extLst>
                  </pic:spPr>
                </pic:pic>
              </a:graphicData>
            </a:graphic>
          </wp:inline>
        </w:drawing>
      </w:r>
      <w:r>
        <w:rPr>
          <w:sz w:val="36"/>
          <w:szCs w:val="36"/>
        </w:rPr>
        <w:br/>
      </w:r>
      <w:r>
        <w:rPr>
          <w:noProof/>
          <w:lang w:eastAsia="ko-KR"/>
        </w:rPr>
        <w:drawing>
          <wp:inline distT="0" distB="0" distL="0" distR="0" wp14:anchorId="6F6C27CF" wp14:editId="5D40AD7B">
            <wp:extent cx="2090057" cy="370114"/>
            <wp:effectExtent l="0" t="0" r="5715" b="0"/>
            <wp:docPr id="40" name="Picture 40" title="Activity and output bar">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61B9D7B6" w14:textId="77777777" w:rsidR="003067CF" w:rsidRDefault="003067CF" w:rsidP="003067CF">
      <w:pPr>
        <w:tabs>
          <w:tab w:val="left" w:pos="360"/>
        </w:tabs>
        <w:ind w:firstLine="0"/>
        <w:rPr>
          <w:szCs w:val="14"/>
        </w:rPr>
      </w:pPr>
      <w:r w:rsidRPr="00912EC0">
        <w:rPr>
          <w:b/>
          <w:bCs/>
          <w:szCs w:val="14"/>
        </w:rPr>
        <w:t>Activity 2</w:t>
      </w:r>
      <w:r>
        <w:rPr>
          <w:szCs w:val="14"/>
        </w:rPr>
        <w:t>: Assist in the development of new or revised policies and procedures and internal controls for Pre-ETS including the expenditures, tracking and reporting of Pre-ETS.</w:t>
      </w:r>
    </w:p>
    <w:p w14:paraId="31954513" w14:textId="77777777" w:rsidR="003067CF" w:rsidRDefault="003067CF" w:rsidP="003067CF">
      <w:pPr>
        <w:tabs>
          <w:tab w:val="left" w:pos="360"/>
        </w:tabs>
        <w:ind w:firstLine="0"/>
        <w:rPr>
          <w:szCs w:val="14"/>
        </w:rPr>
      </w:pPr>
      <w:r w:rsidRPr="00912EC0">
        <w:rPr>
          <w:b/>
          <w:bCs/>
          <w:szCs w:val="14"/>
        </w:rPr>
        <w:t>Output B</w:t>
      </w:r>
      <w:r>
        <w:rPr>
          <w:szCs w:val="14"/>
        </w:rPr>
        <w:t>: Draft of new/revised policies, procedures, internal controls for Pre-ETS.</w:t>
      </w:r>
    </w:p>
    <w:p w14:paraId="4687A937" w14:textId="77777777" w:rsidR="003067CF" w:rsidRDefault="003067CF" w:rsidP="003067CF">
      <w:pPr>
        <w:tabs>
          <w:tab w:val="left" w:pos="360"/>
        </w:tabs>
        <w:rPr>
          <w:szCs w:val="14"/>
        </w:rPr>
      </w:pPr>
    </w:p>
    <w:p w14:paraId="5D738F7A" w14:textId="77777777" w:rsidR="003067CF" w:rsidRDefault="003067CF" w:rsidP="003067CF">
      <w:pPr>
        <w:tabs>
          <w:tab w:val="left" w:pos="360"/>
        </w:tabs>
        <w:ind w:firstLine="0"/>
        <w:jc w:val="center"/>
        <w:rPr>
          <w:szCs w:val="14"/>
        </w:rPr>
      </w:pPr>
      <w:r w:rsidRPr="003A10D6">
        <w:rPr>
          <w:sz w:val="36"/>
          <w:szCs w:val="36"/>
        </w:rPr>
        <w:lastRenderedPageBreak/>
        <w:t xml:space="preserve">Activity </w:t>
      </w:r>
      <w:r>
        <w:rPr>
          <w:sz w:val="36"/>
          <w:szCs w:val="36"/>
        </w:rPr>
        <w:t>3</w:t>
      </w:r>
      <w:r>
        <w:rPr>
          <w:szCs w:val="14"/>
        </w:rPr>
        <w:br/>
      </w:r>
      <w:r>
        <w:rPr>
          <w:noProof/>
          <w:lang w:eastAsia="ko-KR"/>
        </w:rPr>
        <w:drawing>
          <wp:inline distT="0" distB="0" distL="0" distR="0" wp14:anchorId="6E770938" wp14:editId="37843211">
            <wp:extent cx="1453896" cy="4572000"/>
            <wp:effectExtent l="0" t="0" r="0" b="0"/>
            <wp:docPr id="45" name="Picture 45" descr="Activity &amp; Outputs Progres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453896" cy="4572000"/>
                    </a:xfrm>
                    <a:prstGeom prst="rect">
                      <a:avLst/>
                    </a:prstGeom>
                  </pic:spPr>
                </pic:pic>
              </a:graphicData>
            </a:graphic>
          </wp:inline>
        </w:drawing>
      </w:r>
      <w:r>
        <w:rPr>
          <w:sz w:val="36"/>
          <w:szCs w:val="36"/>
        </w:rPr>
        <w:br/>
      </w:r>
      <w:r>
        <w:rPr>
          <w:noProof/>
          <w:lang w:eastAsia="ko-KR"/>
        </w:rPr>
        <w:drawing>
          <wp:inline distT="0" distB="0" distL="0" distR="0" wp14:anchorId="6DF7C9C9" wp14:editId="59E8C285">
            <wp:extent cx="2090057" cy="370114"/>
            <wp:effectExtent l="0" t="0" r="5715" b="0"/>
            <wp:docPr id="44" name="Picture 44" title="Activity and output bar">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355415C2" w14:textId="77777777" w:rsidR="003067CF" w:rsidRDefault="003067CF" w:rsidP="003067CF">
      <w:pPr>
        <w:ind w:firstLine="0"/>
        <w:rPr>
          <w:szCs w:val="14"/>
        </w:rPr>
      </w:pPr>
      <w:r w:rsidRPr="00C0518E">
        <w:rPr>
          <w:b/>
          <w:bCs/>
          <w:szCs w:val="14"/>
        </w:rPr>
        <w:t>Activity 3</w:t>
      </w:r>
      <w:r>
        <w:rPr>
          <w:szCs w:val="14"/>
        </w:rPr>
        <w:t>: Review existing expenditures allocated to the reserved funds and determine if they are allowable costs.</w:t>
      </w:r>
    </w:p>
    <w:p w14:paraId="75D39687" w14:textId="77777777" w:rsidR="003067CF" w:rsidRDefault="003067CF" w:rsidP="003067CF">
      <w:pPr>
        <w:ind w:firstLine="0"/>
        <w:rPr>
          <w:szCs w:val="14"/>
        </w:rPr>
      </w:pPr>
      <w:r w:rsidRPr="00C0518E">
        <w:rPr>
          <w:b/>
          <w:bCs/>
          <w:szCs w:val="14"/>
        </w:rPr>
        <w:t>Output C</w:t>
      </w:r>
      <w:r>
        <w:rPr>
          <w:szCs w:val="14"/>
        </w:rPr>
        <w:t>: Documented feedback on allowable expenditures.</w:t>
      </w:r>
    </w:p>
    <w:p w14:paraId="5142BE31" w14:textId="5CAAB319" w:rsidR="003067CF" w:rsidRDefault="003067CF" w:rsidP="003067CF">
      <w:pPr>
        <w:tabs>
          <w:tab w:val="left" w:pos="360"/>
        </w:tabs>
        <w:ind w:firstLine="0"/>
        <w:jc w:val="center"/>
        <w:rPr>
          <w:szCs w:val="14"/>
        </w:rPr>
      </w:pPr>
      <w:r w:rsidRPr="003A10D6">
        <w:rPr>
          <w:sz w:val="36"/>
          <w:szCs w:val="36"/>
        </w:rPr>
        <w:t xml:space="preserve">Activity </w:t>
      </w:r>
      <w:r>
        <w:rPr>
          <w:sz w:val="36"/>
          <w:szCs w:val="36"/>
        </w:rPr>
        <w:t>4</w:t>
      </w:r>
      <w:r>
        <w:rPr>
          <w:szCs w:val="14"/>
        </w:rPr>
        <w:br/>
      </w:r>
      <w:r>
        <w:rPr>
          <w:noProof/>
          <w:lang w:eastAsia="ko-KR"/>
        </w:rPr>
        <w:drawing>
          <wp:inline distT="0" distB="0" distL="0" distR="0" wp14:anchorId="1CAAA349" wp14:editId="0E567B62">
            <wp:extent cx="1554480" cy="4572000"/>
            <wp:effectExtent l="0" t="0" r="7620" b="0"/>
            <wp:docPr id="48" name="Picture 48" descr="Activity &amp; Outputs Progres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554480" cy="4572000"/>
                    </a:xfrm>
                    <a:prstGeom prst="rect">
                      <a:avLst/>
                    </a:prstGeom>
                  </pic:spPr>
                </pic:pic>
              </a:graphicData>
            </a:graphic>
          </wp:inline>
        </w:drawing>
      </w:r>
      <w:r>
        <w:rPr>
          <w:sz w:val="36"/>
          <w:szCs w:val="36"/>
        </w:rPr>
        <w:br/>
      </w:r>
      <w:r w:rsidR="0048500F" w:rsidRPr="0048500F">
        <w:rPr>
          <w:noProof/>
        </w:rPr>
        <w:t>Activity and output bar</w:t>
      </w:r>
      <w:r>
        <w:rPr>
          <w:noProof/>
          <w:lang w:eastAsia="ko-KR"/>
        </w:rPr>
        <w:drawing>
          <wp:inline distT="0" distB="0" distL="0" distR="0" wp14:anchorId="0DE1DF19" wp14:editId="7D6A5646">
            <wp:extent cx="2090057" cy="370114"/>
            <wp:effectExtent l="0" t="0" r="5715" b="0"/>
            <wp:docPr id="47" name="Picture 47" title="Activity and output bar">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08872F1A" w14:textId="77777777" w:rsidR="003067CF" w:rsidRDefault="003067CF" w:rsidP="003067CF">
      <w:pPr>
        <w:ind w:firstLine="0"/>
        <w:rPr>
          <w:szCs w:val="14"/>
        </w:rPr>
      </w:pPr>
      <w:r w:rsidRPr="002540B0">
        <w:rPr>
          <w:b/>
          <w:bCs/>
          <w:szCs w:val="14"/>
        </w:rPr>
        <w:t>Activity 4</w:t>
      </w:r>
      <w:r>
        <w:rPr>
          <w:szCs w:val="14"/>
        </w:rPr>
        <w:t>: Assist the agency in the development of processes and internal controls for accurate financial reporting of Pre-ETS.</w:t>
      </w:r>
    </w:p>
    <w:p w14:paraId="4526AEFE" w14:textId="77777777" w:rsidR="003067CF" w:rsidRDefault="003067CF" w:rsidP="003067CF">
      <w:pPr>
        <w:ind w:firstLine="0"/>
        <w:rPr>
          <w:szCs w:val="14"/>
        </w:rPr>
      </w:pPr>
      <w:r w:rsidRPr="002540B0">
        <w:rPr>
          <w:b/>
          <w:bCs/>
          <w:szCs w:val="14"/>
        </w:rPr>
        <w:t>Output D</w:t>
      </w:r>
      <w:r>
        <w:rPr>
          <w:szCs w:val="14"/>
        </w:rPr>
        <w:t>: Draft of written processes and internal controls provided to the agency.</w:t>
      </w:r>
    </w:p>
    <w:p w14:paraId="7814291A" w14:textId="77777777" w:rsidR="003067CF" w:rsidRDefault="003067CF" w:rsidP="003067CF">
      <w:pPr>
        <w:tabs>
          <w:tab w:val="left" w:pos="360"/>
        </w:tabs>
        <w:ind w:firstLine="0"/>
        <w:jc w:val="center"/>
        <w:rPr>
          <w:szCs w:val="14"/>
        </w:rPr>
      </w:pPr>
      <w:r w:rsidRPr="003A10D6">
        <w:rPr>
          <w:sz w:val="36"/>
          <w:szCs w:val="36"/>
        </w:rPr>
        <w:lastRenderedPageBreak/>
        <w:t xml:space="preserve">Activity </w:t>
      </w:r>
      <w:r>
        <w:rPr>
          <w:sz w:val="36"/>
          <w:szCs w:val="36"/>
        </w:rPr>
        <w:t>5</w:t>
      </w:r>
      <w:r>
        <w:rPr>
          <w:szCs w:val="14"/>
        </w:rPr>
        <w:br/>
      </w:r>
      <w:r>
        <w:rPr>
          <w:noProof/>
          <w:lang w:eastAsia="ko-KR"/>
        </w:rPr>
        <w:drawing>
          <wp:inline distT="0" distB="0" distL="0" distR="0" wp14:anchorId="69CC2313" wp14:editId="33B4352B">
            <wp:extent cx="1426464" cy="4572000"/>
            <wp:effectExtent l="0" t="0" r="2540" b="0"/>
            <wp:docPr id="65" name="Picture 65" descr="Activity &amp; Outputs Progres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426464" cy="4572000"/>
                    </a:xfrm>
                    <a:prstGeom prst="rect">
                      <a:avLst/>
                    </a:prstGeom>
                  </pic:spPr>
                </pic:pic>
              </a:graphicData>
            </a:graphic>
          </wp:inline>
        </w:drawing>
      </w:r>
      <w:r>
        <w:rPr>
          <w:sz w:val="36"/>
          <w:szCs w:val="36"/>
        </w:rPr>
        <w:br/>
      </w:r>
      <w:r>
        <w:rPr>
          <w:noProof/>
          <w:lang w:eastAsia="ko-KR"/>
        </w:rPr>
        <w:drawing>
          <wp:inline distT="0" distB="0" distL="0" distR="0" wp14:anchorId="2E524B8B" wp14:editId="6DB7B4E1">
            <wp:extent cx="2090057" cy="370114"/>
            <wp:effectExtent l="0" t="0" r="5715" b="0"/>
            <wp:docPr id="50" name="Picture 50" title="Activity and output bar">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3879BAB0" w14:textId="77777777" w:rsidR="003067CF" w:rsidRDefault="003067CF" w:rsidP="003067CF">
      <w:pPr>
        <w:ind w:firstLine="0"/>
        <w:rPr>
          <w:szCs w:val="14"/>
        </w:rPr>
      </w:pPr>
      <w:r w:rsidRPr="0064697E">
        <w:rPr>
          <w:b/>
          <w:bCs/>
          <w:szCs w:val="14"/>
        </w:rPr>
        <w:t>Activity 5</w:t>
      </w:r>
      <w:r>
        <w:rPr>
          <w:szCs w:val="14"/>
        </w:rPr>
        <w:t>: Review current interagency agreement between VR and SEA that encompasses the required elements in WIOA.</w:t>
      </w:r>
    </w:p>
    <w:p w14:paraId="30FBCFAD" w14:textId="77777777" w:rsidR="003067CF" w:rsidRDefault="003067CF" w:rsidP="003067CF">
      <w:pPr>
        <w:ind w:firstLine="0"/>
        <w:rPr>
          <w:szCs w:val="14"/>
        </w:rPr>
      </w:pPr>
      <w:r w:rsidRPr="0064697E">
        <w:rPr>
          <w:b/>
          <w:bCs/>
          <w:szCs w:val="14"/>
        </w:rPr>
        <w:t>Outupt E</w:t>
      </w:r>
      <w:r>
        <w:rPr>
          <w:szCs w:val="14"/>
        </w:rPr>
        <w:t>: Documented feedback on interagency agreement.</w:t>
      </w:r>
    </w:p>
    <w:p w14:paraId="475ADC3D" w14:textId="00CC5FAB" w:rsidR="003067CF" w:rsidRDefault="003067CF" w:rsidP="003067CF">
      <w:pPr>
        <w:tabs>
          <w:tab w:val="left" w:pos="360"/>
        </w:tabs>
        <w:ind w:firstLine="0"/>
        <w:jc w:val="center"/>
        <w:rPr>
          <w:szCs w:val="14"/>
        </w:rPr>
      </w:pPr>
      <w:r w:rsidRPr="003A10D6">
        <w:rPr>
          <w:sz w:val="36"/>
          <w:szCs w:val="36"/>
        </w:rPr>
        <w:t xml:space="preserve">Activity </w:t>
      </w:r>
      <w:r>
        <w:rPr>
          <w:sz w:val="36"/>
          <w:szCs w:val="36"/>
        </w:rPr>
        <w:t>6</w:t>
      </w:r>
      <w:r>
        <w:rPr>
          <w:szCs w:val="14"/>
        </w:rPr>
        <w:br/>
      </w:r>
      <w:r>
        <w:rPr>
          <w:noProof/>
          <w:lang w:eastAsia="ko-KR"/>
        </w:rPr>
        <w:drawing>
          <wp:inline distT="0" distB="0" distL="0" distR="0" wp14:anchorId="0790D72C" wp14:editId="01BD2E06">
            <wp:extent cx="1399032" cy="4572000"/>
            <wp:effectExtent l="0" t="0" r="0" b="0"/>
            <wp:docPr id="66" name="Picture 66" descr="Activity &amp; Outputs Progres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399032" cy="4572000"/>
                    </a:xfrm>
                    <a:prstGeom prst="rect">
                      <a:avLst/>
                    </a:prstGeom>
                  </pic:spPr>
                </pic:pic>
              </a:graphicData>
            </a:graphic>
          </wp:inline>
        </w:drawing>
      </w:r>
      <w:r>
        <w:rPr>
          <w:sz w:val="36"/>
          <w:szCs w:val="36"/>
        </w:rPr>
        <w:br/>
      </w:r>
      <w:r w:rsidR="0048500F" w:rsidRPr="0048500F">
        <w:rPr>
          <w:noProof/>
        </w:rPr>
        <w:t>Activity and output bar</w:t>
      </w:r>
      <w:r>
        <w:rPr>
          <w:noProof/>
          <w:lang w:eastAsia="ko-KR"/>
        </w:rPr>
        <w:drawing>
          <wp:inline distT="0" distB="0" distL="0" distR="0" wp14:anchorId="182F1D9A" wp14:editId="0D6336FA">
            <wp:extent cx="2090057" cy="370114"/>
            <wp:effectExtent l="0" t="0" r="5715" b="0"/>
            <wp:docPr id="52" name="Picture 52" title="Activity and output bar">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03BFF970" w14:textId="77777777" w:rsidR="003067CF" w:rsidRDefault="003067CF" w:rsidP="003067CF">
      <w:pPr>
        <w:ind w:firstLine="0"/>
        <w:rPr>
          <w:szCs w:val="14"/>
        </w:rPr>
      </w:pPr>
      <w:r w:rsidRPr="0064697E">
        <w:rPr>
          <w:b/>
          <w:bCs/>
          <w:szCs w:val="14"/>
        </w:rPr>
        <w:t>Activity 6</w:t>
      </w:r>
      <w:r>
        <w:rPr>
          <w:szCs w:val="14"/>
        </w:rPr>
        <w:t>: Assist in the development of an updated interagency agreement between VR and SEA that encompasses the required elements in WIOA to use as a model for LEA agreements.</w:t>
      </w:r>
    </w:p>
    <w:p w14:paraId="76D0F907" w14:textId="77777777" w:rsidR="003067CF" w:rsidRDefault="003067CF" w:rsidP="003067CF">
      <w:pPr>
        <w:ind w:firstLine="0"/>
        <w:rPr>
          <w:szCs w:val="14"/>
        </w:rPr>
      </w:pPr>
      <w:r w:rsidRPr="0064697E">
        <w:rPr>
          <w:b/>
          <w:bCs/>
          <w:szCs w:val="14"/>
        </w:rPr>
        <w:t>Ouptut F</w:t>
      </w:r>
      <w:r>
        <w:rPr>
          <w:szCs w:val="14"/>
        </w:rPr>
        <w:t>: Draft updated agreement with recommendations.</w:t>
      </w:r>
    </w:p>
    <w:p w14:paraId="49EE7C5A" w14:textId="77777777" w:rsidR="003067CF" w:rsidRDefault="003067CF" w:rsidP="003067CF">
      <w:pPr>
        <w:tabs>
          <w:tab w:val="left" w:pos="360"/>
        </w:tabs>
        <w:ind w:firstLine="0"/>
        <w:jc w:val="center"/>
        <w:rPr>
          <w:szCs w:val="14"/>
        </w:rPr>
      </w:pPr>
      <w:r w:rsidRPr="003A10D6">
        <w:rPr>
          <w:sz w:val="36"/>
          <w:szCs w:val="36"/>
        </w:rPr>
        <w:lastRenderedPageBreak/>
        <w:t xml:space="preserve">Activity </w:t>
      </w:r>
      <w:r>
        <w:rPr>
          <w:sz w:val="36"/>
          <w:szCs w:val="36"/>
        </w:rPr>
        <w:t>7</w:t>
      </w:r>
      <w:r>
        <w:rPr>
          <w:szCs w:val="14"/>
        </w:rPr>
        <w:br/>
      </w:r>
      <w:r>
        <w:rPr>
          <w:noProof/>
          <w:lang w:eastAsia="ko-KR"/>
        </w:rPr>
        <w:drawing>
          <wp:inline distT="0" distB="0" distL="0" distR="0" wp14:anchorId="2E917678" wp14:editId="783E6DFA">
            <wp:extent cx="1545336" cy="4572000"/>
            <wp:effectExtent l="0" t="0" r="0" b="0"/>
            <wp:docPr id="67" name="Picture 67" descr="Activity &amp; Outputs Progres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545336" cy="4572000"/>
                    </a:xfrm>
                    <a:prstGeom prst="rect">
                      <a:avLst/>
                    </a:prstGeom>
                  </pic:spPr>
                </pic:pic>
              </a:graphicData>
            </a:graphic>
          </wp:inline>
        </w:drawing>
      </w:r>
      <w:r>
        <w:rPr>
          <w:sz w:val="36"/>
          <w:szCs w:val="36"/>
        </w:rPr>
        <w:br/>
      </w:r>
      <w:r>
        <w:rPr>
          <w:noProof/>
          <w:lang w:eastAsia="ko-KR"/>
        </w:rPr>
        <w:drawing>
          <wp:inline distT="0" distB="0" distL="0" distR="0" wp14:anchorId="0500B4FF" wp14:editId="59374E72">
            <wp:extent cx="2090057" cy="370114"/>
            <wp:effectExtent l="0" t="0" r="5715" b="0"/>
            <wp:docPr id="54" name="Picture 54" title="Activity and output bar">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5D255772" w14:textId="77777777" w:rsidR="003067CF" w:rsidRDefault="003067CF" w:rsidP="003067CF">
      <w:pPr>
        <w:ind w:firstLine="0"/>
      </w:pPr>
      <w:r w:rsidRPr="007B3F81">
        <w:rPr>
          <w:b/>
          <w:bCs/>
          <w:szCs w:val="14"/>
        </w:rPr>
        <w:t>Activity 7</w:t>
      </w:r>
      <w:r>
        <w:rPr>
          <w:szCs w:val="14"/>
        </w:rPr>
        <w:t xml:space="preserve">: Assist agency in demonstrating that they have met </w:t>
      </w:r>
      <w:r w:rsidRPr="00206792">
        <w:t>the requirement for the provision of pre-employment transition services required and coordination activities before assigning authorized services to reserved funds</w:t>
      </w:r>
      <w:r>
        <w:t>.</w:t>
      </w:r>
    </w:p>
    <w:p w14:paraId="7C988694" w14:textId="77777777" w:rsidR="003067CF" w:rsidRDefault="003067CF" w:rsidP="003067CF">
      <w:pPr>
        <w:ind w:firstLine="0"/>
        <w:rPr>
          <w:szCs w:val="14"/>
        </w:rPr>
      </w:pPr>
      <w:r w:rsidRPr="007B3F81">
        <w:rPr>
          <w:b/>
          <w:bCs/>
        </w:rPr>
        <w:t>Output G</w:t>
      </w:r>
      <w:r>
        <w:t>: Completion of RSA approved model of movement from required to authorized activities.</w:t>
      </w:r>
    </w:p>
    <w:p w14:paraId="026FD7A0" w14:textId="77777777" w:rsidR="003067CF" w:rsidRDefault="003067CF" w:rsidP="003067CF">
      <w:pPr>
        <w:tabs>
          <w:tab w:val="left" w:pos="360"/>
        </w:tabs>
        <w:ind w:firstLine="0"/>
        <w:jc w:val="center"/>
        <w:rPr>
          <w:szCs w:val="14"/>
        </w:rPr>
      </w:pPr>
      <w:r w:rsidRPr="003A10D6">
        <w:rPr>
          <w:sz w:val="36"/>
          <w:szCs w:val="36"/>
        </w:rPr>
        <w:t xml:space="preserve">Activity </w:t>
      </w:r>
      <w:r>
        <w:rPr>
          <w:sz w:val="36"/>
          <w:szCs w:val="36"/>
        </w:rPr>
        <w:t>8</w:t>
      </w:r>
      <w:r>
        <w:rPr>
          <w:szCs w:val="14"/>
        </w:rPr>
        <w:br/>
      </w:r>
      <w:r>
        <w:rPr>
          <w:noProof/>
          <w:lang w:eastAsia="ko-KR"/>
        </w:rPr>
        <w:drawing>
          <wp:inline distT="0" distB="0" distL="0" distR="0" wp14:anchorId="47537C03" wp14:editId="1636126B">
            <wp:extent cx="1481328" cy="4572000"/>
            <wp:effectExtent l="0" t="0" r="5080" b="0"/>
            <wp:docPr id="68" name="Picture 68" descr="Activity &amp; Outputs Progres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481328" cy="4572000"/>
                    </a:xfrm>
                    <a:prstGeom prst="rect">
                      <a:avLst/>
                    </a:prstGeom>
                  </pic:spPr>
                </pic:pic>
              </a:graphicData>
            </a:graphic>
          </wp:inline>
        </w:drawing>
      </w:r>
      <w:r>
        <w:rPr>
          <w:sz w:val="36"/>
          <w:szCs w:val="36"/>
        </w:rPr>
        <w:br/>
      </w:r>
      <w:r>
        <w:rPr>
          <w:noProof/>
          <w:lang w:eastAsia="ko-KR"/>
        </w:rPr>
        <w:drawing>
          <wp:inline distT="0" distB="0" distL="0" distR="0" wp14:anchorId="0FE10E93" wp14:editId="79C40C64">
            <wp:extent cx="2090057" cy="370114"/>
            <wp:effectExtent l="0" t="0" r="5715" b="0"/>
            <wp:docPr id="56" name="Picture 56" title="Activity and output bar">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17AFD258" w14:textId="77777777" w:rsidR="003067CF" w:rsidRDefault="003067CF" w:rsidP="003067CF">
      <w:pPr>
        <w:ind w:firstLine="0"/>
        <w:rPr>
          <w:szCs w:val="14"/>
        </w:rPr>
      </w:pPr>
      <w:r w:rsidRPr="007B3F81">
        <w:rPr>
          <w:b/>
          <w:bCs/>
          <w:szCs w:val="14"/>
        </w:rPr>
        <w:t>Activity 8</w:t>
      </w:r>
      <w:r>
        <w:rPr>
          <w:szCs w:val="14"/>
        </w:rPr>
        <w:t>: Provide training to VR staff regarding Pre-ETS and S. 113 of the Act as amended by WIOA.</w:t>
      </w:r>
    </w:p>
    <w:p w14:paraId="4F253CCE" w14:textId="77777777" w:rsidR="003067CF" w:rsidRDefault="003067CF" w:rsidP="003067CF">
      <w:pPr>
        <w:ind w:firstLine="0"/>
        <w:rPr>
          <w:szCs w:val="14"/>
        </w:rPr>
      </w:pPr>
      <w:r w:rsidRPr="007B3F81">
        <w:rPr>
          <w:b/>
          <w:bCs/>
          <w:szCs w:val="14"/>
        </w:rPr>
        <w:t>Output H</w:t>
      </w:r>
      <w:r>
        <w:rPr>
          <w:szCs w:val="14"/>
        </w:rPr>
        <w:t>: The number of individuals that complete the training(s).</w:t>
      </w:r>
    </w:p>
    <w:p w14:paraId="629A9C93" w14:textId="77777777" w:rsidR="003067CF" w:rsidRDefault="003067CF" w:rsidP="003067CF">
      <w:pPr>
        <w:tabs>
          <w:tab w:val="left" w:pos="360"/>
        </w:tabs>
        <w:ind w:firstLine="0"/>
        <w:jc w:val="center"/>
        <w:rPr>
          <w:szCs w:val="14"/>
        </w:rPr>
      </w:pPr>
      <w:r w:rsidRPr="003A10D6">
        <w:rPr>
          <w:sz w:val="36"/>
          <w:szCs w:val="36"/>
        </w:rPr>
        <w:lastRenderedPageBreak/>
        <w:t xml:space="preserve">Activity </w:t>
      </w:r>
      <w:r>
        <w:rPr>
          <w:sz w:val="36"/>
          <w:szCs w:val="36"/>
        </w:rPr>
        <w:t>9</w:t>
      </w:r>
      <w:r>
        <w:rPr>
          <w:szCs w:val="14"/>
        </w:rPr>
        <w:br/>
      </w:r>
      <w:r>
        <w:rPr>
          <w:noProof/>
          <w:lang w:eastAsia="ko-KR"/>
        </w:rPr>
        <w:drawing>
          <wp:inline distT="0" distB="0" distL="0" distR="0" wp14:anchorId="319160F8" wp14:editId="1A30FF87">
            <wp:extent cx="1453896" cy="4572000"/>
            <wp:effectExtent l="0" t="0" r="0" b="0"/>
            <wp:docPr id="69" name="Picture 69" descr="Activity &amp; Outputs Progres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53896" cy="4572000"/>
                    </a:xfrm>
                    <a:prstGeom prst="rect">
                      <a:avLst/>
                    </a:prstGeom>
                  </pic:spPr>
                </pic:pic>
              </a:graphicData>
            </a:graphic>
          </wp:inline>
        </w:drawing>
      </w:r>
      <w:r>
        <w:rPr>
          <w:sz w:val="36"/>
          <w:szCs w:val="36"/>
        </w:rPr>
        <w:br/>
      </w:r>
      <w:r>
        <w:rPr>
          <w:noProof/>
          <w:lang w:eastAsia="ko-KR"/>
        </w:rPr>
        <w:drawing>
          <wp:inline distT="0" distB="0" distL="0" distR="0" wp14:anchorId="46034E51" wp14:editId="2B147235">
            <wp:extent cx="2090057" cy="370114"/>
            <wp:effectExtent l="0" t="0" r="5715" b="0"/>
            <wp:docPr id="58" name="Picture 58"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6075A943" w14:textId="77777777" w:rsidR="003067CF" w:rsidRDefault="003067CF" w:rsidP="003067CF">
      <w:pPr>
        <w:ind w:firstLine="0"/>
      </w:pPr>
      <w:r w:rsidRPr="007318BB">
        <w:rPr>
          <w:b/>
          <w:bCs/>
          <w:szCs w:val="14"/>
        </w:rPr>
        <w:t>Activity 9</w:t>
      </w:r>
      <w:r>
        <w:rPr>
          <w:szCs w:val="14"/>
        </w:rPr>
        <w:t xml:space="preserve">: </w:t>
      </w:r>
      <w:r w:rsidRPr="00206792">
        <w:t>Provide training to VR staff regarding Agency’s updated policies and procedures related to Pre-ETS</w:t>
      </w:r>
      <w:r>
        <w:t>.</w:t>
      </w:r>
    </w:p>
    <w:p w14:paraId="1CEB64D4" w14:textId="77777777" w:rsidR="003067CF" w:rsidRDefault="003067CF" w:rsidP="003067CF">
      <w:pPr>
        <w:ind w:firstLine="0"/>
        <w:rPr>
          <w:szCs w:val="14"/>
        </w:rPr>
      </w:pPr>
      <w:r w:rsidRPr="007318BB">
        <w:rPr>
          <w:b/>
          <w:bCs/>
        </w:rPr>
        <w:t>Output I</w:t>
      </w:r>
      <w:r>
        <w:t>: The number of individuals that complete the training(s).</w:t>
      </w:r>
    </w:p>
    <w:p w14:paraId="0D87EBAA" w14:textId="77777777" w:rsidR="003067CF" w:rsidRDefault="003067CF" w:rsidP="003067CF">
      <w:pPr>
        <w:tabs>
          <w:tab w:val="left" w:pos="360"/>
        </w:tabs>
        <w:ind w:firstLine="0"/>
        <w:jc w:val="center"/>
        <w:rPr>
          <w:szCs w:val="14"/>
        </w:rPr>
      </w:pPr>
      <w:r w:rsidRPr="003A10D6">
        <w:rPr>
          <w:sz w:val="36"/>
          <w:szCs w:val="36"/>
        </w:rPr>
        <w:t xml:space="preserve">Activity </w:t>
      </w:r>
      <w:r>
        <w:rPr>
          <w:sz w:val="36"/>
          <w:szCs w:val="36"/>
        </w:rPr>
        <w:t>10</w:t>
      </w:r>
      <w:r>
        <w:rPr>
          <w:szCs w:val="14"/>
        </w:rPr>
        <w:br/>
      </w:r>
      <w:r>
        <w:rPr>
          <w:noProof/>
          <w:lang w:eastAsia="ko-KR"/>
        </w:rPr>
        <w:drawing>
          <wp:inline distT="0" distB="0" distL="0" distR="0" wp14:anchorId="4587F69F" wp14:editId="2A8F73E0">
            <wp:extent cx="1463040" cy="4572000"/>
            <wp:effectExtent l="0" t="0" r="3810" b="0"/>
            <wp:docPr id="70" name="Picture 70" descr="Activity &amp; Outputs Progres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463040" cy="4572000"/>
                    </a:xfrm>
                    <a:prstGeom prst="rect">
                      <a:avLst/>
                    </a:prstGeom>
                  </pic:spPr>
                </pic:pic>
              </a:graphicData>
            </a:graphic>
          </wp:inline>
        </w:drawing>
      </w:r>
      <w:r>
        <w:rPr>
          <w:sz w:val="36"/>
          <w:szCs w:val="36"/>
        </w:rPr>
        <w:br/>
      </w:r>
      <w:r>
        <w:rPr>
          <w:noProof/>
          <w:lang w:eastAsia="ko-KR"/>
        </w:rPr>
        <w:drawing>
          <wp:inline distT="0" distB="0" distL="0" distR="0" wp14:anchorId="6DE16954" wp14:editId="7D74B915">
            <wp:extent cx="2090057" cy="370114"/>
            <wp:effectExtent l="0" t="0" r="5715" b="0"/>
            <wp:docPr id="60" name="Picture 60"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326899A6" w14:textId="77777777" w:rsidR="003067CF" w:rsidRDefault="003067CF" w:rsidP="003067CF">
      <w:pPr>
        <w:ind w:firstLine="0"/>
      </w:pPr>
      <w:r w:rsidRPr="007318BB">
        <w:rPr>
          <w:b/>
          <w:bCs/>
          <w:szCs w:val="14"/>
        </w:rPr>
        <w:t>Activity 10</w:t>
      </w:r>
      <w:r>
        <w:rPr>
          <w:szCs w:val="14"/>
        </w:rPr>
        <w:t xml:space="preserve">: </w:t>
      </w:r>
      <w:r w:rsidRPr="00206792">
        <w:t>Assist in the development of a strategy to explore and expand Pre-ETS service delivery including possible electronic/online options and modalities</w:t>
      </w:r>
      <w:r>
        <w:t>.</w:t>
      </w:r>
    </w:p>
    <w:p w14:paraId="2755BC69" w14:textId="77777777" w:rsidR="0048500F" w:rsidRDefault="003067CF" w:rsidP="003067CF">
      <w:pPr>
        <w:ind w:firstLine="0"/>
      </w:pPr>
      <w:r w:rsidRPr="007318BB">
        <w:rPr>
          <w:b/>
          <w:bCs/>
        </w:rPr>
        <w:t>Output J</w:t>
      </w:r>
      <w:r>
        <w:t>: Disseminate Explore-Work.com to agency.</w:t>
      </w:r>
    </w:p>
    <w:p w14:paraId="2131BBDD" w14:textId="77777777" w:rsidR="0048500F" w:rsidRDefault="0048500F">
      <w:pPr>
        <w:ind w:firstLine="0"/>
      </w:pPr>
      <w:r>
        <w:br w:type="page"/>
      </w:r>
    </w:p>
    <w:p w14:paraId="14FA09B8" w14:textId="77777777" w:rsidR="003067CF" w:rsidRDefault="003067CF" w:rsidP="003067CF">
      <w:pPr>
        <w:tabs>
          <w:tab w:val="left" w:pos="360"/>
        </w:tabs>
        <w:ind w:firstLine="90"/>
        <w:jc w:val="center"/>
        <w:rPr>
          <w:sz w:val="36"/>
          <w:szCs w:val="36"/>
        </w:rPr>
      </w:pPr>
      <w:r>
        <w:rPr>
          <w:sz w:val="36"/>
          <w:szCs w:val="36"/>
        </w:rPr>
        <w:lastRenderedPageBreak/>
        <w:t>Activity 10: Usage Metrics</w:t>
      </w:r>
    </w:p>
    <w:p w14:paraId="5753900A" w14:textId="53A8CBEB" w:rsidR="003067CF" w:rsidRDefault="00354788" w:rsidP="003067CF">
      <w:pPr>
        <w:tabs>
          <w:tab w:val="left" w:pos="360"/>
        </w:tabs>
        <w:ind w:firstLine="0"/>
        <w:jc w:val="center"/>
        <w:rPr>
          <w:sz w:val="36"/>
          <w:szCs w:val="36"/>
        </w:rPr>
      </w:pPr>
      <w:r>
        <w:rPr>
          <w:noProof/>
          <w:lang w:eastAsia="ko-KR"/>
        </w:rPr>
        <w:drawing>
          <wp:inline distT="114300" distB="114300" distL="114300" distR="114300" wp14:anchorId="0DA3EB43" wp14:editId="38A2646B">
            <wp:extent cx="2743200" cy="3209290"/>
            <wp:effectExtent l="19050" t="19050" r="19050" b="10160"/>
            <wp:docPr id="46" name="image2.png" descr="Activity 10: Usage Metrics reflecting traffic to Explore-Work.com showing a significant increase in traffic from Jan to March in 2019 versus 2020 and from Jan and Feb of 2020 to March of 2020, possibly in part due to the pandemic and the value of an online resource when SVRA services had to become virtual and remote."/>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2743200" cy="3209290"/>
                    </a:xfrm>
                    <a:prstGeom prst="rect">
                      <a:avLst/>
                    </a:prstGeom>
                    <a:ln>
                      <a:solidFill>
                        <a:schemeClr val="tx1"/>
                      </a:solidFill>
                    </a:ln>
                  </pic:spPr>
                </pic:pic>
              </a:graphicData>
            </a:graphic>
          </wp:inline>
        </w:drawing>
      </w:r>
    </w:p>
    <w:p w14:paraId="3BC9B250" w14:textId="77777777" w:rsidR="003067CF" w:rsidRPr="00491CE5" w:rsidRDefault="003067CF" w:rsidP="003067CF">
      <w:pPr>
        <w:tabs>
          <w:tab w:val="left" w:pos="360"/>
        </w:tabs>
        <w:ind w:firstLine="0"/>
      </w:pPr>
      <w:r w:rsidRPr="00B55890">
        <w:rPr>
          <w:b/>
          <w:bCs/>
        </w:rPr>
        <w:t>Output 10 Metrics:</w:t>
      </w:r>
      <w:r>
        <w:t xml:space="preserve"> The TA Team provided analytics for Explore-Work.com demonstrating the significant value of this output, particularly in the current pandemic landscape of nearly ubiquitous online service delivery.  Demand surged so much that the system was moved to a new server to handle the expanded number of users and additional enhancements are in development.</w:t>
      </w:r>
    </w:p>
    <w:p w14:paraId="43CA895E" w14:textId="77777777" w:rsidR="003067CF" w:rsidRDefault="003067CF" w:rsidP="003067CF">
      <w:pPr>
        <w:tabs>
          <w:tab w:val="left" w:pos="360"/>
        </w:tabs>
        <w:ind w:firstLine="0"/>
        <w:jc w:val="center"/>
        <w:rPr>
          <w:szCs w:val="14"/>
        </w:rPr>
      </w:pPr>
      <w:r>
        <w:rPr>
          <w:sz w:val="36"/>
          <w:szCs w:val="36"/>
        </w:rPr>
        <w:br w:type="column"/>
      </w:r>
      <w:r w:rsidRPr="003A10D6">
        <w:rPr>
          <w:sz w:val="36"/>
          <w:szCs w:val="36"/>
        </w:rPr>
        <w:t xml:space="preserve">Activity </w:t>
      </w:r>
      <w:r>
        <w:rPr>
          <w:sz w:val="36"/>
          <w:szCs w:val="36"/>
        </w:rPr>
        <w:t>Unique</w:t>
      </w:r>
      <w:r>
        <w:rPr>
          <w:szCs w:val="14"/>
        </w:rPr>
        <w:br/>
      </w:r>
      <w:r>
        <w:rPr>
          <w:noProof/>
          <w:lang w:eastAsia="ko-KR"/>
        </w:rPr>
        <w:drawing>
          <wp:inline distT="0" distB="0" distL="0" distR="0" wp14:anchorId="42ECCFB4" wp14:editId="0562F4EB">
            <wp:extent cx="1444752" cy="4572000"/>
            <wp:effectExtent l="0" t="0" r="3175" b="0"/>
            <wp:docPr id="71" name="Picture 71" descr="Activity &amp; Outputs Progress Un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444752" cy="4572000"/>
                    </a:xfrm>
                    <a:prstGeom prst="rect">
                      <a:avLst/>
                    </a:prstGeom>
                  </pic:spPr>
                </pic:pic>
              </a:graphicData>
            </a:graphic>
          </wp:inline>
        </w:drawing>
      </w:r>
      <w:r>
        <w:rPr>
          <w:sz w:val="36"/>
          <w:szCs w:val="36"/>
        </w:rPr>
        <w:br/>
      </w:r>
      <w:r>
        <w:rPr>
          <w:noProof/>
          <w:lang w:eastAsia="ko-KR"/>
        </w:rPr>
        <w:drawing>
          <wp:inline distT="0" distB="0" distL="0" distR="0" wp14:anchorId="35CE7E04" wp14:editId="2642DFD6">
            <wp:extent cx="2090057" cy="370114"/>
            <wp:effectExtent l="0" t="0" r="5715" b="0"/>
            <wp:docPr id="62" name="Picture 62"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64EA9F06" w14:textId="40311702" w:rsidR="003067CF" w:rsidRDefault="003067CF" w:rsidP="0048500F">
      <w:pPr>
        <w:ind w:firstLine="0"/>
        <w:rPr>
          <w:szCs w:val="14"/>
        </w:rPr>
      </w:pPr>
      <w:r w:rsidRPr="00980759">
        <w:rPr>
          <w:b/>
          <w:bCs/>
          <w:szCs w:val="14"/>
        </w:rPr>
        <w:t>Activity Unique</w:t>
      </w:r>
      <w:r>
        <w:rPr>
          <w:szCs w:val="14"/>
        </w:rPr>
        <w:t>: In each state, there are unique activities not reflected in the logic model.  For Pre-ETS, examples include outreach to blind and visually impaired populations, assistance with work-based learning programs, and a transition coordination institute.</w:t>
      </w:r>
      <w:r w:rsidR="0048500F">
        <w:rPr>
          <w:szCs w:val="14"/>
        </w:rPr>
        <w:t xml:space="preserve"> </w:t>
      </w:r>
    </w:p>
    <w:p w14:paraId="17E38D10" w14:textId="77777777" w:rsidR="003067CF" w:rsidRDefault="003067CF" w:rsidP="003067CF">
      <w:pPr>
        <w:jc w:val="center"/>
        <w:rPr>
          <w:szCs w:val="14"/>
        </w:rPr>
        <w:sectPr w:rsidR="003067CF" w:rsidSect="0042504C">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num="2" w:space="720"/>
          <w:docGrid w:linePitch="360"/>
        </w:sectPr>
      </w:pPr>
    </w:p>
    <w:p w14:paraId="0FA75729" w14:textId="77777777" w:rsidR="003067CF" w:rsidRDefault="003067CF" w:rsidP="003067CF">
      <w:pPr>
        <w:pStyle w:val="Heading2"/>
      </w:pPr>
      <w:bookmarkStart w:id="46" w:name="_Toc41904110"/>
      <w:bookmarkStart w:id="47" w:name="_Toc41940209"/>
      <w:r>
        <w:lastRenderedPageBreak/>
        <w:t xml:space="preserve">Pre-ETS: </w:t>
      </w:r>
      <w:r w:rsidRPr="00CD49F8">
        <w:t>Outcomes Progress Dashboards</w:t>
      </w:r>
      <w:bookmarkEnd w:id="46"/>
      <w:bookmarkEnd w:id="47"/>
    </w:p>
    <w:p w14:paraId="21C78A27" w14:textId="77777777" w:rsidR="003067CF" w:rsidRPr="00E47117" w:rsidRDefault="003067CF" w:rsidP="003067CF">
      <w:pPr>
        <w:jc w:val="center"/>
        <w:rPr>
          <w:sz w:val="24"/>
          <w:szCs w:val="24"/>
        </w:rPr>
      </w:pPr>
      <w:r>
        <w:rPr>
          <w:noProof/>
          <w:lang w:eastAsia="ko-KR"/>
        </w:rPr>
        <w:drawing>
          <wp:inline distT="0" distB="0" distL="0" distR="0" wp14:anchorId="230E3A17" wp14:editId="36C6C9DC">
            <wp:extent cx="4104683" cy="2238375"/>
            <wp:effectExtent l="0" t="0" r="0" b="0"/>
            <wp:docPr id="4" name="Picture 4" descr="Outcomes Progress speedometer showing 71%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8173" b="5217"/>
                    <a:stretch/>
                  </pic:blipFill>
                  <pic:spPr bwMode="auto">
                    <a:xfrm>
                      <a:off x="0" y="0"/>
                      <a:ext cx="4154819" cy="2265715"/>
                    </a:xfrm>
                    <a:prstGeom prst="rect">
                      <a:avLst/>
                    </a:prstGeom>
                    <a:ln>
                      <a:noFill/>
                    </a:ln>
                    <a:extLst>
                      <a:ext uri="{53640926-AAD7-44D8-BBD7-CCE9431645EC}">
                        <a14:shadowObscured xmlns:a14="http://schemas.microsoft.com/office/drawing/2010/main"/>
                      </a:ext>
                    </a:extLst>
                  </pic:spPr>
                </pic:pic>
              </a:graphicData>
            </a:graphic>
          </wp:inline>
        </w:drawing>
      </w:r>
    </w:p>
    <w:p w14:paraId="7F0BADDD" w14:textId="77777777" w:rsidR="003067CF" w:rsidRPr="00B56EC8" w:rsidRDefault="003067CF" w:rsidP="003067CF">
      <w:pPr>
        <w:spacing w:after="0" w:line="240" w:lineRule="auto"/>
      </w:pPr>
      <w:r w:rsidRPr="00445388">
        <w:t xml:space="preserve">This </w:t>
      </w:r>
      <w:r>
        <w:t>speedometer</w:t>
      </w:r>
      <w:r w:rsidRPr="00445388">
        <w:t xml:space="preserve"> shows over half (64%) of outcomes 75% or more complete </w:t>
      </w:r>
      <w:r>
        <w:t>and</w:t>
      </w:r>
      <w:r w:rsidRPr="00445388">
        <w:t xml:space="preserve"> 10% not yet started.</w:t>
      </w:r>
      <w:r>
        <w:t xml:space="preserve"> The</w:t>
      </w:r>
      <w:r w:rsidRPr="002723AD">
        <w:t xml:space="preserve"> infographic presents </w:t>
      </w:r>
      <w:r>
        <w:t>quarterly (non-cumulative) snapshots of how</w:t>
      </w:r>
      <w:r w:rsidRPr="002723AD">
        <w:t>, with TA from the Pre-ETS Team, SVRAs are achieving</w:t>
      </w:r>
      <w:r>
        <w:t xml:space="preserve"> client</w:t>
      </w:r>
      <w:r w:rsidRPr="002723AD">
        <w:t xml:space="preserve"> outcomes by increasing students with disabilities</w:t>
      </w:r>
      <w:r>
        <w:t xml:space="preserve"> served</w:t>
      </w:r>
      <w:r w:rsidRPr="002723AD">
        <w:t xml:space="preserve">, providing them with Pre-ETS services, </w:t>
      </w:r>
      <w:r>
        <w:t>identifying those eligible for Pre-ETS</w:t>
      </w:r>
      <w:r w:rsidRPr="002723AD">
        <w:t xml:space="preserve">, and following </w:t>
      </w:r>
      <w:r>
        <w:t xml:space="preserve">those </w:t>
      </w:r>
      <w:r w:rsidRPr="002723AD">
        <w:t>apply</w:t>
      </w:r>
      <w:r>
        <w:t>ing</w:t>
      </w:r>
      <w:r w:rsidRPr="002723AD">
        <w:t xml:space="preserve"> for VR services.</w:t>
      </w:r>
    </w:p>
    <w:p w14:paraId="7E1A0439" w14:textId="77777777" w:rsidR="003067CF" w:rsidRDefault="003067CF" w:rsidP="003067CF">
      <w:pPr>
        <w:spacing w:after="0" w:line="240" w:lineRule="auto"/>
        <w:jc w:val="center"/>
        <w:rPr>
          <w:b/>
          <w:bCs/>
          <w:sz w:val="32"/>
          <w:szCs w:val="32"/>
        </w:rPr>
      </w:pPr>
      <w:r w:rsidRPr="00765556">
        <w:rPr>
          <w:b/>
          <w:bCs/>
          <w:sz w:val="32"/>
          <w:szCs w:val="32"/>
        </w:rPr>
        <w:t>Outcomes: Year 4 Quarter 4 Versus Year 5 Quarter 2 Snapshot:</w:t>
      </w:r>
    </w:p>
    <w:p w14:paraId="4720F22C" w14:textId="77777777" w:rsidR="003067CF" w:rsidRPr="00AE5851" w:rsidRDefault="003067CF" w:rsidP="003067CF">
      <w:pPr>
        <w:spacing w:after="0" w:line="240" w:lineRule="auto"/>
        <w:jc w:val="center"/>
        <w:rPr>
          <w:rFonts w:cstheme="minorHAnsi"/>
          <w:b/>
          <w:sz w:val="36"/>
          <w:szCs w:val="36"/>
        </w:rPr>
      </w:pPr>
      <w:r>
        <w:rPr>
          <w:noProof/>
          <w:lang w:eastAsia="ko-KR"/>
        </w:rPr>
        <w:drawing>
          <wp:inline distT="0" distB="0" distL="0" distR="0" wp14:anchorId="2742C17A" wp14:editId="470531F9">
            <wp:extent cx="5110732" cy="4189227"/>
            <wp:effectExtent l="0" t="0" r="0" b="0"/>
            <wp:docPr id="2" name="Picture 2" descr="Outcomes: Year 4 Quarter 4 Versus Year 5 Quarter 2 Snapshot infographic showing the outcome the number of students that are recorded as having received on of the five required servi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196788" cy="4259767"/>
                    </a:xfrm>
                    <a:prstGeom prst="rect">
                      <a:avLst/>
                    </a:prstGeom>
                  </pic:spPr>
                </pic:pic>
              </a:graphicData>
            </a:graphic>
          </wp:inline>
        </w:drawing>
      </w:r>
      <w:r w:rsidRPr="00AE5851">
        <w:rPr>
          <w:rFonts w:cstheme="minorHAnsi"/>
          <w:b/>
          <w:sz w:val="36"/>
          <w:szCs w:val="36"/>
        </w:rPr>
        <w:br w:type="page"/>
      </w:r>
    </w:p>
    <w:p w14:paraId="54330774" w14:textId="48451A34" w:rsidR="00912523" w:rsidRPr="00CD49F8" w:rsidRDefault="00912523" w:rsidP="00CD49F8">
      <w:pPr>
        <w:pStyle w:val="Heading2"/>
      </w:pPr>
      <w:bookmarkStart w:id="48" w:name="_Toc41940210"/>
      <w:bookmarkStart w:id="49" w:name="_Toc41646918"/>
      <w:bookmarkStart w:id="50" w:name="_Hlk41484780"/>
      <w:r w:rsidRPr="00CD49F8">
        <w:lastRenderedPageBreak/>
        <w:t xml:space="preserve">Pre-ETS ITAs: </w:t>
      </w:r>
      <w:r w:rsidR="00CD49F8" w:rsidRPr="00CD49F8">
        <w:t>Resources</w:t>
      </w:r>
      <w:bookmarkEnd w:id="48"/>
      <w:r w:rsidR="00CD49F8" w:rsidRPr="00CD49F8">
        <w:t xml:space="preserve"> </w:t>
      </w:r>
      <w:bookmarkEnd w:id="49"/>
    </w:p>
    <w:p w14:paraId="44B1D238" w14:textId="21B4F0C6" w:rsidR="00912523" w:rsidRDefault="00912523" w:rsidP="00912523">
      <w:pPr>
        <w:spacing w:after="0" w:line="240" w:lineRule="auto"/>
        <w:rPr>
          <w:rFonts w:eastAsia="Times New Roman" w:cstheme="minorHAnsi"/>
          <w:sz w:val="24"/>
          <w:szCs w:val="24"/>
        </w:rPr>
      </w:pPr>
      <w:r>
        <w:rPr>
          <w:rFonts w:eastAsia="Times New Roman" w:cstheme="minorHAnsi"/>
          <w:sz w:val="24"/>
          <w:szCs w:val="24"/>
        </w:rPr>
        <w:t xml:space="preserve">Available on the WINTAC website, the Pre-ETS team has developed a number of resources to support TA and training and provide guidance to </w:t>
      </w:r>
      <w:r w:rsidR="00896269">
        <w:rPr>
          <w:rFonts w:eastAsia="Times New Roman" w:cstheme="minorHAnsi"/>
          <w:sz w:val="24"/>
          <w:szCs w:val="24"/>
        </w:rPr>
        <w:t>SVRAs as they meet their requirements for Pre-ETS under WIOA</w:t>
      </w:r>
      <w:r w:rsidR="00247DF7">
        <w:rPr>
          <w:rFonts w:eastAsia="Times New Roman" w:cstheme="minorHAnsi"/>
          <w:sz w:val="24"/>
          <w:szCs w:val="24"/>
        </w:rPr>
        <w:t xml:space="preserve">. Since the end of Year 4 the “Resources” page for Pre-ETS underwent substantial revision, reorganizing content, color-coding sections for easy identification, and adding up at the top an immediately visible </w:t>
      </w:r>
      <w:r w:rsidR="00190E48">
        <w:rPr>
          <w:rFonts w:eastAsia="Times New Roman" w:cstheme="minorHAnsi"/>
          <w:sz w:val="24"/>
          <w:szCs w:val="24"/>
        </w:rPr>
        <w:t>section linking visitors to COVID-19 relevant resources</w:t>
      </w:r>
      <w:r w:rsidR="00FF7DD1">
        <w:rPr>
          <w:rFonts w:eastAsia="Times New Roman" w:cstheme="minorHAnsi"/>
          <w:sz w:val="24"/>
          <w:szCs w:val="24"/>
        </w:rPr>
        <w:t xml:space="preserve"> (each resource page of WINTAC’s website has this section and link)</w:t>
      </w:r>
      <w:r w:rsidR="00190E48">
        <w:rPr>
          <w:rFonts w:eastAsia="Times New Roman" w:cstheme="minorHAnsi"/>
          <w:sz w:val="24"/>
          <w:szCs w:val="24"/>
        </w:rPr>
        <w:t>.</w:t>
      </w:r>
      <w:r w:rsidR="00FF7DD1">
        <w:rPr>
          <w:rFonts w:eastAsia="Times New Roman" w:cstheme="minorHAnsi"/>
          <w:sz w:val="24"/>
          <w:szCs w:val="24"/>
        </w:rPr>
        <w:t xml:space="preserve">  </w:t>
      </w:r>
      <w:r w:rsidR="004B3B15">
        <w:rPr>
          <w:rFonts w:eastAsia="Times New Roman" w:cstheme="minorHAnsi"/>
          <w:sz w:val="24"/>
          <w:szCs w:val="24"/>
        </w:rPr>
        <w:t xml:space="preserve">Resources are organized according to whether they are: (1) COVID19 resources, (2) WINTAC Pre-ETS resources, </w:t>
      </w:r>
      <w:r w:rsidR="00CD6608">
        <w:rPr>
          <w:rFonts w:eastAsia="Times New Roman" w:cstheme="minorHAnsi"/>
          <w:sz w:val="24"/>
          <w:szCs w:val="24"/>
        </w:rPr>
        <w:t>(3) Federal resources, (4) “other” resources, and then links are provided to the National Technical Assistance Center on Transition – a key partner in supporting effective Pre-ETS, followed by links to other relevant external websites.</w:t>
      </w:r>
    </w:p>
    <w:p w14:paraId="3585A702" w14:textId="6364D1B7" w:rsidR="006E52D2" w:rsidRDefault="006E52D2" w:rsidP="00912523">
      <w:pPr>
        <w:spacing w:after="0" w:line="240" w:lineRule="auto"/>
        <w:rPr>
          <w:rFonts w:eastAsia="Times New Roman" w:cstheme="minorHAnsi"/>
          <w:sz w:val="24"/>
          <w:szCs w:val="24"/>
        </w:rPr>
      </w:pPr>
    </w:p>
    <w:p w14:paraId="55E4BD6A" w14:textId="2DCDFAAE" w:rsidR="006F5E22" w:rsidRDefault="006F5E22" w:rsidP="00B7393E">
      <w:pPr>
        <w:spacing w:after="0" w:line="240" w:lineRule="auto"/>
      </w:pPr>
      <w:r>
        <w:rPr>
          <w:rFonts w:eastAsia="Times New Roman" w:cstheme="minorHAnsi"/>
          <w:sz w:val="24"/>
          <w:szCs w:val="24"/>
        </w:rPr>
        <w:t>Examining traffic to the Pre-ETS Resources page, we see</w:t>
      </w:r>
      <w:r w:rsidR="00B7393E">
        <w:rPr>
          <w:rFonts w:eastAsia="Times New Roman" w:cstheme="minorHAnsi"/>
          <w:sz w:val="24"/>
          <w:szCs w:val="24"/>
        </w:rPr>
        <w:t xml:space="preserve"> </w:t>
      </w:r>
      <w:r>
        <w:t>8,421 Page Views &amp; 885 Entrances</w:t>
      </w:r>
      <w:r w:rsidR="00B7393E">
        <w:t xml:space="preserve"> for Year 5 thus far. </w:t>
      </w:r>
      <w:r w:rsidR="00F12BE7">
        <w:t xml:space="preserve"> </w:t>
      </w:r>
      <w:r w:rsidR="00B7393E">
        <w:t xml:space="preserve">Spikes in traffic clearly occurred after the </w:t>
      </w:r>
      <w:r w:rsidR="00F12BE7">
        <w:t>pandemic, when online resources became critical for SVRAs operating largely or entirely virtually:</w:t>
      </w:r>
    </w:p>
    <w:p w14:paraId="434362E0" w14:textId="77777777" w:rsidR="006F5E22" w:rsidRDefault="006F5E22" w:rsidP="00290F40">
      <w:pPr>
        <w:ind w:firstLine="0"/>
      </w:pPr>
      <w:r>
        <w:rPr>
          <w:noProof/>
          <w:lang w:eastAsia="ko-KR"/>
        </w:rPr>
        <w:drawing>
          <wp:inline distT="0" distB="0" distL="0" distR="0" wp14:anchorId="0B34FD46" wp14:editId="638B4C86">
            <wp:extent cx="5943600" cy="1296035"/>
            <wp:effectExtent l="0" t="0" r="0" b="0"/>
            <wp:docPr id="8" name="Picture 8" descr="Web analytics chart showing entrances and page views">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1296035"/>
                    </a:xfrm>
                    <a:prstGeom prst="rect">
                      <a:avLst/>
                    </a:prstGeom>
                  </pic:spPr>
                </pic:pic>
              </a:graphicData>
            </a:graphic>
          </wp:inline>
        </w:drawing>
      </w:r>
    </w:p>
    <w:p w14:paraId="74DA8974" w14:textId="77777777" w:rsidR="00896269" w:rsidRPr="00523733" w:rsidRDefault="00896269" w:rsidP="00B56EC8">
      <w:pPr>
        <w:spacing w:after="0" w:line="240" w:lineRule="auto"/>
        <w:ind w:firstLine="0"/>
        <w:rPr>
          <w:rFonts w:eastAsia="Times New Roman" w:cstheme="minorHAnsi"/>
          <w:sz w:val="24"/>
          <w:szCs w:val="24"/>
        </w:rPr>
      </w:pPr>
    </w:p>
    <w:p w14:paraId="04B000A2" w14:textId="77777777" w:rsidR="0028738B" w:rsidRPr="0028738B" w:rsidRDefault="0028738B" w:rsidP="00C575C8">
      <w:pPr>
        <w:pStyle w:val="ListParagraph"/>
        <w:numPr>
          <w:ilvl w:val="0"/>
          <w:numId w:val="9"/>
        </w:numPr>
        <w:spacing w:after="0" w:line="240" w:lineRule="auto"/>
      </w:pPr>
      <w:r w:rsidRPr="007127EC">
        <w:rPr>
          <w:b/>
          <w:bCs/>
        </w:rPr>
        <w:t>COVID-19 Resources</w:t>
      </w:r>
    </w:p>
    <w:p w14:paraId="6F14F36E" w14:textId="77777777" w:rsidR="0028738B" w:rsidRPr="0028738B" w:rsidRDefault="0028738B" w:rsidP="002913F3">
      <w:pPr>
        <w:spacing w:after="0" w:line="240" w:lineRule="auto"/>
        <w:ind w:left="360"/>
      </w:pPr>
      <w:r w:rsidRPr="0028738B">
        <w:t>The WINTAC has created a list of resources to help VR programs that are operating by distance and providing services remotely during the COVID-19 crisis.  We will be building on these resources daily, so please check back frequently.  Click to access the </w:t>
      </w:r>
      <w:hyperlink r:id="rId42" w:history="1">
        <w:r w:rsidRPr="0028738B">
          <w:rPr>
            <w:rStyle w:val="Hyperlink"/>
            <w:b/>
            <w:bCs/>
          </w:rPr>
          <w:t>COVID-19 Resources</w:t>
        </w:r>
      </w:hyperlink>
      <w:r w:rsidRPr="0028738B">
        <w:t>. Click to access the</w:t>
      </w:r>
      <w:hyperlink r:id="rId43" w:history="1">
        <w:r w:rsidRPr="0028738B">
          <w:rPr>
            <w:rStyle w:val="Hyperlink"/>
            <w:b/>
            <w:bCs/>
          </w:rPr>
          <w:t> Resources on Distance Service Delivery</w:t>
        </w:r>
      </w:hyperlink>
      <w:r w:rsidRPr="0028738B">
        <w:t>.</w:t>
      </w:r>
    </w:p>
    <w:p w14:paraId="11CBC617" w14:textId="77777777" w:rsidR="0028738B" w:rsidRPr="0028738B" w:rsidRDefault="0028738B" w:rsidP="00C575C8">
      <w:pPr>
        <w:pStyle w:val="ListParagraph"/>
        <w:numPr>
          <w:ilvl w:val="0"/>
          <w:numId w:val="9"/>
        </w:numPr>
        <w:spacing w:after="0" w:line="240" w:lineRule="auto"/>
      </w:pPr>
      <w:bookmarkStart w:id="51" w:name="preets-resources"/>
      <w:bookmarkEnd w:id="51"/>
      <w:r w:rsidRPr="007127EC">
        <w:rPr>
          <w:b/>
          <w:bCs/>
        </w:rPr>
        <w:t>WINTAC Pre-ETS Resources</w:t>
      </w:r>
    </w:p>
    <w:p w14:paraId="517B0F09" w14:textId="77777777" w:rsidR="0028738B" w:rsidRPr="0028738B" w:rsidRDefault="0028738B" w:rsidP="00C575C8">
      <w:pPr>
        <w:pStyle w:val="ListParagraph"/>
        <w:numPr>
          <w:ilvl w:val="0"/>
          <w:numId w:val="10"/>
        </w:numPr>
        <w:spacing w:after="0" w:line="240" w:lineRule="auto"/>
      </w:pPr>
      <w:bookmarkStart w:id="52" w:name="provider-resources"/>
      <w:bookmarkEnd w:id="52"/>
      <w:r w:rsidRPr="002913F3">
        <w:rPr>
          <w:b/>
          <w:bCs/>
        </w:rPr>
        <w:t>Provider Resources</w:t>
      </w:r>
    </w:p>
    <w:p w14:paraId="78FCAC53" w14:textId="77777777" w:rsidR="0028738B" w:rsidRPr="0028738B" w:rsidRDefault="0084664F" w:rsidP="00C575C8">
      <w:pPr>
        <w:pStyle w:val="ListParagraph"/>
        <w:numPr>
          <w:ilvl w:val="1"/>
          <w:numId w:val="10"/>
        </w:numPr>
        <w:spacing w:after="0" w:line="240" w:lineRule="auto"/>
      </w:pPr>
      <w:hyperlink r:id="rId44" w:history="1">
        <w:r w:rsidR="0028738B" w:rsidRPr="002913F3">
          <w:rPr>
            <w:rStyle w:val="Hyperlink"/>
            <w:b/>
            <w:bCs/>
          </w:rPr>
          <w:t>CRP Guidebook</w:t>
        </w:r>
      </w:hyperlink>
      <w:r w:rsidR="0028738B" w:rsidRPr="002913F3">
        <w:rPr>
          <w:b/>
          <w:bCs/>
        </w:rPr>
        <w:t>: This guide, developed by WINTAC and Transcen Inc., provides strategies for CRP’s to collaborate with SVRA’s on effective provision of Pre-ETS</w:t>
      </w:r>
    </w:p>
    <w:p w14:paraId="106BE71D" w14:textId="77777777" w:rsidR="0028738B" w:rsidRPr="0028738B" w:rsidRDefault="0028738B" w:rsidP="00C575C8">
      <w:pPr>
        <w:pStyle w:val="ListParagraph"/>
        <w:numPr>
          <w:ilvl w:val="1"/>
          <w:numId w:val="10"/>
        </w:numPr>
        <w:spacing w:after="0" w:line="240" w:lineRule="auto"/>
      </w:pPr>
      <w:bookmarkStart w:id="53" w:name="reporting"/>
      <w:bookmarkEnd w:id="53"/>
      <w:r w:rsidRPr="002913F3">
        <w:rPr>
          <w:b/>
          <w:bCs/>
        </w:rPr>
        <w:t>Reporting: Fiscal/Time Tracking/Services</w:t>
      </w:r>
    </w:p>
    <w:p w14:paraId="168DF9DC" w14:textId="77777777" w:rsidR="0028738B" w:rsidRPr="0028738B" w:rsidRDefault="0028738B" w:rsidP="00C575C8">
      <w:pPr>
        <w:numPr>
          <w:ilvl w:val="1"/>
          <w:numId w:val="10"/>
        </w:numPr>
        <w:spacing w:after="0" w:line="240" w:lineRule="auto"/>
      </w:pPr>
      <w:r w:rsidRPr="0028738B">
        <w:t>Presentations at CSAVR and NCSAB:</w:t>
      </w:r>
    </w:p>
    <w:p w14:paraId="5FB73AD8" w14:textId="77777777" w:rsidR="0028738B" w:rsidRPr="0028738B" w:rsidRDefault="0084664F" w:rsidP="00C575C8">
      <w:pPr>
        <w:numPr>
          <w:ilvl w:val="2"/>
          <w:numId w:val="10"/>
        </w:numPr>
        <w:spacing w:after="0" w:line="240" w:lineRule="auto"/>
      </w:pPr>
      <w:hyperlink r:id="rId45" w:tgtFrame="_blank" w:history="1">
        <w:r w:rsidR="0028738B" w:rsidRPr="0028738B">
          <w:rPr>
            <w:rStyle w:val="Hyperlink"/>
          </w:rPr>
          <w:t>On the Right Track Part 1: Tracking and Reporting Pre-Employment Transition Services</w:t>
        </w:r>
      </w:hyperlink>
    </w:p>
    <w:p w14:paraId="13596D14" w14:textId="77777777" w:rsidR="0028738B" w:rsidRPr="0028738B" w:rsidRDefault="0084664F" w:rsidP="00C575C8">
      <w:pPr>
        <w:numPr>
          <w:ilvl w:val="1"/>
          <w:numId w:val="10"/>
        </w:numPr>
        <w:spacing w:after="0" w:line="240" w:lineRule="auto"/>
      </w:pPr>
      <w:hyperlink r:id="rId46" w:tgtFrame="_blank" w:history="1">
        <w:r w:rsidR="0028738B" w:rsidRPr="0028738B">
          <w:rPr>
            <w:rStyle w:val="Hyperlink"/>
          </w:rPr>
          <w:t>Time Allocation Guide for Pre-Employment Transition Services</w:t>
        </w:r>
      </w:hyperlink>
    </w:p>
    <w:p w14:paraId="68BA4E5D" w14:textId="77777777" w:rsidR="0028738B" w:rsidRPr="0028738B" w:rsidRDefault="0084664F" w:rsidP="00C575C8">
      <w:pPr>
        <w:numPr>
          <w:ilvl w:val="1"/>
          <w:numId w:val="10"/>
        </w:numPr>
        <w:spacing w:after="0" w:line="240" w:lineRule="auto"/>
      </w:pPr>
      <w:hyperlink r:id="rId47" w:history="1">
        <w:r w:rsidR="0028738B" w:rsidRPr="0028738B">
          <w:rPr>
            <w:rStyle w:val="Hyperlink"/>
          </w:rPr>
          <w:t>Process for determining if the agency can move from required pre-employment transition services to authorized activities</w:t>
        </w:r>
      </w:hyperlink>
    </w:p>
    <w:p w14:paraId="4E5D252B" w14:textId="77777777" w:rsidR="0028738B" w:rsidRPr="0028738B" w:rsidRDefault="0028738B" w:rsidP="00C575C8">
      <w:pPr>
        <w:pStyle w:val="ListParagraph"/>
        <w:numPr>
          <w:ilvl w:val="0"/>
          <w:numId w:val="10"/>
        </w:numPr>
        <w:spacing w:after="0" w:line="240" w:lineRule="auto"/>
      </w:pPr>
      <w:bookmarkStart w:id="54" w:name="service-implementation"/>
      <w:bookmarkEnd w:id="54"/>
      <w:r w:rsidRPr="002913F3">
        <w:rPr>
          <w:b/>
          <w:bCs/>
        </w:rPr>
        <w:t>Service Implementation</w:t>
      </w:r>
    </w:p>
    <w:p w14:paraId="6667C53A" w14:textId="77777777" w:rsidR="0028738B" w:rsidRPr="0028738B" w:rsidRDefault="0084664F" w:rsidP="00C575C8">
      <w:pPr>
        <w:numPr>
          <w:ilvl w:val="1"/>
          <w:numId w:val="10"/>
        </w:numPr>
        <w:spacing w:after="0" w:line="240" w:lineRule="auto"/>
      </w:pPr>
      <w:hyperlink r:id="rId48" w:history="1">
        <w:r w:rsidR="0028738B" w:rsidRPr="0028738B">
          <w:rPr>
            <w:rStyle w:val="Hyperlink"/>
          </w:rPr>
          <w:t>Pre-Employment Transition Services Implementation Checklist</w:t>
        </w:r>
      </w:hyperlink>
    </w:p>
    <w:p w14:paraId="36061D69" w14:textId="77777777" w:rsidR="0028738B" w:rsidRPr="0028738B" w:rsidRDefault="0028738B" w:rsidP="00C575C8">
      <w:pPr>
        <w:numPr>
          <w:ilvl w:val="1"/>
          <w:numId w:val="10"/>
        </w:numPr>
        <w:spacing w:after="0" w:line="240" w:lineRule="auto"/>
      </w:pPr>
      <w:bookmarkStart w:id="55" w:name="service-implementation-resources"/>
      <w:bookmarkEnd w:id="55"/>
      <w:r w:rsidRPr="0028738B">
        <w:t>Resources for the Required Pre-ETS Activities</w:t>
      </w:r>
      <w:r w:rsidRPr="0028738B">
        <w:br/>
        <w:t xml:space="preserve">These resources are intended to provide transition planning programming support for </w:t>
      </w:r>
      <w:r w:rsidRPr="0028738B">
        <w:lastRenderedPageBreak/>
        <w:t>students and youth with disabilities. They can be used by vr professionals, educators, service providers, family members and individuals with disabilities.</w:t>
      </w:r>
    </w:p>
    <w:p w14:paraId="23A308BB" w14:textId="77777777" w:rsidR="0028738B" w:rsidRPr="0028738B" w:rsidRDefault="0084664F" w:rsidP="00C575C8">
      <w:pPr>
        <w:numPr>
          <w:ilvl w:val="2"/>
          <w:numId w:val="10"/>
        </w:numPr>
        <w:spacing w:after="0" w:line="240" w:lineRule="auto"/>
      </w:pPr>
      <w:hyperlink r:id="rId49" w:history="1">
        <w:r w:rsidR="0028738B" w:rsidRPr="0028738B">
          <w:rPr>
            <w:rStyle w:val="Hyperlink"/>
          </w:rPr>
          <w:t>Job exploration counseling</w:t>
        </w:r>
      </w:hyperlink>
    </w:p>
    <w:p w14:paraId="4092C1A1" w14:textId="77777777" w:rsidR="0028738B" w:rsidRPr="0028738B" w:rsidRDefault="0084664F" w:rsidP="00C575C8">
      <w:pPr>
        <w:numPr>
          <w:ilvl w:val="2"/>
          <w:numId w:val="10"/>
        </w:numPr>
        <w:spacing w:after="0" w:line="240" w:lineRule="auto"/>
      </w:pPr>
      <w:hyperlink r:id="rId50" w:history="1">
        <w:r w:rsidR="0028738B" w:rsidRPr="0028738B">
          <w:rPr>
            <w:rStyle w:val="Hyperlink"/>
          </w:rPr>
          <w:t>Work-based learning experiences, which may include in-school or after school opportunities, experiences outside of the traditional school setting, and/or internships</w:t>
        </w:r>
      </w:hyperlink>
    </w:p>
    <w:p w14:paraId="591B1334" w14:textId="77777777" w:rsidR="0028738B" w:rsidRPr="0028738B" w:rsidRDefault="0084664F" w:rsidP="00C575C8">
      <w:pPr>
        <w:numPr>
          <w:ilvl w:val="2"/>
          <w:numId w:val="10"/>
        </w:numPr>
        <w:spacing w:after="0" w:line="240" w:lineRule="auto"/>
      </w:pPr>
      <w:hyperlink r:id="rId51" w:history="1">
        <w:r w:rsidR="0028738B" w:rsidRPr="0028738B">
          <w:rPr>
            <w:rStyle w:val="Hyperlink"/>
          </w:rPr>
          <w:t>Counseling on opportunities for enrollment in comprehensive transition or postsecondary educational programs</w:t>
        </w:r>
      </w:hyperlink>
    </w:p>
    <w:p w14:paraId="7EBCAA4C" w14:textId="77777777" w:rsidR="0028738B" w:rsidRPr="0028738B" w:rsidRDefault="0084664F" w:rsidP="00C575C8">
      <w:pPr>
        <w:numPr>
          <w:ilvl w:val="2"/>
          <w:numId w:val="10"/>
        </w:numPr>
        <w:spacing w:after="0" w:line="240" w:lineRule="auto"/>
      </w:pPr>
      <w:hyperlink r:id="rId52" w:history="1">
        <w:r w:rsidR="0028738B" w:rsidRPr="0028738B">
          <w:rPr>
            <w:rStyle w:val="Hyperlink"/>
          </w:rPr>
          <w:t>Workplace readiness training to develop social skills and independent living</w:t>
        </w:r>
      </w:hyperlink>
    </w:p>
    <w:p w14:paraId="26DE21D8" w14:textId="77777777" w:rsidR="0028738B" w:rsidRPr="0028738B" w:rsidRDefault="0084664F" w:rsidP="00C575C8">
      <w:pPr>
        <w:numPr>
          <w:ilvl w:val="2"/>
          <w:numId w:val="10"/>
        </w:numPr>
        <w:spacing w:after="0" w:line="240" w:lineRule="auto"/>
      </w:pPr>
      <w:hyperlink r:id="rId53" w:history="1">
        <w:r w:rsidR="0028738B" w:rsidRPr="0028738B">
          <w:rPr>
            <w:rStyle w:val="Hyperlink"/>
          </w:rPr>
          <w:t>Instruction in self-advocacy</w:t>
        </w:r>
      </w:hyperlink>
    </w:p>
    <w:p w14:paraId="32C5153D" w14:textId="77777777" w:rsidR="0028738B" w:rsidRPr="0028738B" w:rsidRDefault="0084664F" w:rsidP="00C575C8">
      <w:pPr>
        <w:numPr>
          <w:ilvl w:val="1"/>
          <w:numId w:val="10"/>
        </w:numPr>
        <w:spacing w:after="0" w:line="240" w:lineRule="auto"/>
      </w:pPr>
      <w:hyperlink r:id="rId54" w:tgtFrame="_blank" w:history="1">
        <w:r w:rsidR="0028738B" w:rsidRPr="0028738B">
          <w:rPr>
            <w:rStyle w:val="Hyperlink"/>
          </w:rPr>
          <w:t>Maryland Combined-Explore-Work Vendor Fee Schedule and Expectations</w:t>
        </w:r>
      </w:hyperlink>
    </w:p>
    <w:p w14:paraId="4DCCA0B9" w14:textId="77777777" w:rsidR="0028738B" w:rsidRPr="0028738B" w:rsidRDefault="0028738B" w:rsidP="00C575C8">
      <w:pPr>
        <w:pStyle w:val="ListParagraph"/>
        <w:numPr>
          <w:ilvl w:val="0"/>
          <w:numId w:val="10"/>
        </w:numPr>
        <w:spacing w:after="0" w:line="240" w:lineRule="auto"/>
      </w:pPr>
      <w:bookmarkStart w:id="56" w:name="vr-and-ed"/>
      <w:bookmarkEnd w:id="56"/>
      <w:r w:rsidRPr="002913F3">
        <w:rPr>
          <w:b/>
          <w:bCs/>
        </w:rPr>
        <w:t>VR and Education</w:t>
      </w:r>
    </w:p>
    <w:p w14:paraId="3E3EB1B3" w14:textId="6000C678" w:rsidR="0028738B" w:rsidRPr="0028738B" w:rsidRDefault="0028738B" w:rsidP="00C575C8">
      <w:pPr>
        <w:numPr>
          <w:ilvl w:val="1"/>
          <w:numId w:val="10"/>
        </w:numPr>
        <w:spacing w:after="0" w:line="240" w:lineRule="auto"/>
      </w:pPr>
      <w:r w:rsidRPr="0028738B">
        <w:t>WINTAC, NTACT and TransCen collaborated to develop the </w:t>
      </w:r>
      <w:hyperlink r:id="rId55" w:tgtFrame="_blank" w:history="1">
        <w:r w:rsidRPr="0028738B">
          <w:rPr>
            <w:rStyle w:val="Hyperlink"/>
          </w:rPr>
          <w:t>Pre-Employment Transition Services: A Guide for Collaboration among State Vocational Rehabilitation Agencies and Education Partners</w:t>
        </w:r>
      </w:hyperlink>
      <w:r w:rsidRPr="0028738B">
        <w:t xml:space="preserve">. </w:t>
      </w:r>
    </w:p>
    <w:p w14:paraId="0633E75D" w14:textId="77777777" w:rsidR="0028738B" w:rsidRPr="0028738B" w:rsidRDefault="0084664F" w:rsidP="00C575C8">
      <w:pPr>
        <w:numPr>
          <w:ilvl w:val="2"/>
          <w:numId w:val="10"/>
        </w:numPr>
        <w:spacing w:after="0" w:line="240" w:lineRule="auto"/>
      </w:pPr>
      <w:hyperlink r:id="rId56" w:tgtFrame="_blank" w:history="1">
        <w:r w:rsidR="0028738B" w:rsidRPr="0028738B">
          <w:rPr>
            <w:rStyle w:val="Hyperlink"/>
          </w:rPr>
          <w:t>VRED Guide Appendix [Zip file containing Word Documents]</w:t>
        </w:r>
      </w:hyperlink>
    </w:p>
    <w:p w14:paraId="103F8B44" w14:textId="77777777" w:rsidR="0028738B" w:rsidRPr="0028738B" w:rsidRDefault="0084664F" w:rsidP="00C575C8">
      <w:pPr>
        <w:numPr>
          <w:ilvl w:val="1"/>
          <w:numId w:val="10"/>
        </w:numPr>
        <w:spacing w:after="0" w:line="240" w:lineRule="auto"/>
      </w:pPr>
      <w:hyperlink r:id="rId57" w:tgtFrame="_blank" w:history="1">
        <w:r w:rsidR="0028738B" w:rsidRPr="0028738B">
          <w:rPr>
            <w:rStyle w:val="Hyperlink"/>
          </w:rPr>
          <w:t>WIOA Performance Indicators - IDEA Part B Transition Performance Indicator Crosswalk</w:t>
        </w:r>
      </w:hyperlink>
    </w:p>
    <w:p w14:paraId="70CE772F" w14:textId="77777777" w:rsidR="0028738B" w:rsidRPr="0028738B" w:rsidRDefault="0084664F" w:rsidP="00C575C8">
      <w:pPr>
        <w:numPr>
          <w:ilvl w:val="1"/>
          <w:numId w:val="10"/>
        </w:numPr>
        <w:spacing w:after="0" w:line="240" w:lineRule="auto"/>
      </w:pPr>
      <w:hyperlink r:id="rId58" w:tgtFrame="_blank" w:history="1">
        <w:r w:rsidR="0028738B" w:rsidRPr="0028738B">
          <w:rPr>
            <w:rStyle w:val="Hyperlink"/>
          </w:rPr>
          <w:t>WIOA-IDEA - Perkins V Indicator Crosswalk</w:t>
        </w:r>
      </w:hyperlink>
    </w:p>
    <w:p w14:paraId="3BBF2ADA" w14:textId="5407D54A" w:rsidR="0028738B" w:rsidRPr="0028738B" w:rsidRDefault="0084664F" w:rsidP="00C575C8">
      <w:pPr>
        <w:numPr>
          <w:ilvl w:val="1"/>
          <w:numId w:val="10"/>
        </w:numPr>
        <w:spacing w:after="0" w:line="240" w:lineRule="auto"/>
      </w:pPr>
      <w:hyperlink r:id="rId59" w:tgtFrame="_blank" w:history="1">
        <w:r w:rsidR="0028738B" w:rsidRPr="0028738B">
          <w:rPr>
            <w:rStyle w:val="Hyperlink"/>
          </w:rPr>
          <w:t>Review Instrument - Formal Interagency Agreements</w:t>
        </w:r>
      </w:hyperlink>
      <w:r w:rsidR="0028738B" w:rsidRPr="0028738B">
        <w:t> </w:t>
      </w:r>
      <w:r w:rsidR="00133DFA" w:rsidRPr="0028738B">
        <w:t xml:space="preserve"> </w:t>
      </w:r>
      <w:r w:rsidR="0028738B" w:rsidRPr="0028738B">
        <w:t>OSER</w:t>
      </w:r>
      <w:r w:rsidR="00133DFA">
        <w:t>S</w:t>
      </w:r>
      <w:r w:rsidR="0028738B" w:rsidRPr="0028738B">
        <w:t xml:space="preserve"> has provided states with a review instrument for the formal interagency agreement between SEAs and VR agencies, as required by Section 101(a)(11)(D) of the Rehabilitation Act of 1973, as amended by Title IV of the WIOA, and 34 C.F.R. § 361.22(b). This </w:t>
      </w:r>
      <w:hyperlink r:id="rId60" w:tgtFrame="_blank" w:history="1">
        <w:r w:rsidR="0028738B" w:rsidRPr="0028738B">
          <w:rPr>
            <w:rStyle w:val="Hyperlink"/>
          </w:rPr>
          <w:t>review instrument</w:t>
        </w:r>
      </w:hyperlink>
      <w:r w:rsidR="0028738B" w:rsidRPr="0028738B">
        <w:t> offers strategies and resources to increase collaboration between the State and local agencies under these two programs, as well as program providers, so they may more effectively serve students and youth with disabilities.</w:t>
      </w:r>
    </w:p>
    <w:p w14:paraId="2FDBD2E0" w14:textId="77777777" w:rsidR="0028738B" w:rsidRPr="0028738B" w:rsidRDefault="0084664F" w:rsidP="00C575C8">
      <w:pPr>
        <w:numPr>
          <w:ilvl w:val="1"/>
          <w:numId w:val="10"/>
        </w:numPr>
        <w:spacing w:after="0" w:line="240" w:lineRule="auto"/>
      </w:pPr>
      <w:hyperlink r:id="rId61" w:history="1">
        <w:r w:rsidR="0028738B" w:rsidRPr="0028738B">
          <w:rPr>
            <w:rStyle w:val="Hyperlink"/>
          </w:rPr>
          <w:t>Updated 07/10/17: WINTAC-NTACT-Interagency Agreement Toolkit Guide</w:t>
        </w:r>
      </w:hyperlink>
    </w:p>
    <w:p w14:paraId="1F35A183" w14:textId="77777777" w:rsidR="0028738B" w:rsidRPr="0028738B" w:rsidRDefault="0084664F" w:rsidP="00C575C8">
      <w:pPr>
        <w:numPr>
          <w:ilvl w:val="2"/>
          <w:numId w:val="10"/>
        </w:numPr>
        <w:spacing w:after="0" w:line="240" w:lineRule="auto"/>
      </w:pPr>
      <w:hyperlink r:id="rId62" w:history="1">
        <w:r w:rsidR="0028738B" w:rsidRPr="0028738B">
          <w:rPr>
            <w:rStyle w:val="Hyperlink"/>
          </w:rPr>
          <w:t>Introduction To Formal Interagency Agreement Toolkit Discussion</w:t>
        </w:r>
      </w:hyperlink>
    </w:p>
    <w:p w14:paraId="6781D2AA" w14:textId="77777777" w:rsidR="0028738B" w:rsidRPr="0028738B" w:rsidRDefault="0084664F" w:rsidP="00C575C8">
      <w:pPr>
        <w:numPr>
          <w:ilvl w:val="2"/>
          <w:numId w:val="10"/>
        </w:numPr>
        <w:spacing w:after="0" w:line="240" w:lineRule="auto"/>
      </w:pPr>
      <w:hyperlink r:id="rId63" w:history="1">
        <w:r w:rsidR="0028738B" w:rsidRPr="0028738B">
          <w:rPr>
            <w:rStyle w:val="Hyperlink"/>
          </w:rPr>
          <w:t>Prompts-Interagency Agreement State Level</w:t>
        </w:r>
      </w:hyperlink>
    </w:p>
    <w:p w14:paraId="7A7BA6CF" w14:textId="77777777" w:rsidR="0028738B" w:rsidRPr="0028738B" w:rsidRDefault="0084664F" w:rsidP="00C575C8">
      <w:pPr>
        <w:numPr>
          <w:ilvl w:val="2"/>
          <w:numId w:val="10"/>
        </w:numPr>
        <w:spacing w:after="0" w:line="240" w:lineRule="auto"/>
      </w:pPr>
      <w:hyperlink r:id="rId64" w:history="1">
        <w:r w:rsidR="0028738B" w:rsidRPr="0028738B">
          <w:rPr>
            <w:rStyle w:val="Hyperlink"/>
          </w:rPr>
          <w:t>Discussion Prompts-Interagency Agreement Local Level</w:t>
        </w:r>
      </w:hyperlink>
    </w:p>
    <w:p w14:paraId="74BB5858" w14:textId="77777777" w:rsidR="0028738B" w:rsidRPr="0028738B" w:rsidRDefault="0084664F" w:rsidP="00C575C8">
      <w:pPr>
        <w:numPr>
          <w:ilvl w:val="2"/>
          <w:numId w:val="10"/>
        </w:numPr>
        <w:spacing w:after="0" w:line="240" w:lineRule="auto"/>
      </w:pPr>
      <w:hyperlink r:id="rId65" w:history="1">
        <w:r w:rsidR="0028738B" w:rsidRPr="0028738B">
          <w:rPr>
            <w:rStyle w:val="Hyperlink"/>
          </w:rPr>
          <w:t>Rehab Act and IDEA regs for Interagency Agreement</w:t>
        </w:r>
      </w:hyperlink>
    </w:p>
    <w:p w14:paraId="52391FA1" w14:textId="77777777" w:rsidR="0028738B" w:rsidRPr="0028738B" w:rsidRDefault="0084664F" w:rsidP="00C575C8">
      <w:pPr>
        <w:numPr>
          <w:ilvl w:val="2"/>
          <w:numId w:val="10"/>
        </w:numPr>
        <w:spacing w:after="0" w:line="240" w:lineRule="auto"/>
      </w:pPr>
      <w:hyperlink r:id="rId66" w:history="1">
        <w:r w:rsidR="0028738B" w:rsidRPr="0028738B">
          <w:rPr>
            <w:rStyle w:val="Hyperlink"/>
          </w:rPr>
          <w:t>Interagency Agreement Language Examples</w:t>
        </w:r>
      </w:hyperlink>
    </w:p>
    <w:p w14:paraId="50D94BC1" w14:textId="77777777" w:rsidR="0028738B" w:rsidRPr="007A1BCF" w:rsidRDefault="0028738B" w:rsidP="00C575C8">
      <w:pPr>
        <w:pStyle w:val="ListParagraph"/>
        <w:numPr>
          <w:ilvl w:val="0"/>
          <w:numId w:val="9"/>
        </w:numPr>
        <w:spacing w:after="0" w:line="240" w:lineRule="auto"/>
        <w:rPr>
          <w:b/>
          <w:bCs/>
        </w:rPr>
      </w:pPr>
      <w:bookmarkStart w:id="57" w:name="fed-resources"/>
      <w:bookmarkEnd w:id="57"/>
      <w:r w:rsidRPr="007A1BCF">
        <w:rPr>
          <w:b/>
          <w:bCs/>
        </w:rPr>
        <w:t>Federal Resources and Information</w:t>
      </w:r>
    </w:p>
    <w:p w14:paraId="3B3C173C" w14:textId="77777777" w:rsidR="0028738B" w:rsidRPr="0028738B" w:rsidRDefault="0028738B" w:rsidP="00C575C8">
      <w:pPr>
        <w:pStyle w:val="ListParagraph"/>
        <w:numPr>
          <w:ilvl w:val="0"/>
          <w:numId w:val="16"/>
        </w:numPr>
        <w:spacing w:after="0" w:line="240" w:lineRule="auto"/>
      </w:pPr>
      <w:r w:rsidRPr="00AB4478">
        <w:rPr>
          <w:b/>
          <w:bCs/>
        </w:rPr>
        <w:t>Department of Labor</w:t>
      </w:r>
    </w:p>
    <w:p w14:paraId="0B5436C3" w14:textId="77777777" w:rsidR="0028738B" w:rsidRPr="0028738B" w:rsidRDefault="0028738B" w:rsidP="00C575C8">
      <w:pPr>
        <w:numPr>
          <w:ilvl w:val="0"/>
          <w:numId w:val="6"/>
        </w:numPr>
        <w:spacing w:after="0" w:line="240" w:lineRule="auto"/>
        <w:ind w:left="1440"/>
      </w:pPr>
      <w:r w:rsidRPr="0028738B">
        <w:t>The Department of Labor's has the following e-laws resources regarding the Fair Labor Standards act and volunteers and school to work designations.</w:t>
      </w:r>
    </w:p>
    <w:p w14:paraId="38C581C6" w14:textId="77777777" w:rsidR="0028738B" w:rsidRPr="0028738B" w:rsidRDefault="0084664F" w:rsidP="00C575C8">
      <w:pPr>
        <w:numPr>
          <w:ilvl w:val="1"/>
          <w:numId w:val="6"/>
        </w:numPr>
        <w:tabs>
          <w:tab w:val="num" w:pos="1440"/>
        </w:tabs>
        <w:spacing w:after="0" w:line="240" w:lineRule="auto"/>
        <w:ind w:left="2160"/>
      </w:pPr>
      <w:hyperlink r:id="rId67" w:tgtFrame="_blank" w:history="1">
        <w:r w:rsidR="0028738B" w:rsidRPr="0028738B">
          <w:rPr>
            <w:rStyle w:val="Hyperlink"/>
          </w:rPr>
          <w:t>elaws - Fair Labor Standards Act Advisor: Volunteers</w:t>
        </w:r>
      </w:hyperlink>
    </w:p>
    <w:p w14:paraId="0C1065D8" w14:textId="77777777" w:rsidR="0028738B" w:rsidRPr="0028738B" w:rsidRDefault="0084664F" w:rsidP="00C575C8">
      <w:pPr>
        <w:numPr>
          <w:ilvl w:val="1"/>
          <w:numId w:val="6"/>
        </w:numPr>
        <w:tabs>
          <w:tab w:val="num" w:pos="1440"/>
        </w:tabs>
        <w:spacing w:after="0" w:line="240" w:lineRule="auto"/>
        <w:ind w:left="2160"/>
      </w:pPr>
      <w:hyperlink r:id="rId68" w:tgtFrame="_blank" w:history="1">
        <w:r w:rsidR="0028738B" w:rsidRPr="0028738B">
          <w:rPr>
            <w:rStyle w:val="Hyperlink"/>
          </w:rPr>
          <w:t>elaws - Fair Labor Standards Act Advisor: School-to-Work</w:t>
        </w:r>
      </w:hyperlink>
    </w:p>
    <w:p w14:paraId="6C1FCBEF" w14:textId="77777777" w:rsidR="0028738B" w:rsidRPr="0028738B" w:rsidRDefault="0084664F" w:rsidP="00C575C8">
      <w:pPr>
        <w:numPr>
          <w:ilvl w:val="1"/>
          <w:numId w:val="6"/>
        </w:numPr>
        <w:tabs>
          <w:tab w:val="num" w:pos="1440"/>
        </w:tabs>
        <w:spacing w:after="0" w:line="240" w:lineRule="auto"/>
        <w:ind w:left="2160"/>
      </w:pPr>
      <w:hyperlink r:id="rId69" w:tgtFrame="_blank" w:history="1">
        <w:r w:rsidR="0028738B" w:rsidRPr="0028738B">
          <w:rPr>
            <w:rStyle w:val="Hyperlink"/>
          </w:rPr>
          <w:t>elaws - Fair Labor Standards Act Advisor: Trainees</w:t>
        </w:r>
      </w:hyperlink>
    </w:p>
    <w:p w14:paraId="1ADF8012" w14:textId="77777777" w:rsidR="0028738B" w:rsidRPr="0028738B" w:rsidRDefault="0028738B" w:rsidP="00C575C8">
      <w:pPr>
        <w:numPr>
          <w:ilvl w:val="0"/>
          <w:numId w:val="6"/>
        </w:numPr>
        <w:tabs>
          <w:tab w:val="num" w:pos="720"/>
        </w:tabs>
        <w:spacing w:after="0" w:line="240" w:lineRule="auto"/>
        <w:ind w:left="1440"/>
      </w:pPr>
      <w:r w:rsidRPr="0028738B">
        <w:t>The Department of Labor, Wage and Hour Division (WHD) has the following Fact Sheets regarding the Fair Labor Standards Act:</w:t>
      </w:r>
    </w:p>
    <w:p w14:paraId="0B40E9EA" w14:textId="77777777" w:rsidR="0028738B" w:rsidRPr="0028738B" w:rsidRDefault="0084664F" w:rsidP="00C575C8">
      <w:pPr>
        <w:numPr>
          <w:ilvl w:val="1"/>
          <w:numId w:val="6"/>
        </w:numPr>
        <w:tabs>
          <w:tab w:val="num" w:pos="1440"/>
        </w:tabs>
        <w:spacing w:after="0" w:line="240" w:lineRule="auto"/>
        <w:ind w:left="2160"/>
      </w:pPr>
      <w:hyperlink r:id="rId70" w:tgtFrame="_blank" w:history="1">
        <w:r w:rsidR="0028738B" w:rsidRPr="0028738B">
          <w:rPr>
            <w:rStyle w:val="Hyperlink"/>
          </w:rPr>
          <w:t>#71: Internship Programs Under The Fair Labor Standards Act</w:t>
        </w:r>
      </w:hyperlink>
    </w:p>
    <w:p w14:paraId="545A7266" w14:textId="159DC1EC" w:rsidR="0028738B" w:rsidRPr="0028738B" w:rsidRDefault="0028738B" w:rsidP="00C575C8">
      <w:pPr>
        <w:numPr>
          <w:ilvl w:val="2"/>
          <w:numId w:val="6"/>
        </w:numPr>
        <w:tabs>
          <w:tab w:val="num" w:pos="2160"/>
        </w:tabs>
        <w:spacing w:after="0" w:line="240" w:lineRule="auto"/>
        <w:ind w:left="2880"/>
      </w:pPr>
      <w:r w:rsidRPr="0028738B">
        <w:t>This fact sheet provides general information to help determine whether interns and students working for “for-profit” employers are entitled to minimum wages and overtime pay under the Fair Labor Standards Act.</w:t>
      </w:r>
    </w:p>
    <w:p w14:paraId="2CE39C55" w14:textId="77777777" w:rsidR="0028738B" w:rsidRPr="0028738B" w:rsidRDefault="0028738B" w:rsidP="00C575C8">
      <w:pPr>
        <w:pStyle w:val="ListParagraph"/>
        <w:numPr>
          <w:ilvl w:val="0"/>
          <w:numId w:val="6"/>
        </w:numPr>
        <w:spacing w:after="0" w:line="240" w:lineRule="auto"/>
      </w:pPr>
      <w:r w:rsidRPr="00A131F3">
        <w:rPr>
          <w:b/>
          <w:bCs/>
        </w:rPr>
        <w:t>RSA Presentations</w:t>
      </w:r>
    </w:p>
    <w:p w14:paraId="32F12439" w14:textId="77777777" w:rsidR="0028738B" w:rsidRPr="0028738B" w:rsidRDefault="0028738B" w:rsidP="00C575C8">
      <w:pPr>
        <w:numPr>
          <w:ilvl w:val="0"/>
          <w:numId w:val="15"/>
        </w:numPr>
        <w:spacing w:after="0" w:line="240" w:lineRule="auto"/>
      </w:pPr>
      <w:r w:rsidRPr="0028738B">
        <w:t>RSA presentation from the 2016 CSAVR conference:</w:t>
      </w:r>
    </w:p>
    <w:p w14:paraId="68077326" w14:textId="77777777" w:rsidR="0028738B" w:rsidRPr="0028738B" w:rsidRDefault="0084664F" w:rsidP="00C575C8">
      <w:pPr>
        <w:numPr>
          <w:ilvl w:val="1"/>
          <w:numId w:val="15"/>
        </w:numPr>
        <w:spacing w:after="0" w:line="240" w:lineRule="auto"/>
      </w:pPr>
      <w:hyperlink r:id="rId71" w:tgtFrame="_blank" w:history="1">
        <w:r w:rsidR="0028738B" w:rsidRPr="0028738B">
          <w:rPr>
            <w:rStyle w:val="Hyperlink"/>
          </w:rPr>
          <w:t>Overview and Discussion of Federal Regulations on Transition Services and Pre-Employment Transition Services</w:t>
        </w:r>
      </w:hyperlink>
    </w:p>
    <w:p w14:paraId="00D96DD9" w14:textId="77777777" w:rsidR="0028738B" w:rsidRPr="0028738B" w:rsidRDefault="0084664F" w:rsidP="00C575C8">
      <w:pPr>
        <w:numPr>
          <w:ilvl w:val="1"/>
          <w:numId w:val="15"/>
        </w:numPr>
        <w:spacing w:after="0" w:line="240" w:lineRule="auto"/>
      </w:pPr>
      <w:hyperlink r:id="rId72" w:tgtFrame="_blank" w:history="1">
        <w:r w:rsidR="0028738B" w:rsidRPr="0028738B">
          <w:rPr>
            <w:rStyle w:val="Hyperlink"/>
          </w:rPr>
          <w:t>Overview and Discussion of Federal Fiscal Regulations, including fiscal accountability for pre-employment transition services</w:t>
        </w:r>
      </w:hyperlink>
    </w:p>
    <w:p w14:paraId="3057C6AB" w14:textId="77777777" w:rsidR="0028738B" w:rsidRPr="0028738B" w:rsidRDefault="0084664F" w:rsidP="00C575C8">
      <w:pPr>
        <w:numPr>
          <w:ilvl w:val="0"/>
          <w:numId w:val="15"/>
        </w:numPr>
        <w:spacing w:after="0" w:line="240" w:lineRule="auto"/>
      </w:pPr>
      <w:hyperlink r:id="rId73" w:tgtFrame="_blank" w:history="1">
        <w:r w:rsidR="0028738B" w:rsidRPr="0028738B">
          <w:rPr>
            <w:rStyle w:val="Hyperlink"/>
          </w:rPr>
          <w:t>Technical Assistance Audio Program on Pre-Employment Transition Services Expenditures</w:t>
        </w:r>
      </w:hyperlink>
    </w:p>
    <w:p w14:paraId="326D67BD" w14:textId="77777777" w:rsidR="0028738B" w:rsidRPr="0028738B" w:rsidRDefault="0084664F" w:rsidP="00C575C8">
      <w:pPr>
        <w:numPr>
          <w:ilvl w:val="0"/>
          <w:numId w:val="15"/>
        </w:numPr>
        <w:spacing w:after="0" w:line="240" w:lineRule="auto"/>
      </w:pPr>
      <w:hyperlink r:id="rId74" w:tgtFrame="_blank" w:history="1">
        <w:r w:rsidR="0028738B" w:rsidRPr="0028738B">
          <w:rPr>
            <w:rStyle w:val="Hyperlink"/>
          </w:rPr>
          <w:t>RSA Webinar on New FY 2015 GAN Attachment for Pre-Employment Transition Services, Supported Employment, and Maintenance of Effort</w:t>
        </w:r>
      </w:hyperlink>
    </w:p>
    <w:p w14:paraId="2A3185EE" w14:textId="77777777" w:rsidR="0028738B" w:rsidRPr="0028738B" w:rsidRDefault="0084664F" w:rsidP="00C575C8">
      <w:pPr>
        <w:numPr>
          <w:ilvl w:val="1"/>
          <w:numId w:val="15"/>
        </w:numPr>
        <w:spacing w:after="0" w:line="240" w:lineRule="auto"/>
      </w:pPr>
      <w:hyperlink r:id="rId75" w:tgtFrame="_blank" w:history="1">
        <w:r w:rsidR="0028738B" w:rsidRPr="0028738B">
          <w:rPr>
            <w:rStyle w:val="Hyperlink"/>
          </w:rPr>
          <w:t>Transcript for RSA Webinar on New FY 2015 GAN Attachments for Pre-ETS, Supported Employment, and Maintenance of Effort</w:t>
        </w:r>
      </w:hyperlink>
    </w:p>
    <w:p w14:paraId="48EBC980" w14:textId="77777777" w:rsidR="0028738B" w:rsidRPr="0028738B" w:rsidRDefault="0028738B" w:rsidP="00C575C8">
      <w:pPr>
        <w:pStyle w:val="ListParagraph"/>
        <w:numPr>
          <w:ilvl w:val="0"/>
          <w:numId w:val="14"/>
        </w:numPr>
        <w:spacing w:after="0" w:line="240" w:lineRule="auto"/>
      </w:pPr>
      <w:r w:rsidRPr="00A131F3">
        <w:rPr>
          <w:b/>
          <w:bCs/>
        </w:rPr>
        <w:t>Sub-regulatory Guidance</w:t>
      </w:r>
    </w:p>
    <w:p w14:paraId="189E0104" w14:textId="77777777" w:rsidR="0028738B" w:rsidRPr="0028738B" w:rsidRDefault="0084664F" w:rsidP="00C575C8">
      <w:pPr>
        <w:numPr>
          <w:ilvl w:val="0"/>
          <w:numId w:val="13"/>
        </w:numPr>
        <w:spacing w:after="0" w:line="240" w:lineRule="auto"/>
      </w:pPr>
      <w:hyperlink r:id="rId76" w:tgtFrame="_blank" w:history="1">
        <w:r w:rsidR="0028738B" w:rsidRPr="0028738B">
          <w:rPr>
            <w:rStyle w:val="Hyperlink"/>
          </w:rPr>
          <w:t>RSA Technical Assistance Circular (TAC) 18-02 titled "Submission Procedures for Prior Written Approval Requests under the State Vocational Rehabilitation (VR) Services Program."</w:t>
        </w:r>
      </w:hyperlink>
    </w:p>
    <w:p w14:paraId="0099B998" w14:textId="77777777" w:rsidR="0028738B" w:rsidRPr="0028738B" w:rsidRDefault="0084664F" w:rsidP="00C575C8">
      <w:pPr>
        <w:numPr>
          <w:ilvl w:val="0"/>
          <w:numId w:val="13"/>
        </w:numPr>
        <w:spacing w:after="0" w:line="240" w:lineRule="auto"/>
      </w:pPr>
      <w:hyperlink r:id="rId77" w:tgtFrame="_blank" w:history="1">
        <w:r w:rsidR="0028738B" w:rsidRPr="0028738B">
          <w:rPr>
            <w:rStyle w:val="Hyperlink"/>
          </w:rPr>
          <w:t>RSA: Period of Performance for Formula Grant Awards FAQs</w:t>
        </w:r>
      </w:hyperlink>
    </w:p>
    <w:p w14:paraId="2471A61B" w14:textId="77777777" w:rsidR="0028738B" w:rsidRPr="0028738B" w:rsidRDefault="0084664F" w:rsidP="00C575C8">
      <w:pPr>
        <w:numPr>
          <w:ilvl w:val="0"/>
          <w:numId w:val="13"/>
        </w:numPr>
        <w:spacing w:after="0" w:line="240" w:lineRule="auto"/>
      </w:pPr>
      <w:hyperlink r:id="rId78" w:tgtFrame="_blank" w:history="1">
        <w:r w:rsidR="0028738B" w:rsidRPr="0028738B">
          <w:rPr>
            <w:rStyle w:val="Hyperlink"/>
          </w:rPr>
          <w:t>PD-16-04 - "Revision of Policy Directive (PD) 14-01 instructions for the completion of the Case Service Report (RSA-911) for the State Vocational Rehabilitation Services Program and the State Supported Employment Services Program"</w:t>
        </w:r>
      </w:hyperlink>
    </w:p>
    <w:p w14:paraId="36FE21E4" w14:textId="77777777" w:rsidR="0028738B" w:rsidRPr="0028738B" w:rsidRDefault="0084664F" w:rsidP="00C575C8">
      <w:pPr>
        <w:numPr>
          <w:ilvl w:val="0"/>
          <w:numId w:val="13"/>
        </w:numPr>
        <w:spacing w:after="0" w:line="240" w:lineRule="auto"/>
      </w:pPr>
      <w:hyperlink r:id="rId79" w:tgtFrame="_blank" w:history="1">
        <w:r w:rsidR="0028738B" w:rsidRPr="0028738B">
          <w:rPr>
            <w:rStyle w:val="Hyperlink"/>
          </w:rPr>
          <w:t>Guidelines: Supporting Documentation for Case Service Report (RSA-911) Revised June 14, 2017 (PDF, 1MB)</w:t>
        </w:r>
      </w:hyperlink>
    </w:p>
    <w:p w14:paraId="4E670321" w14:textId="77777777" w:rsidR="0028738B" w:rsidRPr="0028738B" w:rsidRDefault="0084664F" w:rsidP="00C575C8">
      <w:pPr>
        <w:numPr>
          <w:ilvl w:val="0"/>
          <w:numId w:val="13"/>
        </w:numPr>
        <w:spacing w:after="0" w:line="240" w:lineRule="auto"/>
      </w:pPr>
      <w:hyperlink r:id="rId80" w:tgtFrame="_blank" w:history="1">
        <w:r w:rsidR="0028738B" w:rsidRPr="0028738B">
          <w:rPr>
            <w:rStyle w:val="Hyperlink"/>
          </w:rPr>
          <w:t>TAC-17-01 - "Performance Accountability Guidance for Workforce Innovation and Opportunity Act Title I, Title II, Title III and Title IV Core Programs"</w:t>
        </w:r>
      </w:hyperlink>
    </w:p>
    <w:p w14:paraId="60EFDC4F" w14:textId="77777777" w:rsidR="0028738B" w:rsidRPr="0028738B" w:rsidRDefault="0084664F" w:rsidP="00C575C8">
      <w:pPr>
        <w:numPr>
          <w:ilvl w:val="0"/>
          <w:numId w:val="13"/>
        </w:numPr>
        <w:spacing w:after="0" w:line="240" w:lineRule="auto"/>
      </w:pPr>
      <w:hyperlink r:id="rId81" w:tgtFrame="_blank" w:history="1">
        <w:r w:rsidR="0028738B" w:rsidRPr="0028738B">
          <w:rPr>
            <w:rStyle w:val="Hyperlink"/>
          </w:rPr>
          <w:t>TAC-19-01- "Guidance for Validating Jointly Required Data Submitted under the Workforce Innovation and Opportunity Act (WIOA)</w:t>
        </w:r>
      </w:hyperlink>
    </w:p>
    <w:p w14:paraId="6CE39BF0" w14:textId="77777777" w:rsidR="0028738B" w:rsidRPr="0028738B" w:rsidRDefault="0084664F" w:rsidP="00C575C8">
      <w:pPr>
        <w:numPr>
          <w:ilvl w:val="0"/>
          <w:numId w:val="13"/>
        </w:numPr>
        <w:spacing w:after="0" w:line="240" w:lineRule="auto"/>
      </w:pPr>
      <w:hyperlink r:id="rId82" w:tgtFrame="_blank" w:history="1">
        <w:r w:rsidR="0028738B" w:rsidRPr="0028738B">
          <w:rPr>
            <w:rStyle w:val="Hyperlink"/>
          </w:rPr>
          <w:t>2-28-20 Department of Education-Notice of Interpretation (NOI) State VR Services Program</w:t>
        </w:r>
      </w:hyperlink>
    </w:p>
    <w:p w14:paraId="72E22CD6" w14:textId="77777777" w:rsidR="0028738B" w:rsidRPr="0028738B" w:rsidRDefault="0028738B" w:rsidP="00C575C8">
      <w:pPr>
        <w:pStyle w:val="ListParagraph"/>
        <w:numPr>
          <w:ilvl w:val="0"/>
          <w:numId w:val="11"/>
        </w:numPr>
        <w:spacing w:after="0" w:line="240" w:lineRule="auto"/>
      </w:pPr>
      <w:r w:rsidRPr="00600A09">
        <w:rPr>
          <w:b/>
          <w:bCs/>
        </w:rPr>
        <w:t>Transition</w:t>
      </w:r>
    </w:p>
    <w:p w14:paraId="69DF083F" w14:textId="77777777" w:rsidR="0028738B" w:rsidRPr="0028738B" w:rsidRDefault="0084664F" w:rsidP="00C575C8">
      <w:pPr>
        <w:numPr>
          <w:ilvl w:val="0"/>
          <w:numId w:val="12"/>
        </w:numPr>
        <w:spacing w:after="0" w:line="240" w:lineRule="auto"/>
      </w:pPr>
      <w:hyperlink r:id="rId83" w:tgtFrame="_blank" w:history="1">
        <w:r w:rsidR="0028738B" w:rsidRPr="0028738B">
          <w:rPr>
            <w:rStyle w:val="Hyperlink"/>
          </w:rPr>
          <w:t>Increasing Postsecondary Opportunities and Success for Students and Youth with Disabilities</w:t>
        </w:r>
      </w:hyperlink>
    </w:p>
    <w:p w14:paraId="2C4C587E" w14:textId="77777777" w:rsidR="0028738B" w:rsidRPr="0028738B" w:rsidRDefault="0084664F" w:rsidP="00C575C8">
      <w:pPr>
        <w:numPr>
          <w:ilvl w:val="0"/>
          <w:numId w:val="12"/>
        </w:numPr>
        <w:spacing w:after="0" w:line="240" w:lineRule="auto"/>
      </w:pPr>
      <w:hyperlink r:id="rId84" w:tgtFrame="_blank" w:history="1">
        <w:r w:rsidR="0028738B" w:rsidRPr="0028738B">
          <w:rPr>
            <w:rStyle w:val="Hyperlink"/>
          </w:rPr>
          <w:t>A Transition Guide to Postsecondary Education and Employment for Students and Youth with Disabilities</w:t>
        </w:r>
      </w:hyperlink>
    </w:p>
    <w:p w14:paraId="07EB9A11" w14:textId="77777777" w:rsidR="0028738B" w:rsidRPr="0028738B" w:rsidRDefault="0084664F" w:rsidP="00C575C8">
      <w:pPr>
        <w:numPr>
          <w:ilvl w:val="0"/>
          <w:numId w:val="12"/>
        </w:numPr>
        <w:spacing w:after="0" w:line="240" w:lineRule="auto"/>
      </w:pPr>
      <w:hyperlink r:id="rId85" w:tgtFrame="_blank" w:history="1">
        <w:r w:rsidR="0028738B" w:rsidRPr="0028738B">
          <w:rPr>
            <w:rStyle w:val="Hyperlink"/>
          </w:rPr>
          <w:t>What to Know About Transition Services for Students and Youth with Disabilities</w:t>
        </w:r>
      </w:hyperlink>
    </w:p>
    <w:p w14:paraId="74822BCE" w14:textId="77777777" w:rsidR="0028738B" w:rsidRPr="0028738B" w:rsidRDefault="0084664F" w:rsidP="00C575C8">
      <w:pPr>
        <w:numPr>
          <w:ilvl w:val="0"/>
          <w:numId w:val="12"/>
        </w:numPr>
        <w:spacing w:after="0" w:line="240" w:lineRule="auto"/>
      </w:pPr>
      <w:hyperlink r:id="rId86" w:tgtFrame="_blank" w:history="1">
        <w:r w:rsidR="0028738B" w:rsidRPr="0028738B">
          <w:rPr>
            <w:rStyle w:val="Hyperlink"/>
          </w:rPr>
          <w:t>The 2020 Youth Transition Plan: A federal Interagency Strategy</w:t>
        </w:r>
      </w:hyperlink>
    </w:p>
    <w:p w14:paraId="40D76F6D" w14:textId="77777777" w:rsidR="0028738B" w:rsidRPr="0028738B" w:rsidRDefault="0084664F" w:rsidP="00C575C8">
      <w:pPr>
        <w:numPr>
          <w:ilvl w:val="0"/>
          <w:numId w:val="12"/>
        </w:numPr>
        <w:spacing w:after="0" w:line="240" w:lineRule="auto"/>
      </w:pPr>
      <w:hyperlink r:id="rId87" w:tgtFrame="_blank" w:history="1">
        <w:r w:rsidR="0028738B" w:rsidRPr="0028738B">
          <w:rPr>
            <w:rStyle w:val="Hyperlink"/>
          </w:rPr>
          <w:t>What to Know About Work-Based Learning Experiences for Students and Youth with Disabilities</w:t>
        </w:r>
      </w:hyperlink>
    </w:p>
    <w:p w14:paraId="12E73C0D" w14:textId="77777777" w:rsidR="0028738B" w:rsidRPr="007A1BCF" w:rsidRDefault="0028738B" w:rsidP="00C575C8">
      <w:pPr>
        <w:pStyle w:val="ListParagraph"/>
        <w:numPr>
          <w:ilvl w:val="0"/>
          <w:numId w:val="9"/>
        </w:numPr>
        <w:spacing w:after="0" w:line="240" w:lineRule="auto"/>
        <w:rPr>
          <w:b/>
          <w:bCs/>
        </w:rPr>
      </w:pPr>
      <w:bookmarkStart w:id="58" w:name="other-resources"/>
      <w:bookmarkEnd w:id="58"/>
      <w:r w:rsidRPr="007A1BCF">
        <w:rPr>
          <w:b/>
          <w:bCs/>
        </w:rPr>
        <w:t>Other Resources</w:t>
      </w:r>
    </w:p>
    <w:p w14:paraId="6DB42DE8" w14:textId="7E7A5F86" w:rsidR="0028738B" w:rsidRPr="0028738B" w:rsidRDefault="0028738B" w:rsidP="00C575C8">
      <w:pPr>
        <w:numPr>
          <w:ilvl w:val="1"/>
          <w:numId w:val="17"/>
        </w:numPr>
        <w:tabs>
          <w:tab w:val="clear" w:pos="1440"/>
          <w:tab w:val="num" w:pos="1080"/>
        </w:tabs>
        <w:spacing w:after="0" w:line="240" w:lineRule="auto"/>
      </w:pPr>
      <w:r w:rsidRPr="0028738B">
        <w:t>PACER RESOURCES</w:t>
      </w:r>
      <w:r w:rsidRPr="0028738B">
        <w:br/>
      </w:r>
      <w:hyperlink r:id="rId88" w:tgtFrame="_blank" w:history="1">
        <w:r w:rsidRPr="0028738B">
          <w:rPr>
            <w:rStyle w:val="Hyperlink"/>
          </w:rPr>
          <w:t>“Mental Health, Anxiety and Vision Loss”</w:t>
        </w:r>
      </w:hyperlink>
    </w:p>
    <w:p w14:paraId="34520582" w14:textId="77777777" w:rsidR="0028738B" w:rsidRPr="0028738B" w:rsidRDefault="0084664F" w:rsidP="00C575C8">
      <w:pPr>
        <w:numPr>
          <w:ilvl w:val="1"/>
          <w:numId w:val="17"/>
        </w:numPr>
        <w:tabs>
          <w:tab w:val="clear" w:pos="1440"/>
        </w:tabs>
        <w:spacing w:after="0" w:line="240" w:lineRule="auto"/>
      </w:pPr>
      <w:hyperlink r:id="rId89" w:tgtFrame="_blank" w:history="1">
        <w:r w:rsidR="0028738B" w:rsidRPr="0028738B">
          <w:rPr>
            <w:rStyle w:val="Hyperlink"/>
          </w:rPr>
          <w:t>“Preparing Youth with Vision Loss for Careers and Success: What Parents Can Do”</w:t>
        </w:r>
      </w:hyperlink>
    </w:p>
    <w:p w14:paraId="49AA192D" w14:textId="77777777" w:rsidR="0028738B" w:rsidRPr="0028738B" w:rsidRDefault="0084664F" w:rsidP="00C575C8">
      <w:pPr>
        <w:numPr>
          <w:ilvl w:val="1"/>
          <w:numId w:val="17"/>
        </w:numPr>
        <w:tabs>
          <w:tab w:val="clear" w:pos="1440"/>
        </w:tabs>
        <w:spacing w:after="0" w:line="240" w:lineRule="auto"/>
      </w:pPr>
      <w:hyperlink r:id="rId90" w:tgtFrame="https://www.pacer.org/about/programs/ssb/disability-laws-and-rights.asp" w:history="1">
        <w:r w:rsidR="0028738B" w:rsidRPr="0028738B">
          <w:rPr>
            <w:rStyle w:val="Hyperlink"/>
          </w:rPr>
          <w:t>“Disability Laws and Rights: What Youth with Vision Loss Need to Know”</w:t>
        </w:r>
      </w:hyperlink>
    </w:p>
    <w:p w14:paraId="1D94C218" w14:textId="77777777" w:rsidR="0028738B" w:rsidRPr="0028738B" w:rsidRDefault="0028738B" w:rsidP="00C575C8">
      <w:pPr>
        <w:numPr>
          <w:ilvl w:val="0"/>
          <w:numId w:val="7"/>
        </w:numPr>
        <w:tabs>
          <w:tab w:val="clear" w:pos="720"/>
          <w:tab w:val="num" w:pos="1080"/>
        </w:tabs>
        <w:spacing w:after="0" w:line="240" w:lineRule="auto"/>
        <w:ind w:left="1080"/>
      </w:pPr>
      <w:r w:rsidRPr="0028738B">
        <w:t>The RAZ Memory Cell Phone was designed for individuals with dementia or intellectual disabilities to stay connected with their loved ones. Visit </w:t>
      </w:r>
      <w:hyperlink r:id="rId91" w:tgtFrame="_blank" w:history="1">
        <w:r w:rsidRPr="0028738B">
          <w:rPr>
            <w:rStyle w:val="Hyperlink"/>
          </w:rPr>
          <w:t>the RAZ Mobility website</w:t>
        </w:r>
      </w:hyperlink>
      <w:r w:rsidRPr="0028738B">
        <w:t> for more information.</w:t>
      </w:r>
    </w:p>
    <w:bookmarkStart w:id="59" w:name="national-tac"/>
    <w:p w14:paraId="28FA5F0F" w14:textId="77777777" w:rsidR="0028738B" w:rsidRPr="0028738B" w:rsidRDefault="0028738B" w:rsidP="00C575C8">
      <w:pPr>
        <w:numPr>
          <w:ilvl w:val="0"/>
          <w:numId w:val="5"/>
        </w:numPr>
        <w:tabs>
          <w:tab w:val="num" w:pos="1080"/>
        </w:tabs>
        <w:spacing w:after="0" w:line="240" w:lineRule="auto"/>
        <w:ind w:left="360"/>
      </w:pPr>
      <w:r w:rsidRPr="0028738B">
        <w:fldChar w:fldCharType="begin"/>
      </w:r>
      <w:r w:rsidRPr="0028738B">
        <w:instrText xml:space="preserve"> HYPERLINK "https://transitionta.org/" \t "_blank" </w:instrText>
      </w:r>
      <w:r w:rsidRPr="0028738B">
        <w:fldChar w:fldCharType="separate"/>
      </w:r>
      <w:r w:rsidRPr="0028738B">
        <w:rPr>
          <w:rStyle w:val="Hyperlink"/>
        </w:rPr>
        <w:t>National Technical Assistance Center on Transition</w:t>
      </w:r>
      <w:r w:rsidRPr="0028738B">
        <w:fldChar w:fldCharType="end"/>
      </w:r>
      <w:bookmarkEnd w:id="59"/>
    </w:p>
    <w:bookmarkStart w:id="60" w:name="external-websites"/>
    <w:bookmarkEnd w:id="60"/>
    <w:p w14:paraId="3D427557" w14:textId="77777777" w:rsidR="0028738B" w:rsidRPr="0028738B" w:rsidRDefault="0028738B" w:rsidP="00C575C8">
      <w:pPr>
        <w:numPr>
          <w:ilvl w:val="0"/>
          <w:numId w:val="8"/>
        </w:numPr>
        <w:spacing w:after="0" w:line="240" w:lineRule="auto"/>
      </w:pPr>
      <w:r w:rsidRPr="0028738B">
        <w:fldChar w:fldCharType="begin"/>
      </w:r>
      <w:r w:rsidRPr="0028738B">
        <w:instrText xml:space="preserve"> HYPERLINK "http://www.wintac.org/topic-areas/pre-employment-transition-services/resources/introduction-external-websites" </w:instrText>
      </w:r>
      <w:r w:rsidRPr="0028738B">
        <w:fldChar w:fldCharType="separate"/>
      </w:r>
      <w:r w:rsidRPr="0028738B">
        <w:rPr>
          <w:rStyle w:val="Hyperlink"/>
        </w:rPr>
        <w:t>Introduction of External Websites</w:t>
      </w:r>
      <w:r w:rsidRPr="0028738B">
        <w:fldChar w:fldCharType="end"/>
      </w:r>
    </w:p>
    <w:bookmarkEnd w:id="50"/>
    <w:p w14:paraId="01A03588" w14:textId="77777777" w:rsidR="00912523" w:rsidRDefault="00912523" w:rsidP="00E14B0F">
      <w:pPr>
        <w:pBdr>
          <w:bottom w:val="single" w:sz="24" w:space="1" w:color="auto"/>
        </w:pBdr>
        <w:jc w:val="center"/>
        <w:rPr>
          <w:b/>
          <w:sz w:val="36"/>
        </w:rPr>
      </w:pPr>
      <w:r>
        <w:rPr>
          <w:b/>
          <w:sz w:val="36"/>
        </w:rPr>
        <w:br w:type="page"/>
      </w:r>
    </w:p>
    <w:p w14:paraId="7A325A86" w14:textId="24735BAF" w:rsidR="00B65A2D" w:rsidRPr="00220867" w:rsidRDefault="00A62950" w:rsidP="00B65A2D">
      <w:pPr>
        <w:pStyle w:val="Heading2"/>
      </w:pPr>
      <w:bookmarkStart w:id="61" w:name="_Toc41646919"/>
      <w:bookmarkStart w:id="62" w:name="_Toc41940211"/>
      <w:r w:rsidRPr="00611D28">
        <w:lastRenderedPageBreak/>
        <w:t>Pre-ETS ITAs</w:t>
      </w:r>
      <w:r w:rsidR="00E14B0F" w:rsidRPr="00611D28">
        <w:t xml:space="preserve">: </w:t>
      </w:r>
      <w:r w:rsidR="00611D28" w:rsidRPr="00611D28">
        <w:t xml:space="preserve">Progress </w:t>
      </w:r>
      <w:bookmarkStart w:id="63" w:name="_Toc41646920"/>
      <w:bookmarkEnd w:id="61"/>
      <w:r w:rsidR="00B65A2D">
        <w:t>Narrative</w:t>
      </w:r>
      <w:bookmarkEnd w:id="62"/>
    </w:p>
    <w:p w14:paraId="78C7C8C1" w14:textId="2145834D" w:rsidR="00F63164" w:rsidRPr="00220867" w:rsidRDefault="00B65A2D" w:rsidP="0067196C">
      <w:pPr>
        <w:pStyle w:val="Heading3"/>
      </w:pPr>
      <w:bookmarkStart w:id="64" w:name="_Toc41940212"/>
      <w:r>
        <w:t xml:space="preserve">National </w:t>
      </w:r>
      <w:r w:rsidR="00497198" w:rsidRPr="00220867">
        <w:t>Lens</w:t>
      </w:r>
      <w:bookmarkEnd w:id="63"/>
      <w:bookmarkEnd w:id="64"/>
    </w:p>
    <w:p w14:paraId="236D8615" w14:textId="77777777" w:rsidR="00A16BF4" w:rsidRDefault="00A16BF4" w:rsidP="00C97C03">
      <w:r>
        <w:t xml:space="preserve">The Workforce Innovation and Opportunities Act (WIOA) requires states to reserve 15 percent of their Vocational Rehabilitation federal funds to provide pre-employment transition services (Pre-ETS) to students with disabilities, in a recognition that services will facilitate meaningful opportunities to obtain training and supports which ultimately facilitate employment (GAO, 2018). WINTAC’s Pre-ETS team provides intensive technical assistance (TA) to state vocational rehabilitation agencies (SVRA) as they comply with WIOA regulations governing the implementation of Pre-ETS related mandates issued by the Rehabilitation Services Administration (RSA). </w:t>
      </w:r>
    </w:p>
    <w:p w14:paraId="3BBD91BF" w14:textId="77777777" w:rsidR="00A16BF4" w:rsidRPr="00035CD7" w:rsidRDefault="00A16BF4" w:rsidP="00C97C03">
      <w:r>
        <w:t xml:space="preserve">Reviews of Pre-ETS implementation provide insight into how </w:t>
      </w:r>
      <w:r w:rsidRPr="00035CD7">
        <w:t xml:space="preserve">SVRAs </w:t>
      </w:r>
      <w:r w:rsidR="00D3064B" w:rsidRPr="00035CD7">
        <w:t xml:space="preserve">and </w:t>
      </w:r>
      <w:r w:rsidRPr="00035CD7">
        <w:t>partners are working towards effective models of service delivery to improve transition and employment outcomes</w:t>
      </w:r>
      <w:r w:rsidR="00D3064B" w:rsidRPr="00035CD7">
        <w:t>, and how their early experiences shaped WINTAC’s TA approach</w:t>
      </w:r>
      <w:r w:rsidRPr="00035CD7">
        <w:t xml:space="preserve">.  In 2016, the National Council on Disability conducted a survey with follow-up interviews of SVRAs and TA providers to examine Pre-ETS service delivery two and a half years after WIOA (NCD, 2017).  As might be expected at such an early stage of implementation with regulations and guidance still being issued, agencies were experiencing challenges with requirements pertaining to the 15 percent reserve rules, allowable costs, and tracking services (NCD).  In addition, partnerships </w:t>
      </w:r>
      <w:r w:rsidR="007C4A11" w:rsidRPr="00035CD7">
        <w:t xml:space="preserve">between SVRAs and education entities </w:t>
      </w:r>
      <w:r w:rsidRPr="00035CD7">
        <w:t xml:space="preserve">to support effective implementation were still being formalized to facilitate needed access to information, and when applicable, parental involvement and consent (NCD).  </w:t>
      </w:r>
      <w:r w:rsidR="00F7585E" w:rsidRPr="00035CD7">
        <w:t>Similar findings from SVRA surveys and interviews in 2017 by t</w:t>
      </w:r>
      <w:r w:rsidRPr="00035CD7">
        <w:t xml:space="preserve">he Government Accountability Office (GAO) </w:t>
      </w:r>
      <w:r w:rsidR="00F7585E" w:rsidRPr="00035CD7">
        <w:t xml:space="preserve">showed states </w:t>
      </w:r>
      <w:r w:rsidRPr="00035CD7">
        <w:t xml:space="preserve">working on spending their 15 percent reserve but needing further guidance on allowable costs </w:t>
      </w:r>
      <w:r w:rsidR="00D3064B" w:rsidRPr="00035CD7">
        <w:t xml:space="preserve">and </w:t>
      </w:r>
      <w:r w:rsidRPr="00035CD7">
        <w:t>interagency agreements, and looking for examples of best practices.</w:t>
      </w:r>
    </w:p>
    <w:p w14:paraId="728D161D" w14:textId="77777777" w:rsidR="00A16BF4" w:rsidRPr="00035CD7" w:rsidRDefault="00F7585E" w:rsidP="00C97C03">
      <w:r w:rsidRPr="00035CD7">
        <w:t xml:space="preserve">At the same time, </w:t>
      </w:r>
      <w:r w:rsidR="00A16BF4" w:rsidRPr="00035CD7">
        <w:t>successful partnership examples were emerging</w:t>
      </w:r>
      <w:r w:rsidRPr="00035CD7">
        <w:t>. I</w:t>
      </w:r>
      <w:r w:rsidR="00A16BF4" w:rsidRPr="00035CD7">
        <w:t xml:space="preserve">n a presentation at the Office of Special Education Program’s Leadership Conference, TA centers supporting SVRAs (including WINTAC) presented examples of interagency collaboration between SVRAs and state and local education agencies to provide Pre-ETS (Haley, Unruh, &amp; Johnson, 2017).  They found one state implemented agreements with common </w:t>
      </w:r>
      <w:r w:rsidR="00035CD7">
        <w:t>terminology</w:t>
      </w:r>
      <w:r w:rsidR="00A16BF4" w:rsidRPr="00035CD7">
        <w:t xml:space="preserve"> which facilitated uniformity and consistency in language, but not necessarily </w:t>
      </w:r>
      <w:r w:rsidR="00035CD7">
        <w:t xml:space="preserve">the </w:t>
      </w:r>
      <w:r w:rsidR="00035CD7" w:rsidRPr="00035CD7">
        <w:t xml:space="preserve">improved communication </w:t>
      </w:r>
      <w:r w:rsidR="00035CD7">
        <w:t xml:space="preserve">required for </w:t>
      </w:r>
      <w:r w:rsidR="00A16BF4" w:rsidRPr="00035CD7">
        <w:t>consistent mutual understanding or implementation.  In another state cross-agency leadership teams facilitated shared understanding, goals, and plans.  Other states were developing curricula, policies, procedures, resource guides, and creating formal referral mechanisms for Pre-ETS.</w:t>
      </w:r>
    </w:p>
    <w:p w14:paraId="29964C8D" w14:textId="77777777" w:rsidR="00F915B0" w:rsidRPr="00035CD7" w:rsidRDefault="007C4A11" w:rsidP="00C97C03">
      <w:r w:rsidRPr="00035CD7">
        <w:t>S</w:t>
      </w:r>
      <w:r w:rsidR="00F7585E" w:rsidRPr="00035CD7">
        <w:t>tudies of</w:t>
      </w:r>
      <w:r w:rsidR="004E113D" w:rsidRPr="00035CD7">
        <w:t xml:space="preserve"> the emerging </w:t>
      </w:r>
      <w:r w:rsidR="003118FE" w:rsidRPr="00035CD7">
        <w:t xml:space="preserve">landscape of Pre-ETS from </w:t>
      </w:r>
      <w:r w:rsidR="00035CD7">
        <w:t xml:space="preserve">the perspective of </w:t>
      </w:r>
      <w:r w:rsidR="00672799" w:rsidRPr="00035CD7">
        <w:t>particular stakeholder</w:t>
      </w:r>
      <w:r w:rsidR="003118FE" w:rsidRPr="00035CD7">
        <w:t>s</w:t>
      </w:r>
      <w:r w:rsidRPr="00035CD7">
        <w:t xml:space="preserve"> demonstrated that extending SVRA partnerships to qualify services as PreETS is one successful way to meet program goals</w:t>
      </w:r>
      <w:r w:rsidR="003118FE" w:rsidRPr="00035CD7">
        <w:t xml:space="preserve">.  </w:t>
      </w:r>
      <w:r w:rsidR="001661BD" w:rsidRPr="00035CD7">
        <w:t xml:space="preserve">Pollard, Traugott, Thelin, </w:t>
      </w:r>
      <w:r w:rsidR="008E1DDA" w:rsidRPr="00035CD7">
        <w:t>and</w:t>
      </w:r>
      <w:r w:rsidR="001661BD" w:rsidRPr="00035CD7">
        <w:t xml:space="preserve"> Grigal (2018) examined Pre-ETS provision involving collaboration with higher education settings</w:t>
      </w:r>
      <w:r w:rsidR="00512792" w:rsidRPr="00035CD7">
        <w:t xml:space="preserve"> </w:t>
      </w:r>
      <w:r w:rsidR="004A1D0F" w:rsidRPr="00035CD7">
        <w:t>– specifically Transition and Postsecondary Programs for Students with Intelllectual Disabilities (TPSIDs)</w:t>
      </w:r>
      <w:r w:rsidR="00302CF9" w:rsidRPr="00035CD7">
        <w:t>,</w:t>
      </w:r>
      <w:r w:rsidR="004A1D0F" w:rsidRPr="00035CD7">
        <w:t xml:space="preserve"> </w:t>
      </w:r>
      <w:r w:rsidR="00035CD7">
        <w:t xml:space="preserve">which are </w:t>
      </w:r>
      <w:r w:rsidR="00302CF9" w:rsidRPr="00035CD7">
        <w:t xml:space="preserve">demonstration projects that receive initial funding from the U.S. Department of Education, but look to additional sources of funding for sustainability. They </w:t>
      </w:r>
      <w:r w:rsidR="00512792" w:rsidRPr="00035CD7">
        <w:t>found 22 TPSIDs partnering with SVRAs</w:t>
      </w:r>
      <w:r w:rsidR="00570179" w:rsidRPr="00035CD7">
        <w:t xml:space="preserve">, 119 dually enrolled students who received Pre-ETS, </w:t>
      </w:r>
      <w:r w:rsidR="00035CD7">
        <w:t>resulting in</w:t>
      </w:r>
      <w:r w:rsidR="00570179" w:rsidRPr="00035CD7">
        <w:t xml:space="preserve"> 51% </w:t>
      </w:r>
      <w:r w:rsidR="00672799" w:rsidRPr="00035CD7">
        <w:t xml:space="preserve">of those students </w:t>
      </w:r>
      <w:r w:rsidR="00035CD7">
        <w:t>being</w:t>
      </w:r>
      <w:r w:rsidR="00570179" w:rsidRPr="00035CD7">
        <w:t xml:space="preserve"> </w:t>
      </w:r>
      <w:r w:rsidR="00672799" w:rsidRPr="00035CD7">
        <w:t>employed and 41% in career development.</w:t>
      </w:r>
    </w:p>
    <w:p w14:paraId="06037400" w14:textId="4AB59D73" w:rsidR="00B76E1E" w:rsidRDefault="00302CF9" w:rsidP="00C97C03">
      <w:r w:rsidRPr="00035CD7">
        <w:lastRenderedPageBreak/>
        <w:t xml:space="preserve">In 2016 and 2017 </w:t>
      </w:r>
      <w:r w:rsidR="00A67040" w:rsidRPr="00035CD7">
        <w:t xml:space="preserve">Luecking and Fabian (2019) </w:t>
      </w:r>
      <w:r w:rsidR="00B61995" w:rsidRPr="00035CD7">
        <w:t>conducted a national survey</w:t>
      </w:r>
      <w:r w:rsidR="00480C29" w:rsidRPr="00035CD7">
        <w:t xml:space="preserve"> </w:t>
      </w:r>
      <w:r w:rsidR="006B3C2C" w:rsidRPr="00035CD7">
        <w:t xml:space="preserve">and follow-up interviews </w:t>
      </w:r>
      <w:r w:rsidR="00480C29" w:rsidRPr="00035CD7">
        <w:t>after WIOA’s passage but prior to</w:t>
      </w:r>
      <w:r w:rsidR="003C258F" w:rsidRPr="00035CD7">
        <w:t xml:space="preserve"> regulations being fully implemented</w:t>
      </w:r>
      <w:r w:rsidR="00B61995" w:rsidRPr="00035CD7">
        <w:t xml:space="preserve">, similar to the GAO and NCD, </w:t>
      </w:r>
      <w:r w:rsidRPr="00035CD7">
        <w:t xml:space="preserve">directly surveying </w:t>
      </w:r>
      <w:r w:rsidR="00B61995" w:rsidRPr="00035CD7">
        <w:t xml:space="preserve">VR Counselors </w:t>
      </w:r>
      <w:r w:rsidR="009309E8" w:rsidRPr="00035CD7">
        <w:t xml:space="preserve">(VRCs) </w:t>
      </w:r>
      <w:r w:rsidR="00B61995" w:rsidRPr="00035CD7">
        <w:t>to understand their perspective</w:t>
      </w:r>
      <w:r w:rsidR="003C258F" w:rsidRPr="00035CD7">
        <w:t>s.</w:t>
      </w:r>
      <w:r w:rsidR="006B3C2C" w:rsidRPr="00035CD7">
        <w:t xml:space="preserve">  VRCs</w:t>
      </w:r>
      <w:r w:rsidR="00FE6B08" w:rsidRPr="00035CD7">
        <w:t xml:space="preserve"> reported improved relationships with schools, increased outreach to families, earlier engagement with youth, and increased invitations to join IEP meetings.</w:t>
      </w:r>
      <w:r w:rsidR="00F80700" w:rsidRPr="00035CD7">
        <w:t xml:space="preserve">  They also noted some challenges, including increased reporting requirements, larger caseloads, inadequate community provider resources, and the perennial challenge of transportation</w:t>
      </w:r>
      <w:r w:rsidR="00CD32F1" w:rsidRPr="00035CD7">
        <w:t>.  In terms of specific services, most respondents noted directly providing post-secondary and job exploration counseling, but contracting out work readin</w:t>
      </w:r>
      <w:r w:rsidR="00876D8B" w:rsidRPr="00035CD7">
        <w:t>ess training and work-based learning.  Local challenges affecting service delivery also included being in order of selection</w:t>
      </w:r>
      <w:r w:rsidR="00FB68CB" w:rsidRPr="00035CD7">
        <w:t xml:space="preserve">, having a large rural population, and reliance on large national providers for </w:t>
      </w:r>
      <w:r w:rsidR="008C4552" w:rsidRPr="00035CD7">
        <w:t>Pre-ETS (e.g., Project S</w:t>
      </w:r>
      <w:r w:rsidR="00D3064B" w:rsidRPr="00035CD7">
        <w:t>e</w:t>
      </w:r>
      <w:r w:rsidR="008C4552" w:rsidRPr="00035CD7">
        <w:t xml:space="preserve">arch).  </w:t>
      </w:r>
      <w:r w:rsidR="00D61C4C" w:rsidRPr="00035CD7">
        <w:t xml:space="preserve">Strategies were already being implemented to manage some of these common issues, including creating specialized caseloads or roles of transition counselors, adapting existing transition partnerships, </w:t>
      </w:r>
      <w:r w:rsidR="00040C0F" w:rsidRPr="00035CD7">
        <w:t>collocating programs for seamless access, and “creative” transportation solutions such as ride-sharing programs or stipends</w:t>
      </w:r>
      <w:r w:rsidR="00B76E1E" w:rsidRPr="00035CD7">
        <w:t xml:space="preserve">.  </w:t>
      </w:r>
      <w:r w:rsidR="0072305A" w:rsidRPr="00035CD7">
        <w:t xml:space="preserve">Luecking and Fabian conclude that existing positive relationships </w:t>
      </w:r>
      <w:r w:rsidR="005621BD" w:rsidRPr="00035CD7">
        <w:t xml:space="preserve">and addition of specialized roles to meet increased demands </w:t>
      </w:r>
      <w:r w:rsidR="0072305A" w:rsidRPr="00035CD7">
        <w:t xml:space="preserve">facilitated meeting requirements more easily, </w:t>
      </w:r>
      <w:r w:rsidRPr="00035CD7">
        <w:t xml:space="preserve">that resource and community challenges such as transportation and capacity were differentiators between rural and urban settings and </w:t>
      </w:r>
      <w:r w:rsidR="005621BD" w:rsidRPr="00035CD7">
        <w:t>th</w:t>
      </w:r>
      <w:r w:rsidR="008B5A32" w:rsidRPr="00035CD7">
        <w:t>a</w:t>
      </w:r>
      <w:r w:rsidR="005621BD" w:rsidRPr="00035CD7">
        <w:t>t</w:t>
      </w:r>
      <w:r w:rsidR="008B5A32" w:rsidRPr="00035CD7">
        <w:t xml:space="preserve"> use of Pre-ETS as a pathway to VR was emerging</w:t>
      </w:r>
      <w:r w:rsidR="00BF511B" w:rsidRPr="00035CD7">
        <w:t>.</w:t>
      </w:r>
    </w:p>
    <w:p w14:paraId="34662669" w14:textId="2205935A" w:rsidR="004D0F62" w:rsidRPr="00035CD7" w:rsidRDefault="004D0F62" w:rsidP="00C97C03">
      <w:r>
        <w:t xml:space="preserve">More recently, with </w:t>
      </w:r>
      <w:r w:rsidR="00C03E72">
        <w:t>states reporting outcomes, researchers have begun to examine service provision and report findings.  An examination by researchers at Mathematica of PY 2017 RSA</w:t>
      </w:r>
      <w:r w:rsidR="00940872">
        <w:t xml:space="preserve">-911 data </w:t>
      </w:r>
      <w:r w:rsidR="0066345D">
        <w:t xml:space="preserve">reflects an early analysis </w:t>
      </w:r>
      <w:r w:rsidR="00A7035D">
        <w:t>(</w:t>
      </w:r>
      <w:r w:rsidR="00E4447E">
        <w:t xml:space="preserve">Honeycutt, </w:t>
      </w:r>
      <w:r w:rsidR="0005282F">
        <w:t>Sevak, &amp; Rizzuto</w:t>
      </w:r>
      <w:r w:rsidR="00A7035D">
        <w:t xml:space="preserve">, 2019) </w:t>
      </w:r>
      <w:r w:rsidR="00F73D1A">
        <w:t xml:space="preserve">and as would be expected </w:t>
      </w:r>
      <w:r w:rsidR="00940872">
        <w:t>demonstrated significant variations across states in how services are provided and to whom</w:t>
      </w:r>
      <w:r w:rsidR="0066345D">
        <w:t>.</w:t>
      </w:r>
      <w:r w:rsidR="00F73D1A">
        <w:t xml:space="preserve">  </w:t>
      </w:r>
      <w:r w:rsidR="00A7035D">
        <w:t>They note that</w:t>
      </w:r>
      <w:r w:rsidR="00923030">
        <w:t xml:space="preserve"> given this is the first set of data to emerge, it will have limitations of completeness and accuracy as well as not reflect the complete evolution in states provision of Pre-ETS</w:t>
      </w:r>
      <w:r w:rsidR="00BB20E5">
        <w:t xml:space="preserve">.  What did they find at this stage?  Almost 1/5 of caseloads were students with disabilities receiving Pre-ETS, with combined and blind agencies </w:t>
      </w:r>
      <w:r w:rsidR="002E6134">
        <w:t>having respectively lower proportions; more than ½ of students with disabilities received Pre-ETS</w:t>
      </w:r>
      <w:r w:rsidR="00776033">
        <w:t>; combined and general agencies more often delivered job exploration and workplace readiness training whereas blind agencies more often delivered self-advocacy</w:t>
      </w:r>
      <w:r w:rsidR="001D2FE4">
        <w:t xml:space="preserve">; most students were receiving Pre-ETS directly from VR staff </w:t>
      </w:r>
      <w:r w:rsidR="0074683F">
        <w:t xml:space="preserve">(especially at blind agencies) </w:t>
      </w:r>
      <w:r w:rsidR="001D2FE4">
        <w:t>although work-based learning mostly involved purchases service</w:t>
      </w:r>
      <w:r w:rsidR="0074683F">
        <w:t xml:space="preserve">s; </w:t>
      </w:r>
      <w:r w:rsidR="00145345">
        <w:t>and almost all students receiving Pe-ETS at blind agencies had an IPE</w:t>
      </w:r>
      <w:r w:rsidR="00E4447E">
        <w:t xml:space="preserve"> whereas this was less often true at general and combined agencies.</w:t>
      </w:r>
    </w:p>
    <w:p w14:paraId="4D85CF02" w14:textId="77777777" w:rsidR="00E14B0F" w:rsidRPr="00220867" w:rsidRDefault="00F63164" w:rsidP="0067196C">
      <w:pPr>
        <w:pStyle w:val="Heading3"/>
      </w:pPr>
      <w:bookmarkStart w:id="65" w:name="_Toc41646921"/>
      <w:bookmarkStart w:id="66" w:name="_Toc41940213"/>
      <w:r w:rsidRPr="00220867">
        <w:t>WINTAC</w:t>
      </w:r>
      <w:r w:rsidR="00497198" w:rsidRPr="00220867">
        <w:t xml:space="preserve"> Lens</w:t>
      </w:r>
      <w:bookmarkEnd w:id="65"/>
      <w:bookmarkEnd w:id="66"/>
    </w:p>
    <w:p w14:paraId="2163639C" w14:textId="196B566C" w:rsidR="005500C4" w:rsidRPr="00035CD7" w:rsidRDefault="004C6E7E" w:rsidP="00E34D7D">
      <w:r w:rsidRPr="00035CD7">
        <w:t>Pre-ETS is one of WINTAC’s most in-demand subject areas for which all levels of technical assistance is requested, as demonstrated by the high number (3</w:t>
      </w:r>
      <w:r w:rsidR="00631ACD">
        <w:t>7</w:t>
      </w:r>
      <w:r w:rsidRPr="00035CD7">
        <w:t>) of formal intensive technical assistance agreements (ITAAs) in place</w:t>
      </w:r>
      <w:r w:rsidR="00F41913">
        <w:t xml:space="preserve"> (</w:t>
      </w:r>
      <w:r w:rsidR="00631ACD">
        <w:t>1</w:t>
      </w:r>
      <w:r w:rsidR="00F41913">
        <w:t xml:space="preserve"> more than </w:t>
      </w:r>
      <w:r w:rsidR="00631ACD">
        <w:t xml:space="preserve">at the end of </w:t>
      </w:r>
      <w:r w:rsidR="00F41913">
        <w:t>year 4)</w:t>
      </w:r>
      <w:r w:rsidRPr="00035CD7">
        <w:t xml:space="preserve">.  </w:t>
      </w:r>
      <w:r w:rsidR="00145BA9" w:rsidRPr="00035CD7">
        <w:t>These ITAAs draw from a menu of activities identified in the logic model</w:t>
      </w:r>
      <w:r w:rsidR="00631ACD">
        <w:t xml:space="preserve"> (see above)</w:t>
      </w:r>
      <w:r w:rsidR="00145BA9" w:rsidRPr="00035CD7">
        <w:t>, which each have an associated output and contribute to a set of defined short-term outcomes expected to be achieved</w:t>
      </w:r>
      <w:r w:rsidR="00852743" w:rsidRPr="00035CD7">
        <w:t xml:space="preserve"> within this funding cycle.  </w:t>
      </w:r>
    </w:p>
    <w:p w14:paraId="2CF7AE37" w14:textId="6F07CC12" w:rsidR="000B1991" w:rsidRDefault="000B1991" w:rsidP="000B1991">
      <w:pPr>
        <w:tabs>
          <w:tab w:val="left" w:pos="360"/>
        </w:tabs>
        <w:rPr>
          <w:szCs w:val="14"/>
        </w:rPr>
      </w:pPr>
      <w:r w:rsidRPr="00533653">
        <w:rPr>
          <w:b/>
          <w:bCs/>
          <w:i/>
          <w:iCs/>
          <w:szCs w:val="14"/>
          <w:u w:val="single"/>
        </w:rPr>
        <w:t>TA Progress</w:t>
      </w:r>
      <w:r>
        <w:rPr>
          <w:b/>
          <w:bCs/>
          <w:i/>
          <w:iCs/>
          <w:szCs w:val="14"/>
          <w:u w:val="single"/>
        </w:rPr>
        <w:t>: Activities and Outputs</w:t>
      </w:r>
      <w:r w:rsidRPr="00533653">
        <w:rPr>
          <w:b/>
          <w:bCs/>
          <w:i/>
          <w:iCs/>
          <w:szCs w:val="14"/>
          <w:u w:val="single"/>
        </w:rPr>
        <w:t>.</w:t>
      </w:r>
      <w:r>
        <w:rPr>
          <w:szCs w:val="14"/>
        </w:rPr>
        <w:t xml:space="preserve"> </w:t>
      </w:r>
      <w:r w:rsidR="004B45F8" w:rsidRPr="004B45F8">
        <w:rPr>
          <w:szCs w:val="14"/>
        </w:rPr>
        <w:t>Outcomes progress overall is at a strong 71%, up from 63% last year.</w:t>
      </w:r>
      <w:r w:rsidR="004B45F8">
        <w:rPr>
          <w:szCs w:val="14"/>
        </w:rPr>
        <w:t xml:space="preserve"> </w:t>
      </w:r>
      <w:r>
        <w:rPr>
          <w:szCs w:val="14"/>
        </w:rPr>
        <w:t xml:space="preserve">Across the topic area of Pre-ETS (first dashboard, representing </w:t>
      </w:r>
      <w:r w:rsidR="00CD42D3">
        <w:rPr>
          <w:szCs w:val="14"/>
        </w:rPr>
        <w:t>233</w:t>
      </w:r>
      <w:r>
        <w:rPr>
          <w:szCs w:val="14"/>
        </w:rPr>
        <w:t xml:space="preserve"> activities across all ITAAs), we see that the majority of activities (80%) are nearing or have reached completion (representing a completion rate of 75% or  more) which is an 11% increase since the end of Year 4.  In a comprehensive accounting of Pre-ETS TA (including Targeted TA), the Pre-ETS team tabulated the services they’ve provided to all states across 4 ½ years in terms of the number of: policies, forms, contracts, SEA/LEA </w:t>
      </w:r>
      <w:r>
        <w:rPr>
          <w:szCs w:val="14"/>
        </w:rPr>
        <w:lastRenderedPageBreak/>
        <w:t xml:space="preserve">agreements,  TA calls, questions answered, and site visits.  Aligning these activities with the logic model for ITAAs, we summarized the counts into those that align with product-oriented outputs (e.g., documents such as forms or contracts or policies or agreements) as seen with activities 1, 2, 4, 5, and 6 versus activities that are more participatory and capacity-building in nature (e.g., trainings) as seen with activities 8 and 9. The pie charts beneath the overall progress bar represent these summaries, showing the totals for Targeted versus Intensive TA.  Unsurprisingly, Intensive TA represents the vast majority of the work and as noted in that section, it is clear that there is a greater focus on output achievement under the auspices of Intensive TA.  </w:t>
      </w:r>
      <w:bookmarkStart w:id="67" w:name="_Hlk41607260"/>
      <w:r>
        <w:rPr>
          <w:szCs w:val="14"/>
        </w:rPr>
        <w:t>The TA Team reports too that a significant driver of SVRA’s investment in ensuring appropriately revised policies, tracking and reporting systems, and internal control mechanisms is whether RSA monitoring has recently occurred or is soon to occur.</w:t>
      </w:r>
      <w:bookmarkEnd w:id="67"/>
      <w:r>
        <w:rPr>
          <w:szCs w:val="14"/>
        </w:rPr>
        <w:t xml:space="preserve">  </w:t>
      </w:r>
    </w:p>
    <w:p w14:paraId="34E32BF4" w14:textId="3C8DE4E7" w:rsidR="000B1991" w:rsidRDefault="000B1991" w:rsidP="000B1991">
      <w:pPr>
        <w:tabs>
          <w:tab w:val="left" w:pos="360"/>
        </w:tabs>
        <w:rPr>
          <w:szCs w:val="14"/>
        </w:rPr>
      </w:pPr>
      <w:r>
        <w:rPr>
          <w:szCs w:val="14"/>
        </w:rPr>
        <w:t>Next in this dashboard for activities and outputs are “thermometer charts” representing progress broken out by specific activities and linked outputs side-by-side.  For the most part, we see a one-to-one correspondence between the rate of completion for an activity and its associated output, but in a few cases, we see fewer completed outputs than activities.  This is true for activities two and five to a slight degree – activities which represent developing policies and agreements and may be delayed due to engagement of multiple parties inside and outside the agency, such as partner organizations or agency and state leadership.</w:t>
      </w:r>
    </w:p>
    <w:p w14:paraId="0A19FD6B" w14:textId="5EAA0BA7" w:rsidR="000B1991" w:rsidRDefault="000B1991" w:rsidP="000B1991">
      <w:pPr>
        <w:tabs>
          <w:tab w:val="left" w:pos="360"/>
        </w:tabs>
        <w:rPr>
          <w:szCs w:val="14"/>
        </w:rPr>
      </w:pPr>
      <w:r>
        <w:rPr>
          <w:szCs w:val="14"/>
        </w:rPr>
        <w:t xml:space="preserve">These “thermometer” charts overall demonstrate the success of the Pre-ETS team in making significant headway with most of their activities and outputs.  These include activities related to reviewing existing policies and procedures related to tracking and reporting expenses, reviewing past expenditures, training staff on WIOA requirements for Pre-ETS, establishing an RSA-approved model for Pre-ETS spending, and supporting partnerships and agreements with LEAs and SEAs.  </w:t>
      </w:r>
      <w:bookmarkStart w:id="68" w:name="_Hlk41607157"/>
      <w:r>
        <w:rPr>
          <w:szCs w:val="14"/>
        </w:rPr>
        <w:t xml:space="preserve">In the case of this last activity, the TA Team’s collaboration with NTACT to accomplish updated agreements reflected itself in the local systems being changed, with SVRAs and their partner Departments of Education also developing much more collaborative relationships.  </w:t>
      </w:r>
      <w:bookmarkEnd w:id="68"/>
      <w:r>
        <w:rPr>
          <w:szCs w:val="14"/>
        </w:rPr>
        <w:t xml:space="preserve">Activities 2, 4, 9, and “U” (and linked outputs) show the lowest “temperatures,” reflecting slower progress.  Activities 2, 4, and 9 correspond to internal controls and training regarding agency protocols and are activities that must necessarily come after policies are reviewed, revised, and approved.  </w:t>
      </w:r>
    </w:p>
    <w:p w14:paraId="221BBA2E" w14:textId="2F44CFE7" w:rsidR="000B1991" w:rsidRDefault="000B1991" w:rsidP="000B1991">
      <w:pPr>
        <w:tabs>
          <w:tab w:val="left" w:pos="360"/>
        </w:tabs>
        <w:rPr>
          <w:szCs w:val="14"/>
        </w:rPr>
      </w:pPr>
      <w:r>
        <w:rPr>
          <w:rFonts w:cstheme="minorHAnsi"/>
        </w:rPr>
        <w:t>Activity 10 represents the development and dissemination of Explore-Work.com, an online mechanism for providing Pre-ETS service delivery.  With the challenges of transportation and scheduling often present when engaging youth in transition, an online strategy was already identified as being an important avenue.  Since the pandemic, when much of SVRA engagement became virtualized, it has become critical.  This is reflected in metrics regarding its usage; to wit, there were 8, 845 sessions in March of 2019 and 17, 758 in March of 2020.  An increase over the year should have been expected due to increased time for marketing and word-of-mouth; however, the month-to-month statistics also show the increase from 5, 495 sessions in February of 2020.</w:t>
      </w:r>
    </w:p>
    <w:p w14:paraId="1CC2350E" w14:textId="7DE89506" w:rsidR="000B1991" w:rsidRDefault="000B1991" w:rsidP="000B1991">
      <w:pPr>
        <w:tabs>
          <w:tab w:val="left" w:pos="360"/>
        </w:tabs>
        <w:rPr>
          <w:szCs w:val="14"/>
        </w:rPr>
      </w:pPr>
      <w:r>
        <w:rPr>
          <w:szCs w:val="14"/>
        </w:rPr>
        <w:t xml:space="preserve">Activity “U” represents unique activities identified by SVRAs that are not represented in the logic model; there are only 8 of them out of </w:t>
      </w:r>
      <w:r w:rsidR="00CD42D3">
        <w:rPr>
          <w:szCs w:val="14"/>
        </w:rPr>
        <w:t>233</w:t>
      </w:r>
      <w:r>
        <w:rPr>
          <w:szCs w:val="14"/>
        </w:rPr>
        <w:t xml:space="preserve"> activities across all ITAAs.  Half of these are complete.  The lower completion for unique activities may reflect more complex and individualized needs that take longer to accomplish or longer-term goals that must be subordinated to mandates related to Pre-ETS such as provision of services, reporting, and funding allocation.  The low number overall suggests the </w:t>
      </w:r>
      <w:r>
        <w:rPr>
          <w:szCs w:val="14"/>
        </w:rPr>
        <w:lastRenderedPageBreak/>
        <w:t xml:space="preserve">“menu” represented by the logic model is effectively capturing the types of needs SVRAs are likely to have.  </w:t>
      </w:r>
    </w:p>
    <w:p w14:paraId="617A125B" w14:textId="4062F459" w:rsidR="000B1991" w:rsidRDefault="000B1991" w:rsidP="000B1991">
      <w:pPr>
        <w:tabs>
          <w:tab w:val="left" w:pos="360"/>
        </w:tabs>
        <w:rPr>
          <w:szCs w:val="14"/>
        </w:rPr>
      </w:pPr>
      <w:r>
        <w:rPr>
          <w:szCs w:val="14"/>
        </w:rPr>
        <w:t>More recently, the Pre-ETS team had begun to collaborate with the Peer Mentoring team and offer support to SVRAs who were interested in building a model of peer mentoring services that qualified as Pre-ETS expenditures.  The Pre-ETS team added to their already significant workload to support these SVRAs, evaluating procedures and policies for Centers of Independent Living to implement when creating a Peer Mentoring Pre-ETS service and providing training.  Progress is reported in the Peer Mentoring chapter of this report.</w:t>
      </w:r>
    </w:p>
    <w:p w14:paraId="231F16B6" w14:textId="0C189B75" w:rsidR="000B1991" w:rsidRDefault="000B1991" w:rsidP="000B1991">
      <w:pPr>
        <w:tabs>
          <w:tab w:val="left" w:pos="360"/>
        </w:tabs>
        <w:rPr>
          <w:szCs w:val="14"/>
        </w:rPr>
      </w:pPr>
      <w:r>
        <w:rPr>
          <w:szCs w:val="14"/>
        </w:rPr>
        <w:t>Overall, many of these activities and outputs relate directly to systems changes taking place.  New or revised policies and procedures are being created and will drive practices and the model of service delivery for students with disabilities as intended by WIOA.  These “architectural” or infrastructure shifts are likewise driving changes in experiences for students with disabilities which are mid-term outcomes that are to be expected according to the logic model and, according to the theory of change therein represented, should drive the long-term outcomes of increased competitive integrated employment for youth with disabilities.  Next, we present data on those mid-term outcomes that are already being achieved in significant numbers across the ITAA states.</w:t>
      </w:r>
    </w:p>
    <w:p w14:paraId="7AB6FBEF" w14:textId="271088F5" w:rsidR="000B1991" w:rsidRDefault="000B1991" w:rsidP="000B1991">
      <w:pPr>
        <w:tabs>
          <w:tab w:val="left" w:pos="360"/>
        </w:tabs>
      </w:pPr>
      <w:r>
        <w:rPr>
          <w:rFonts w:cstheme="minorHAnsi"/>
          <w:b/>
          <w:bCs/>
          <w:i/>
          <w:iCs/>
          <w:u w:val="single"/>
        </w:rPr>
        <w:t>TA Progress: Outcomes</w:t>
      </w:r>
      <w:r w:rsidRPr="00D43F44">
        <w:rPr>
          <w:rFonts w:cstheme="minorHAnsi"/>
          <w:i/>
          <w:iCs/>
        </w:rPr>
        <w:t>.</w:t>
      </w:r>
      <w:r w:rsidRPr="00AD7B12">
        <w:rPr>
          <w:rFonts w:cstheme="minorHAnsi"/>
        </w:rPr>
        <w:t xml:space="preserve">  </w:t>
      </w:r>
      <w:r>
        <w:rPr>
          <w:rFonts w:cstheme="minorHAnsi"/>
        </w:rPr>
        <w:t xml:space="preserve">The infographic on the outcomes dashboard page provides  “Year 5 Quarter 2 and Year 4 Quarter 4” non-cumulative, quarterly snapshots of students served overall, receiving at least one Pre-ETS service, potentially </w:t>
      </w:r>
      <w:r w:rsidRPr="002F3FDF">
        <w:rPr>
          <w:rFonts w:cstheme="minorHAnsi"/>
        </w:rPr>
        <w:t>eligible for services, and who applied for VR services.  The snapshots for Year 5, Quarter 2 do show larger numbers in each quarter.  The numbers of students with disabilities increased from 114, 577 to 232, 773.  Students receiving at least one Pre-ETS increased by over 20,000 from 56, 005 to 70, 857.  Identification of students with disabilities potentially eligible for Pre-ETS increased from 32, 856 to 45, 851.  And finally, students with disabilities who are potentially eligible and applied for VR services increased from 21, 782 to 25, 006.  Again, these are quarterly snapshots and not cumulative increases, but the larger numbers this quarter demonstrate that SVRAs are continuing and improving their implementation of required Pre-ETS services - continued successful progress of meeting WIOA expectations.  And as noted above</w:t>
      </w:r>
      <w:r>
        <w:rPr>
          <w:rFonts w:cstheme="minorHAnsi"/>
        </w:rPr>
        <w:t xml:space="preserve">, thousands of students are learning through the TA Team’s Explore-Work.com online portal.  </w:t>
      </w:r>
      <w:bookmarkStart w:id="69" w:name="_Hlk41607107"/>
      <w:r>
        <w:rPr>
          <w:rFonts w:cstheme="minorHAnsi"/>
        </w:rPr>
        <w:t>Outcomes related to financial expenditures on Pre-ETS will be updated as part of the annual report.  Outcomes for underserved populations are not available in terms of specific numbers, but the TA Team notes that SVRAs report having greater difficulty reaching rural populations, youth with the most significant disabilities, youth in foster care, or who are homeless, or who live in poverty.</w:t>
      </w:r>
      <w:bookmarkEnd w:id="69"/>
    </w:p>
    <w:p w14:paraId="58EC0C63" w14:textId="7372F306" w:rsidR="000B1991" w:rsidRDefault="000B1991" w:rsidP="000B1991">
      <w:pPr>
        <w:tabs>
          <w:tab w:val="left" w:pos="360"/>
        </w:tabs>
      </w:pPr>
      <w:r w:rsidRPr="00743A56">
        <w:rPr>
          <w:b/>
          <w:bCs/>
          <w:i/>
          <w:iCs/>
          <w:u w:val="single"/>
        </w:rPr>
        <w:t>Covid-19 Impacts.</w:t>
      </w:r>
      <w:r w:rsidRPr="002806E0">
        <w:t xml:space="preserve">  </w:t>
      </w:r>
      <w:r>
        <w:t>The Pre-ETS TA Team supported the development of new resources to address needs faced by the community due to the current pandemic.  They compiled significant general resources related to Covid-19 and distance service delivery, monitored and provided guidance under the forum dedicated to Pre-ETS specifically, increased support for the Explore-Work.com portal which saw a significant increase in users and required a new server to handle the traffic, and supported the enhanced need for real-time webinars also seeing increased traffic.  Incoming evidence suggests this trend will continue through Quarter Three.</w:t>
      </w:r>
    </w:p>
    <w:p w14:paraId="72A428E0" w14:textId="1BE21149" w:rsidR="000B1991" w:rsidRPr="00FE6AF7" w:rsidRDefault="000B1991" w:rsidP="000B1991">
      <w:pPr>
        <w:tabs>
          <w:tab w:val="left" w:pos="360"/>
        </w:tabs>
      </w:pPr>
      <w:r>
        <w:rPr>
          <w:b/>
          <w:bCs/>
          <w:i/>
          <w:iCs/>
          <w:u w:val="single"/>
        </w:rPr>
        <w:t>Sustainability.</w:t>
      </w:r>
      <w:r>
        <w:t xml:space="preserve">  As the Pre-ETS Team reflects with SVRAs on the implementation of changes and how to sustain them, concerns have been raised that models of service delivery for youth with disabilities may need to be recalibrated and redesigned to be less costly and to ensure resources remain </w:t>
      </w:r>
      <w:r>
        <w:lastRenderedPageBreak/>
        <w:t>available to provide services to adults with disabilities.  In some cases, SVRAs are starting over with their models, necessitating additional TA from the Pre-ETS TA Team regarding policies, procedures, agreements with LEAs/SEAs, and staff training.</w:t>
      </w:r>
    </w:p>
    <w:p w14:paraId="33ACD96E" w14:textId="1EC0FD55" w:rsidR="00847FF6" w:rsidRPr="00FA65C8" w:rsidRDefault="00D476C1" w:rsidP="000B1991">
      <w:pPr>
        <w:tabs>
          <w:tab w:val="left" w:pos="360"/>
        </w:tabs>
        <w:rPr>
          <w:rFonts w:cstheme="minorHAnsi"/>
          <w:b/>
          <w:bCs/>
          <w:i/>
          <w:iCs/>
          <w:color w:val="C00000"/>
        </w:rPr>
      </w:pPr>
      <w:r w:rsidRPr="00FA65C8">
        <w:rPr>
          <w:rFonts w:cstheme="minorHAnsi"/>
          <w:b/>
          <w:bCs/>
          <w:i/>
          <w:iCs/>
          <w:color w:val="C00000"/>
        </w:rPr>
        <w:t>“</w:t>
      </w:r>
      <w:r w:rsidR="008915B6" w:rsidRPr="00FA65C8">
        <w:rPr>
          <w:rFonts w:cstheme="minorHAnsi"/>
          <w:b/>
          <w:bCs/>
          <w:i/>
          <w:iCs/>
          <w:color w:val="C00000"/>
        </w:rPr>
        <w:t>Challenges</w:t>
      </w:r>
      <w:r w:rsidRPr="00FA65C8">
        <w:rPr>
          <w:rFonts w:cstheme="minorHAnsi"/>
          <w:b/>
          <w:bCs/>
          <w:i/>
          <w:iCs/>
          <w:color w:val="C00000"/>
        </w:rPr>
        <w:t xml:space="preserve"> Overcome</w:t>
      </w:r>
      <w:r w:rsidR="008915B6" w:rsidRPr="00FA65C8">
        <w:rPr>
          <w:rFonts w:cstheme="minorHAnsi"/>
          <w:b/>
          <w:bCs/>
          <w:i/>
          <w:iCs/>
          <w:color w:val="C00000"/>
        </w:rPr>
        <w:t>,</w:t>
      </w:r>
      <w:r w:rsidRPr="00FA65C8">
        <w:rPr>
          <w:rFonts w:cstheme="minorHAnsi"/>
          <w:b/>
          <w:bCs/>
          <w:i/>
          <w:iCs/>
          <w:color w:val="C00000"/>
        </w:rPr>
        <w:t>”</w:t>
      </w:r>
      <w:r w:rsidR="008915B6" w:rsidRPr="00FA65C8">
        <w:rPr>
          <w:rFonts w:cstheme="minorHAnsi"/>
          <w:b/>
          <w:bCs/>
          <w:i/>
          <w:iCs/>
          <w:color w:val="C00000"/>
        </w:rPr>
        <w:t xml:space="preserve"> </w:t>
      </w:r>
      <w:r w:rsidRPr="00FA65C8">
        <w:rPr>
          <w:rFonts w:cstheme="minorHAnsi"/>
          <w:b/>
          <w:bCs/>
          <w:i/>
          <w:iCs/>
          <w:color w:val="C00000"/>
        </w:rPr>
        <w:t>“</w:t>
      </w:r>
      <w:r w:rsidR="00825B9D" w:rsidRPr="00FA65C8">
        <w:rPr>
          <w:rFonts w:cstheme="minorHAnsi"/>
          <w:b/>
          <w:bCs/>
          <w:i/>
          <w:iCs/>
          <w:color w:val="C00000"/>
        </w:rPr>
        <w:t xml:space="preserve">Changes </w:t>
      </w:r>
      <w:r w:rsidRPr="00FA65C8">
        <w:rPr>
          <w:rFonts w:cstheme="minorHAnsi"/>
          <w:b/>
          <w:bCs/>
          <w:i/>
          <w:iCs/>
          <w:color w:val="C00000"/>
        </w:rPr>
        <w:t>Made</w:t>
      </w:r>
      <w:r w:rsidR="00825B9D" w:rsidRPr="00FA65C8">
        <w:rPr>
          <w:rFonts w:cstheme="minorHAnsi"/>
          <w:b/>
          <w:bCs/>
          <w:i/>
          <w:iCs/>
          <w:color w:val="C00000"/>
        </w:rPr>
        <w:t>,</w:t>
      </w:r>
      <w:r w:rsidRPr="00FA65C8">
        <w:rPr>
          <w:rFonts w:cstheme="minorHAnsi"/>
          <w:b/>
          <w:bCs/>
          <w:i/>
          <w:iCs/>
          <w:color w:val="C00000"/>
        </w:rPr>
        <w:t xml:space="preserve">” </w:t>
      </w:r>
      <w:r w:rsidR="00825B9D" w:rsidRPr="00FA65C8">
        <w:rPr>
          <w:rFonts w:cstheme="minorHAnsi"/>
          <w:b/>
          <w:bCs/>
          <w:i/>
          <w:iCs/>
          <w:color w:val="C00000"/>
        </w:rPr>
        <w:t xml:space="preserve">and </w:t>
      </w:r>
      <w:r w:rsidRPr="00FA65C8">
        <w:rPr>
          <w:rFonts w:cstheme="minorHAnsi"/>
          <w:b/>
          <w:bCs/>
          <w:i/>
          <w:iCs/>
          <w:color w:val="C00000"/>
        </w:rPr>
        <w:t>“</w:t>
      </w:r>
      <w:r w:rsidR="00825B9D" w:rsidRPr="00FA65C8">
        <w:rPr>
          <w:rFonts w:cstheme="minorHAnsi"/>
          <w:b/>
          <w:bCs/>
          <w:i/>
          <w:iCs/>
          <w:color w:val="C00000"/>
        </w:rPr>
        <w:t>Evaluation Recommendations</w:t>
      </w:r>
      <w:r w:rsidRPr="00FA65C8">
        <w:rPr>
          <w:rFonts w:cstheme="minorHAnsi"/>
          <w:b/>
          <w:bCs/>
          <w:i/>
          <w:iCs/>
          <w:color w:val="C00000"/>
        </w:rPr>
        <w:t>”</w:t>
      </w:r>
      <w:r w:rsidR="00825B9D" w:rsidRPr="00FA65C8">
        <w:rPr>
          <w:rFonts w:cstheme="minorHAnsi"/>
          <w:b/>
          <w:bCs/>
          <w:i/>
          <w:iCs/>
          <w:color w:val="C00000"/>
        </w:rPr>
        <w:t xml:space="preserve"> will be updated as part of the </w:t>
      </w:r>
      <w:r w:rsidR="00243527" w:rsidRPr="00FA65C8">
        <w:rPr>
          <w:rFonts w:cstheme="minorHAnsi"/>
          <w:b/>
          <w:bCs/>
          <w:i/>
          <w:iCs/>
          <w:color w:val="C00000"/>
        </w:rPr>
        <w:t>Y</w:t>
      </w:r>
      <w:r w:rsidR="00825B9D" w:rsidRPr="00FA65C8">
        <w:rPr>
          <w:rFonts w:cstheme="minorHAnsi"/>
          <w:b/>
          <w:bCs/>
          <w:i/>
          <w:iCs/>
          <w:color w:val="C00000"/>
        </w:rPr>
        <w:t>ear 5 Annual Evaluation Report.  But important findings presented in the Year 4 Annual Evaluation Report (2 quarters ago) are reproduced below</w:t>
      </w:r>
      <w:r w:rsidR="00A67C73" w:rsidRPr="00FA65C8">
        <w:rPr>
          <w:rFonts w:cstheme="minorHAnsi"/>
          <w:b/>
          <w:bCs/>
          <w:i/>
          <w:iCs/>
          <w:color w:val="C00000"/>
        </w:rPr>
        <w:t xml:space="preserve"> for ease of reference and context as to the significant and valuable work that has been done by the Pre-ETS TA Team.</w:t>
      </w:r>
    </w:p>
    <w:p w14:paraId="412AA1BF" w14:textId="4ABDEAC5" w:rsidR="00123746" w:rsidRDefault="00123746" w:rsidP="00123746">
      <w:pPr>
        <w:tabs>
          <w:tab w:val="left" w:pos="360"/>
        </w:tabs>
        <w:rPr>
          <w:rFonts w:cstheme="minorHAnsi"/>
        </w:rPr>
      </w:pPr>
      <w:r w:rsidRPr="00662F12">
        <w:rPr>
          <w:b/>
          <w:bCs/>
          <w:i/>
          <w:iCs/>
          <w:szCs w:val="14"/>
          <w:u w:val="single"/>
        </w:rPr>
        <w:t>Challenges Overcome.</w:t>
      </w:r>
      <w:r>
        <w:rPr>
          <w:i/>
          <w:iCs/>
          <w:szCs w:val="14"/>
        </w:rPr>
        <w:t xml:space="preserve"> </w:t>
      </w:r>
      <w:r w:rsidRPr="00662F12">
        <w:rPr>
          <w:szCs w:val="14"/>
        </w:rPr>
        <w:t xml:space="preserve"> </w:t>
      </w:r>
      <w:r>
        <w:rPr>
          <w:szCs w:val="14"/>
        </w:rPr>
        <w:t xml:space="preserve">As with much of WIOA, the Pre-ETS area required SVRAs to implement new internal systems for tracking and reporting data related to performance and to provide new types of services.  These requirements meant SVRAs had to implement all new processes, train (and often hire new) staff, originate or renegotiate partnership agreements, and conduct rigorous outreach to newly defined eligible customers.  The Pre-ETS team successfully developed template agreements, processes, materials, and </w:t>
      </w:r>
      <w:r w:rsidRPr="00D43F44">
        <w:rPr>
          <w:rFonts w:cstheme="minorHAnsi"/>
        </w:rPr>
        <w:t>trainings and worked intensively one-on-one with each state to customize the TA approach and templates.  This involved reviewing and revising hundreds of policies</w:t>
      </w:r>
      <w:r>
        <w:rPr>
          <w:rFonts w:cstheme="minorHAnsi"/>
        </w:rPr>
        <w:t xml:space="preserve"> (383)</w:t>
      </w:r>
      <w:r w:rsidRPr="00D43F44">
        <w:rPr>
          <w:rFonts w:cstheme="minorHAnsi"/>
        </w:rPr>
        <w:t xml:space="preserve">, forms, </w:t>
      </w:r>
      <w:r>
        <w:rPr>
          <w:rFonts w:cstheme="minorHAnsi"/>
        </w:rPr>
        <w:t xml:space="preserve"> 152) </w:t>
      </w:r>
      <w:r w:rsidRPr="00D43F44">
        <w:rPr>
          <w:rFonts w:cstheme="minorHAnsi"/>
        </w:rPr>
        <w:t>contracts</w:t>
      </w:r>
      <w:r>
        <w:rPr>
          <w:rFonts w:cstheme="minorHAnsi"/>
        </w:rPr>
        <w:t xml:space="preserve"> (177)</w:t>
      </w:r>
      <w:r w:rsidRPr="00D43F44">
        <w:rPr>
          <w:rFonts w:cstheme="minorHAnsi"/>
        </w:rPr>
        <w:t>, and agreements with partners</w:t>
      </w:r>
      <w:r>
        <w:rPr>
          <w:rFonts w:cstheme="minorHAnsi"/>
        </w:rPr>
        <w:t xml:space="preserve"> (86)</w:t>
      </w:r>
      <w:r w:rsidRPr="00D43F44">
        <w:rPr>
          <w:rFonts w:cstheme="minorHAnsi"/>
        </w:rPr>
        <w:t xml:space="preserve"> and </w:t>
      </w:r>
      <w:r>
        <w:rPr>
          <w:rFonts w:cstheme="minorHAnsi"/>
        </w:rPr>
        <w:t>conducting</w:t>
      </w:r>
      <w:r w:rsidRPr="00D43F44">
        <w:rPr>
          <w:rFonts w:cstheme="minorHAnsi"/>
        </w:rPr>
        <w:t xml:space="preserve"> hundreds of </w:t>
      </w:r>
      <w:r>
        <w:rPr>
          <w:rFonts w:cstheme="minorHAnsi"/>
        </w:rPr>
        <w:t>TA calls (712)</w:t>
      </w:r>
      <w:r w:rsidRPr="00D43F44">
        <w:rPr>
          <w:rFonts w:cstheme="minorHAnsi"/>
        </w:rPr>
        <w:t>, site visits</w:t>
      </w:r>
      <w:r>
        <w:rPr>
          <w:rFonts w:cstheme="minorHAnsi"/>
        </w:rPr>
        <w:t xml:space="preserve"> (83)</w:t>
      </w:r>
      <w:r w:rsidRPr="00D43F44">
        <w:rPr>
          <w:rFonts w:cstheme="minorHAnsi"/>
        </w:rPr>
        <w:t>, and answering individual questions from SVRAs</w:t>
      </w:r>
      <w:r>
        <w:rPr>
          <w:rFonts w:cstheme="minorHAnsi"/>
        </w:rPr>
        <w:t xml:space="preserve"> (565)</w:t>
      </w:r>
      <w:r w:rsidRPr="00D43F44">
        <w:rPr>
          <w:rFonts w:cstheme="minorHAnsi"/>
        </w:rPr>
        <w:t xml:space="preserve"> – both targeted and intensive states.  </w:t>
      </w:r>
    </w:p>
    <w:p w14:paraId="1B8BE1D9" w14:textId="72E46BD1" w:rsidR="00123746" w:rsidRDefault="00123746" w:rsidP="00123746">
      <w:pPr>
        <w:tabs>
          <w:tab w:val="left" w:pos="360"/>
        </w:tabs>
        <w:rPr>
          <w:rFonts w:cstheme="minorHAnsi"/>
        </w:rPr>
      </w:pPr>
      <w:r>
        <w:rPr>
          <w:rFonts w:cstheme="minorHAnsi"/>
        </w:rPr>
        <w:t xml:space="preserve">Other challenges included those common across the VR system nationally: administrative and staff turnover and in many states, significant restructuring of agencies including and up to combining general agencies and agencies for the blind.  In states where agencies were still separate, but both were in need of Pre-ETS assistance, the team was consistently able to overcome long-standing barriers to collaboration and bring parties together to achieve mutual and synergistic benefits to each.  This relationship building in other states could also involve bringing fiscal and data sides of organizations together, or VR and Education or other state parties.  </w:t>
      </w:r>
    </w:p>
    <w:p w14:paraId="606403EB" w14:textId="4009327A" w:rsidR="00123746" w:rsidRDefault="00123746" w:rsidP="00123746">
      <w:pPr>
        <w:tabs>
          <w:tab w:val="left" w:pos="360"/>
        </w:tabs>
        <w:rPr>
          <w:rFonts w:cstheme="minorHAnsi"/>
        </w:rPr>
      </w:pPr>
      <w:r>
        <w:rPr>
          <w:rFonts w:cstheme="minorHAnsi"/>
        </w:rPr>
        <w:t xml:space="preserve">Island territories were affected by hurricanes which impacted their progress and compounded other particularized challenges they face such as general lack of resources and employment opportunities in their remote locations and/or language barriers when interpreting federal guidance.  And, across many states, antiquated or inadequate case management systems were not able to track data as required and needed significant updating or complete shifts to new systems.  Handling these challenges required significant, intense, and highly customized and specialized TA by the Pre-ETS team, often outside the specific areas articulated in the ITAAs.  </w:t>
      </w:r>
    </w:p>
    <w:p w14:paraId="60FF2394" w14:textId="3BE24E68" w:rsidR="00123746" w:rsidRDefault="00D476C1" w:rsidP="00123746">
      <w:pPr>
        <w:tabs>
          <w:tab w:val="left" w:pos="360"/>
        </w:tabs>
        <w:rPr>
          <w:rFonts w:cstheme="minorHAnsi"/>
        </w:rPr>
      </w:pPr>
      <w:r>
        <w:rPr>
          <w:rFonts w:cstheme="minorHAnsi"/>
          <w:b/>
          <w:bCs/>
          <w:i/>
          <w:iCs/>
          <w:u w:val="single"/>
        </w:rPr>
        <w:t>Changes Made</w:t>
      </w:r>
      <w:r w:rsidR="00123746" w:rsidRPr="00D43F44">
        <w:rPr>
          <w:rFonts w:cstheme="minorHAnsi"/>
          <w:i/>
          <w:iCs/>
        </w:rPr>
        <w:t>.</w:t>
      </w:r>
      <w:r w:rsidR="00123746" w:rsidRPr="00AD7B12">
        <w:rPr>
          <w:rFonts w:cstheme="minorHAnsi"/>
        </w:rPr>
        <w:t xml:space="preserve">  </w:t>
      </w:r>
      <w:r w:rsidR="00123746">
        <w:rPr>
          <w:rFonts w:cstheme="minorHAnsi"/>
        </w:rPr>
        <w:t xml:space="preserve">The assistance of the Pre-ETS team has systemically changed youth services through intensive work with 36 SVRAs and targeted assistance to 37 other SVRAs.  Dedicated funds are being spent on specific, qualifying training and services for eligible youth as they transition between secondary and post-secondary life and begin education and career shifts that will set them on a path to success.  Collaborations with state and local education agencies are being originated and/or revised substantially to ensure definition and separation of roles and responsibilities and accurate tracking of expenses.  In some cases interagency council meetings and data sharing agreements that include Education and VR are being established as well, ensuring ongoing partnership and collaborations over time.  These developments are systems changes which directly impact SVRA customers – in this case, students with disabilities.  The infographic on the outcomes dashboard page provides a quarter four snapshot of students served overall, receiving at least one Pre-ETS service, potentially eligible for </w:t>
      </w:r>
      <w:r w:rsidR="00123746">
        <w:rPr>
          <w:rFonts w:cstheme="minorHAnsi"/>
        </w:rPr>
        <w:lastRenderedPageBreak/>
        <w:t>services, and who applied for VR services.  Although the numbers are impressive, they currently lack context in terms of change over time and percentage of students overall.</w:t>
      </w:r>
    </w:p>
    <w:p w14:paraId="3704D5AF" w14:textId="73E6CEAF" w:rsidR="00123746" w:rsidRDefault="00123746" w:rsidP="00123746">
      <w:pPr>
        <w:tabs>
          <w:tab w:val="left" w:pos="360"/>
        </w:tabs>
        <w:rPr>
          <w:rFonts w:cstheme="minorHAnsi"/>
        </w:rPr>
      </w:pPr>
      <w:r w:rsidRPr="00D43F44">
        <w:rPr>
          <w:rFonts w:cstheme="minorHAnsi"/>
        </w:rPr>
        <w:t>Because of requirements</w:t>
      </w:r>
      <w:r>
        <w:rPr>
          <w:rFonts w:cstheme="minorHAnsi"/>
        </w:rPr>
        <w:t xml:space="preserve"> to</w:t>
      </w:r>
      <w:r w:rsidRPr="00D43F44">
        <w:rPr>
          <w:rFonts w:cstheme="minorHAnsi"/>
        </w:rPr>
        <w:t xml:space="preserve"> track spending on new Pre-ETS services and</w:t>
      </w:r>
      <w:r>
        <w:rPr>
          <w:rFonts w:cstheme="minorHAnsi"/>
        </w:rPr>
        <w:t xml:space="preserve"> the numbers of</w:t>
      </w:r>
      <w:r w:rsidRPr="00D43F44">
        <w:rPr>
          <w:rFonts w:cstheme="minorHAnsi"/>
        </w:rPr>
        <w:t xml:space="preserve"> students served and potentially eligible for services, fiscal analyses of cost for services or per student, and return-on-investment/cost-benefit analyses are possible.  As all states move towards improved and accurate </w:t>
      </w:r>
      <w:r>
        <w:rPr>
          <w:rFonts w:cstheme="minorHAnsi"/>
        </w:rPr>
        <w:t>spending and reporting</w:t>
      </w:r>
      <w:r w:rsidRPr="00D43F44">
        <w:rPr>
          <w:rFonts w:cstheme="minorHAnsi"/>
        </w:rPr>
        <w:t xml:space="preserve"> and students complete transitions after receiving services, these enhanced analyses will make clear the full extent of impact locally and any national trends. </w:t>
      </w:r>
      <w:r>
        <w:rPr>
          <w:rFonts w:cstheme="minorHAnsi"/>
        </w:rPr>
        <w:t>Some agencies have already begun to work with the CPM team to understand how to make connections between services agencies are providing and outcomes they are reporting.</w:t>
      </w:r>
    </w:p>
    <w:p w14:paraId="72A309E5" w14:textId="789406C8" w:rsidR="00123746" w:rsidRPr="00220867" w:rsidRDefault="00123746" w:rsidP="00220867">
      <w:pPr>
        <w:tabs>
          <w:tab w:val="left" w:pos="360"/>
        </w:tabs>
        <w:spacing w:after="360"/>
      </w:pPr>
      <w:r>
        <w:rPr>
          <w:rFonts w:cstheme="minorHAnsi"/>
        </w:rPr>
        <w:t>Impacts have been made systemically to support the interpretation and application of Pre-ETS by the TA Team in collaboration with RSA as the Team works with states to implement mandates and contradictory or unexpected obstacles are encountered.  The subject matter expertise of the TA Team and their ability to understand ground-level details and its connection to tree-top level regulatory intent is considerable and directly meaningful:  “</w:t>
      </w:r>
      <w:r w:rsidRPr="00D67AB1">
        <w:rPr>
          <w:i/>
          <w:iCs/>
        </w:rPr>
        <w:t xml:space="preserve">Upon completion of the review, RSA provided additional guidance that clarified the importance of how states project funds remaining for authorized, their supporting documentation for showing how they are making the services available to swd who need them, and that this was not a fiscal forecast but a “set-aside determination”. With this additional clarifying guidance from RSA, the Pre-ETS team worked very closely with NC regarding changes in determining which students needed Pre-ETS services, and recommended North Carolina strengthen their written processes to reflect how they will reasonably identify the number of students with disabilities that either want, need, or are already receiving the required Pre-ETS services, so that they can then move from required to authorized activities, if they have funds remaining. As a result of this guidance, </w:t>
      </w:r>
      <w:r w:rsidRPr="00D67AB1">
        <w:rPr>
          <w:b/>
          <w:bCs/>
          <w:i/>
          <w:iCs/>
          <w:u w:val="single"/>
        </w:rPr>
        <w:t>the WINTAC Pre-ETS team also worked with RSA to issue clarifying guidance for all states regarding this type of methodology; and began working diligently with NC to review and revise their existing methodology</w:t>
      </w:r>
      <w:r w:rsidRPr="00D67AB1">
        <w:rPr>
          <w:i/>
          <w:iCs/>
        </w:rPr>
        <w:t xml:space="preserve">. Since it is much easier for the blind agency to get to the authorized, it is conceivable that the blind agency might be able to get to the authorized however the general agency may not be able to when using a combined forecast in looking at the cost per student. Therefore, </w:t>
      </w:r>
      <w:r w:rsidRPr="00D67AB1">
        <w:rPr>
          <w:b/>
          <w:bCs/>
          <w:i/>
          <w:iCs/>
          <w:u w:val="single"/>
        </w:rPr>
        <w:t>we recommended considering developing two separate set aside determinations, and the Pre-ETS team suggested once finalized they then submit to their RSA liaison for review</w:t>
      </w:r>
      <w:r w:rsidRPr="00D67AB1">
        <w:rPr>
          <w:i/>
          <w:iCs/>
        </w:rPr>
        <w:t>. This was a very intensive and impactful activity.</w:t>
      </w:r>
      <w:r>
        <w:rPr>
          <w:i/>
          <w:iCs/>
        </w:rPr>
        <w:t>”</w:t>
      </w:r>
      <w:r>
        <w:t xml:space="preserve"> </w:t>
      </w:r>
    </w:p>
    <w:p w14:paraId="73BF8B14" w14:textId="61D5268F" w:rsidR="00123746" w:rsidRDefault="00123746" w:rsidP="00123746">
      <w:pPr>
        <w:tabs>
          <w:tab w:val="left" w:pos="360"/>
        </w:tabs>
        <w:rPr>
          <w:rFonts w:cstheme="minorHAnsi"/>
        </w:rPr>
      </w:pPr>
      <w:r w:rsidRPr="00AD2F4E">
        <w:rPr>
          <w:rFonts w:cstheme="minorHAnsi"/>
          <w:b/>
          <w:bCs/>
          <w:i/>
          <w:iCs/>
          <w:u w:val="single"/>
        </w:rPr>
        <w:t>Evaluation Recommendations.</w:t>
      </w:r>
      <w:r w:rsidRPr="00AD2F4E">
        <w:rPr>
          <w:rFonts w:cstheme="minorHAnsi"/>
        </w:rPr>
        <w:t xml:space="preserve">  </w:t>
      </w:r>
      <w:r>
        <w:rPr>
          <w:rFonts w:cstheme="minorHAnsi"/>
        </w:rPr>
        <w:t xml:space="preserve">As seen in the dashboards, the Pre-ETS team has made considerable progress in initiating and completing key activities to ensure agencies come into compliance with the Pre-ETS related mandates of WIOA.  State VR agencies are serving students, tracking and reporting expenses, and collaborating with Departments of Education to eliminate gaps in service and reach all students.  As we move into Year 5, the data being provided by states will benefit from context.  In terms of students served in various reported categories (e.g., receiving at least one Pre-ETS, potentially eligible, applying for services), total numbers and trends over time will facilitate understanding the significant changes taking place.  In terms of dollars expended, understanding the increase over time relative to states without ITAs (or even targeted TA interaction) in addition to as a function of the state’s overall budget, expenditures, and population of youth with disabilities will also provide needed context.  As noted earlier, further analyses can also break down cost per student and cost per outcome with continued effective tracking of costs and sharing of data.  In some cases, it seems </w:t>
      </w:r>
      <w:r>
        <w:rPr>
          <w:rFonts w:cstheme="minorHAnsi"/>
        </w:rPr>
        <w:lastRenderedPageBreak/>
        <w:t xml:space="preserve">the TA Team is able to access this information and presents it in narratives.  The TA Team has identified the potential in additional data collection as time proceeds and further outcomes will become evident, including for example measurable skills gains, credential attainment, CIE outcomes – and we agree!  One challenge sometimes noted is that case management systems or agencies are not set up to collect this data.  As it relates specifically to the intended impact of WIOA and Pre-ETS mandates, it is of national interest to consistently have agencies track and report this data.  Similarly, it is noted that some youth being served are of age ranges or in categories of service that do not fall into that which requires reporting.  Therefore, their long-term trajectories may not always be considered or “counted” unless they continue in services.  It would be worthwhile to expand tracking those receiving all services to understand impacts comprehensively.  </w:t>
      </w:r>
    </w:p>
    <w:p w14:paraId="09407E94" w14:textId="49351830" w:rsidR="003B6DE1" w:rsidRDefault="00123746" w:rsidP="005466F3">
      <w:pPr>
        <w:tabs>
          <w:tab w:val="left" w:pos="360"/>
        </w:tabs>
        <w:rPr>
          <w:rFonts w:cstheme="minorHAnsi"/>
          <w:i/>
          <w:iCs/>
        </w:rPr>
      </w:pPr>
      <w:r>
        <w:rPr>
          <w:rFonts w:cstheme="minorHAnsi"/>
        </w:rPr>
        <w:t xml:space="preserve">In addition to contextualizing the services provided and their costs based on expenditures, the systems changes and impacts can continue to be explored.  What are the types of Pre-ETS services being provided by the states across the nation?  Are these services effectively reaching underserved populations?  What are the barriers to outreach and services and what promising or innovative approaches are agencies using to remove those barriers?  What services or characteristics predict ongoing student engagement with VR and application for services?  And fundamentally, as time passes: what are the outcomes of students receiving Pre-ETS?  In some states, the TA Team noted that as more students receive services, more and more funds are expended and less may be available for adult services – nationally, this should be examined.  This challenge was noted thusly in one case: </w:t>
      </w:r>
      <w:r w:rsidRPr="00B30162">
        <w:rPr>
          <w:rFonts w:cstheme="minorHAnsi"/>
          <w:i/>
          <w:iCs/>
        </w:rPr>
        <w:t>“Right now, they are spending more than their 15% and are looking at how they may be able to take another look at how they are making pre-ets available to ensure that the model they are using is sustainable to their program.  They have been operating under an OOS for more than 20 years and with the reservation requirement, their wait list continues to grow.  As they continue to serve more students every year, their expenditures for pre-ets continues to grow.  They are concerned that there are less resources for adults with disabilities as a result.  Since you cannot limit access to potentially eligible students for pre-ets once you expend the 15%, there is no way to ensure sufficient funds are available to all other eligible individuals to be served.”</w:t>
      </w:r>
    </w:p>
    <w:p w14:paraId="5D4FC546" w14:textId="77777777" w:rsidR="00005F61" w:rsidRDefault="00005F61" w:rsidP="005466F3">
      <w:pPr>
        <w:tabs>
          <w:tab w:val="left" w:pos="360"/>
        </w:tabs>
        <w:rPr>
          <w:rFonts w:cstheme="minorHAnsi"/>
        </w:rPr>
        <w:sectPr w:rsidR="00005F61" w:rsidSect="0042504C">
          <w:headerReference w:type="even" r:id="rId92"/>
          <w:headerReference w:type="default" r:id="rId93"/>
          <w:footerReference w:type="even" r:id="rId94"/>
          <w:footerReference w:type="default" r:id="rId95"/>
          <w:headerReference w:type="first" r:id="rId96"/>
          <w:footerReference w:type="first" r:id="rId97"/>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docGrid w:linePitch="360"/>
        </w:sectPr>
      </w:pPr>
    </w:p>
    <w:p w14:paraId="4D256208" w14:textId="1B2DF896" w:rsidR="00611D28" w:rsidRPr="00AE2C22" w:rsidRDefault="00611D28" w:rsidP="00611D28">
      <w:pPr>
        <w:pStyle w:val="Heading1"/>
      </w:pPr>
      <w:bookmarkStart w:id="70" w:name="_Toc41940214"/>
      <w:r>
        <w:lastRenderedPageBreak/>
        <w:t>B</w:t>
      </w:r>
      <w:r w:rsidRPr="009E708E">
        <w:t xml:space="preserve">. </w:t>
      </w:r>
      <w:r>
        <w:t>Section 511</w:t>
      </w:r>
      <w:bookmarkEnd w:id="70"/>
      <w:r>
        <w:t xml:space="preserve"> </w:t>
      </w:r>
    </w:p>
    <w:p w14:paraId="2E2EA1CD" w14:textId="77777777" w:rsidR="00611D28" w:rsidRDefault="00611D28" w:rsidP="00611D28">
      <w:pPr>
        <w:rPr>
          <w:noProof/>
        </w:rPr>
      </w:pPr>
    </w:p>
    <w:p w14:paraId="4E020798" w14:textId="77777777" w:rsidR="00611D28" w:rsidRDefault="00611D28" w:rsidP="00611D28">
      <w:pPr>
        <w:ind w:hanging="360"/>
      </w:pPr>
      <w:r>
        <w:rPr>
          <w:noProof/>
          <w:lang w:eastAsia="ko-KR"/>
        </w:rPr>
        <w:drawing>
          <wp:inline distT="0" distB="0" distL="0" distR="0" wp14:anchorId="5DD78657" wp14:editId="304993C5">
            <wp:extent cx="5924550" cy="4305300"/>
            <wp:effectExtent l="0" t="0" r="0" b="0"/>
            <wp:docPr id="6" name="Picture 6" descr="Map of the United States depicting states with ITAAs covering Section 511, which include: AK, AZ, CA, ID,  IL,  LA,  MN,  MS, N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5924550" cy="4305300"/>
                    </a:xfrm>
                    <a:prstGeom prst="rect">
                      <a:avLst/>
                    </a:prstGeom>
                    <a:noFill/>
                    <a:ln>
                      <a:noFill/>
                    </a:ln>
                  </pic:spPr>
                </pic:pic>
              </a:graphicData>
            </a:graphic>
          </wp:inline>
        </w:drawing>
      </w:r>
    </w:p>
    <w:p w14:paraId="3EEA2F0E" w14:textId="77777777" w:rsidR="00611D28" w:rsidRDefault="00611D28" w:rsidP="00611D28"/>
    <w:p w14:paraId="391C07F3" w14:textId="77777777" w:rsidR="00611D28" w:rsidRDefault="00611D28" w:rsidP="00611D28">
      <w:pPr>
        <w:sectPr w:rsidR="00611D28" w:rsidSect="00EC24EB">
          <w:footerReference w:type="default" r:id="rId99"/>
          <w:pgSz w:w="12240" w:h="15840" w:code="1"/>
          <w:pgMar w:top="1440" w:right="1440" w:bottom="1440" w:left="162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cols w:space="720"/>
          <w:vAlign w:val="center"/>
          <w:docGrid w:linePitch="360"/>
        </w:sectPr>
      </w:pPr>
    </w:p>
    <w:p w14:paraId="0369C348" w14:textId="77777777" w:rsidR="00611D28" w:rsidRPr="00611D28" w:rsidRDefault="00611D28" w:rsidP="00611D28">
      <w:pPr>
        <w:pStyle w:val="Heading2"/>
        <w:shd w:val="clear" w:color="auto" w:fill="B4C6E7" w:themeFill="accent1" w:themeFillTint="66"/>
      </w:pPr>
      <w:bookmarkStart w:id="71" w:name="_Toc41940215"/>
      <w:r w:rsidRPr="00611D28">
        <w:lastRenderedPageBreak/>
        <w:t>Section 511 – ITA Logic Model</w:t>
      </w:r>
      <w:bookmarkEnd w:id="71"/>
    </w:p>
    <w:tbl>
      <w:tblPr>
        <w:tblW w:w="5000" w:type="pct"/>
        <w:tblLook w:val="04A0" w:firstRow="1" w:lastRow="0" w:firstColumn="1" w:lastColumn="0" w:noHBand="0" w:noVBand="1"/>
      </w:tblPr>
      <w:tblGrid>
        <w:gridCol w:w="5499"/>
        <w:gridCol w:w="5291"/>
      </w:tblGrid>
      <w:tr w:rsidR="00611D28" w:rsidRPr="00206792" w14:paraId="25AE3727" w14:textId="77777777" w:rsidTr="00611D28">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B755802" w14:textId="77777777" w:rsidR="00611D28" w:rsidRPr="00206792" w:rsidRDefault="00611D28" w:rsidP="00611D28">
            <w:pPr>
              <w:spacing w:after="0" w:line="240" w:lineRule="auto"/>
              <w:jc w:val="center"/>
              <w:rPr>
                <w:b/>
                <w:bCs/>
                <w:color w:val="000000"/>
              </w:rPr>
            </w:pPr>
            <w:r w:rsidRPr="00206792">
              <w:rPr>
                <w:b/>
                <w:bCs/>
                <w:color w:val="000000"/>
              </w:rPr>
              <w:t>Activity</w:t>
            </w:r>
          </w:p>
        </w:tc>
        <w:tc>
          <w:tcPr>
            <w:tcW w:w="2452"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2FBDF6B4" w14:textId="77777777" w:rsidR="00611D28" w:rsidRPr="00206792" w:rsidRDefault="00611D28" w:rsidP="00611D28">
            <w:pPr>
              <w:spacing w:after="0" w:line="240" w:lineRule="auto"/>
              <w:jc w:val="center"/>
              <w:rPr>
                <w:b/>
                <w:bCs/>
                <w:color w:val="000000"/>
              </w:rPr>
            </w:pPr>
            <w:r w:rsidRPr="00206792">
              <w:rPr>
                <w:b/>
                <w:bCs/>
                <w:color w:val="000000"/>
              </w:rPr>
              <w:t>Output</w:t>
            </w:r>
          </w:p>
        </w:tc>
      </w:tr>
      <w:tr w:rsidR="00611D28" w:rsidRPr="00206792" w14:paraId="053809C6" w14:textId="77777777" w:rsidTr="00611D28">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27868BE4" w14:textId="77777777" w:rsidR="00611D28" w:rsidRPr="00206792" w:rsidRDefault="00611D28" w:rsidP="00C575C8">
            <w:pPr>
              <w:pStyle w:val="ListParagraph"/>
              <w:numPr>
                <w:ilvl w:val="0"/>
                <w:numId w:val="21"/>
              </w:numPr>
              <w:spacing w:after="0" w:line="240" w:lineRule="exact"/>
            </w:pPr>
            <w:r w:rsidRPr="00206792">
              <w:t>Identify the number of individuals employed in subminimum wage employment (SMW) by employer or CRP in the State.</w:t>
            </w:r>
          </w:p>
        </w:tc>
        <w:tc>
          <w:tcPr>
            <w:tcW w:w="2452" w:type="pct"/>
            <w:tcBorders>
              <w:top w:val="nil"/>
              <w:left w:val="nil"/>
              <w:bottom w:val="single" w:sz="4" w:space="0" w:color="000000"/>
              <w:right w:val="single" w:sz="4" w:space="0" w:color="000000"/>
            </w:tcBorders>
            <w:shd w:val="clear" w:color="auto" w:fill="auto"/>
            <w:vAlign w:val="center"/>
            <w:hideMark/>
          </w:tcPr>
          <w:p w14:paraId="6FB1708F" w14:textId="77777777" w:rsidR="00611D28" w:rsidRPr="00206792" w:rsidRDefault="00611D28" w:rsidP="00C575C8">
            <w:pPr>
              <w:pStyle w:val="ListParagraph"/>
              <w:numPr>
                <w:ilvl w:val="0"/>
                <w:numId w:val="22"/>
              </w:numPr>
              <w:spacing w:after="0" w:line="240" w:lineRule="exact"/>
              <w:ind w:left="331" w:hanging="331"/>
            </w:pPr>
            <w:r w:rsidRPr="00206792">
              <w:t>A complete list of individuals working in a given State by CRP.</w:t>
            </w:r>
          </w:p>
        </w:tc>
      </w:tr>
      <w:tr w:rsidR="00611D28" w:rsidRPr="00206792" w14:paraId="632A7D19" w14:textId="77777777" w:rsidTr="00611D28">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51DBB317" w14:textId="77777777" w:rsidR="00611D28" w:rsidRPr="00206792" w:rsidRDefault="00611D28" w:rsidP="00C575C8">
            <w:pPr>
              <w:pStyle w:val="ListParagraph"/>
              <w:numPr>
                <w:ilvl w:val="0"/>
                <w:numId w:val="21"/>
              </w:numPr>
              <w:spacing w:after="0" w:line="240" w:lineRule="exact"/>
            </w:pPr>
            <w:r w:rsidRPr="00206792">
              <w:t>Assist the VR program to understand their responsibilities  under Section 511.</w:t>
            </w:r>
          </w:p>
        </w:tc>
        <w:tc>
          <w:tcPr>
            <w:tcW w:w="2452" w:type="pct"/>
            <w:tcBorders>
              <w:top w:val="nil"/>
              <w:left w:val="nil"/>
              <w:bottom w:val="single" w:sz="4" w:space="0" w:color="000000"/>
              <w:right w:val="single" w:sz="4" w:space="0" w:color="000000"/>
            </w:tcBorders>
            <w:shd w:val="clear" w:color="auto" w:fill="auto"/>
            <w:vAlign w:val="center"/>
            <w:hideMark/>
          </w:tcPr>
          <w:p w14:paraId="7472621A" w14:textId="77777777" w:rsidR="00611D28" w:rsidRPr="00206792" w:rsidRDefault="00611D28" w:rsidP="00C575C8">
            <w:pPr>
              <w:pStyle w:val="ListParagraph"/>
              <w:numPr>
                <w:ilvl w:val="0"/>
                <w:numId w:val="22"/>
              </w:numPr>
              <w:spacing w:after="0" w:line="240" w:lineRule="exact"/>
              <w:ind w:left="340"/>
            </w:pPr>
            <w:r w:rsidRPr="00206792">
              <w:t>A strategic plan to identify an effective and efficient response to Section 511.</w:t>
            </w:r>
          </w:p>
        </w:tc>
      </w:tr>
      <w:tr w:rsidR="00611D28" w:rsidRPr="00206792" w14:paraId="75B12CD6" w14:textId="77777777" w:rsidTr="00611D28">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700E1972" w14:textId="77777777" w:rsidR="00611D28" w:rsidRPr="00206792" w:rsidRDefault="00611D28" w:rsidP="00C575C8">
            <w:pPr>
              <w:pStyle w:val="ListParagraph"/>
              <w:numPr>
                <w:ilvl w:val="0"/>
                <w:numId w:val="21"/>
              </w:numPr>
              <w:spacing w:after="0" w:line="240" w:lineRule="exact"/>
            </w:pPr>
            <w:r w:rsidRPr="00206792">
              <w:t>Assist the VR program to understand their responsibilities to youth prior to them entering into SMW.</w:t>
            </w:r>
          </w:p>
        </w:tc>
        <w:tc>
          <w:tcPr>
            <w:tcW w:w="2452" w:type="pct"/>
            <w:tcBorders>
              <w:top w:val="nil"/>
              <w:left w:val="nil"/>
              <w:bottom w:val="single" w:sz="4" w:space="0" w:color="000000"/>
              <w:right w:val="single" w:sz="4" w:space="0" w:color="000000"/>
            </w:tcBorders>
            <w:shd w:val="clear" w:color="auto" w:fill="auto"/>
            <w:vAlign w:val="center"/>
            <w:hideMark/>
          </w:tcPr>
          <w:p w14:paraId="67F323CC" w14:textId="77777777" w:rsidR="00611D28" w:rsidRPr="00206792" w:rsidRDefault="00611D28" w:rsidP="00C575C8">
            <w:pPr>
              <w:pStyle w:val="ListParagraph"/>
              <w:numPr>
                <w:ilvl w:val="0"/>
                <w:numId w:val="22"/>
              </w:numPr>
              <w:spacing w:after="0" w:line="240" w:lineRule="exact"/>
              <w:ind w:left="340"/>
            </w:pPr>
            <w:r w:rsidRPr="00206792">
              <w:t>Number of youth receiving required services, information and documentation prior to entering SMW.</w:t>
            </w:r>
          </w:p>
        </w:tc>
      </w:tr>
      <w:tr w:rsidR="00611D28" w:rsidRPr="00206792" w14:paraId="6B98DCDA" w14:textId="77777777" w:rsidTr="00611D28">
        <w:trPr>
          <w:trHeight w:val="20"/>
        </w:trPr>
        <w:tc>
          <w:tcPr>
            <w:tcW w:w="2548" w:type="pct"/>
            <w:tcBorders>
              <w:top w:val="nil"/>
              <w:left w:val="single" w:sz="4" w:space="0" w:color="000000"/>
              <w:bottom w:val="nil"/>
              <w:right w:val="single" w:sz="4" w:space="0" w:color="000000"/>
            </w:tcBorders>
            <w:shd w:val="clear" w:color="auto" w:fill="auto"/>
            <w:vAlign w:val="center"/>
            <w:hideMark/>
          </w:tcPr>
          <w:p w14:paraId="291204E1" w14:textId="77777777" w:rsidR="00611D28" w:rsidRPr="00206792" w:rsidRDefault="00611D28" w:rsidP="00C575C8">
            <w:pPr>
              <w:pStyle w:val="ListParagraph"/>
              <w:numPr>
                <w:ilvl w:val="0"/>
                <w:numId w:val="21"/>
              </w:numPr>
              <w:spacing w:after="0" w:line="240" w:lineRule="exact"/>
            </w:pPr>
            <w:r w:rsidRPr="00206792">
              <w:t>Assist the VR program to identify ways to provide career counseling, and information and referral to the individuals entering in, or currently in SMW.</w:t>
            </w:r>
          </w:p>
        </w:tc>
        <w:tc>
          <w:tcPr>
            <w:tcW w:w="2452" w:type="pct"/>
            <w:tcBorders>
              <w:top w:val="nil"/>
              <w:left w:val="nil"/>
              <w:bottom w:val="nil"/>
              <w:right w:val="single" w:sz="4" w:space="0" w:color="000000"/>
            </w:tcBorders>
            <w:shd w:val="clear" w:color="auto" w:fill="auto"/>
            <w:vAlign w:val="center"/>
            <w:hideMark/>
          </w:tcPr>
          <w:p w14:paraId="3351FE63" w14:textId="77777777" w:rsidR="00611D28" w:rsidRPr="00206792" w:rsidRDefault="00611D28" w:rsidP="00C575C8">
            <w:pPr>
              <w:pStyle w:val="ListParagraph"/>
              <w:numPr>
                <w:ilvl w:val="0"/>
                <w:numId w:val="22"/>
              </w:numPr>
              <w:spacing w:after="0" w:line="240" w:lineRule="exact"/>
              <w:ind w:left="340"/>
            </w:pPr>
            <w:r w:rsidRPr="00206792">
              <w:t>Percent of individuals entering into, or currently in SMW that receive CC&amp;I&amp;R.</w:t>
            </w:r>
          </w:p>
        </w:tc>
      </w:tr>
      <w:tr w:rsidR="00611D28" w:rsidRPr="00206792" w14:paraId="66BB84F9" w14:textId="77777777" w:rsidTr="00611D28">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D7C92" w14:textId="77777777" w:rsidR="00611D28" w:rsidRPr="00206792" w:rsidRDefault="00611D28" w:rsidP="00C575C8">
            <w:pPr>
              <w:pStyle w:val="ListParagraph"/>
              <w:numPr>
                <w:ilvl w:val="0"/>
                <w:numId w:val="21"/>
              </w:numPr>
              <w:spacing w:after="0" w:line="240" w:lineRule="exact"/>
            </w:pPr>
            <w:r w:rsidRPr="00206792">
              <w:t>Assist the VR program to develop policies and procedures that will ensure they are compliant with all of the requirements of Section 511.</w:t>
            </w:r>
          </w:p>
        </w:tc>
        <w:tc>
          <w:tcPr>
            <w:tcW w:w="2452" w:type="pct"/>
            <w:tcBorders>
              <w:top w:val="single" w:sz="4" w:space="0" w:color="auto"/>
              <w:left w:val="nil"/>
              <w:bottom w:val="single" w:sz="4" w:space="0" w:color="auto"/>
              <w:right w:val="single" w:sz="4" w:space="0" w:color="auto"/>
            </w:tcBorders>
            <w:shd w:val="clear" w:color="auto" w:fill="auto"/>
            <w:vAlign w:val="center"/>
            <w:hideMark/>
          </w:tcPr>
          <w:p w14:paraId="3780E41A" w14:textId="77777777" w:rsidR="00611D28" w:rsidRPr="00206792" w:rsidRDefault="00611D28" w:rsidP="00C575C8">
            <w:pPr>
              <w:pStyle w:val="ListParagraph"/>
              <w:numPr>
                <w:ilvl w:val="0"/>
                <w:numId w:val="22"/>
              </w:numPr>
              <w:spacing w:after="0" w:line="240" w:lineRule="exact"/>
              <w:ind w:left="340"/>
            </w:pPr>
            <w:r w:rsidRPr="00206792">
              <w:t>Completed policies and procedures that address documentation requirements of Section 511.</w:t>
            </w:r>
          </w:p>
        </w:tc>
      </w:tr>
      <w:tr w:rsidR="00611D28" w:rsidRPr="00206792" w14:paraId="3E234D4C" w14:textId="77777777" w:rsidTr="00611D28">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E921E5" w14:textId="77777777" w:rsidR="00611D28" w:rsidRPr="00206792" w:rsidRDefault="00611D28" w:rsidP="00C575C8">
            <w:pPr>
              <w:pStyle w:val="ListParagraph"/>
              <w:numPr>
                <w:ilvl w:val="0"/>
                <w:numId w:val="21"/>
              </w:numPr>
              <w:spacing w:after="0" w:line="240" w:lineRule="exact"/>
            </w:pPr>
            <w:r w:rsidRPr="00206792">
              <w:t>Assist the VR program to develop documentation processes that include completion of Pre-ETS, receipt of transition services, CC&amp;I&amp;R and self-advocacy training opportunities.</w:t>
            </w: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C61514" w14:textId="77777777" w:rsidR="00611D28" w:rsidRPr="00206792" w:rsidRDefault="00611D28" w:rsidP="00C575C8">
            <w:pPr>
              <w:pStyle w:val="ListParagraph"/>
              <w:numPr>
                <w:ilvl w:val="0"/>
                <w:numId w:val="22"/>
              </w:numPr>
              <w:spacing w:after="0" w:line="240" w:lineRule="exact"/>
              <w:ind w:left="340"/>
            </w:pPr>
            <w:r w:rsidRPr="00206792">
              <w:t>Draft updated agreement with recommendations</w:t>
            </w:r>
          </w:p>
        </w:tc>
      </w:tr>
      <w:tr w:rsidR="00611D28" w:rsidRPr="00206792" w14:paraId="78415CF2" w14:textId="77777777" w:rsidTr="00611D28">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tcPr>
          <w:p w14:paraId="6B593CD1" w14:textId="77777777" w:rsidR="00611D28" w:rsidRPr="00206792" w:rsidRDefault="00611D28" w:rsidP="00C575C8">
            <w:pPr>
              <w:pStyle w:val="ListParagraph"/>
              <w:numPr>
                <w:ilvl w:val="0"/>
                <w:numId w:val="21"/>
              </w:numPr>
              <w:spacing w:after="0" w:line="240" w:lineRule="exact"/>
              <w:rPr>
                <w:color w:val="000000"/>
              </w:rPr>
            </w:pPr>
            <w:r w:rsidRPr="00206792">
              <w:t>Assist in the development of career counseling, and information and referral services to be provided to youth and adults prior to entering into SMW jobs, and those currently employed in SMW jobs at the prescribed time intervals.</w:t>
            </w: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tcPr>
          <w:p w14:paraId="597F0075" w14:textId="77777777" w:rsidR="00611D28" w:rsidRPr="00206792" w:rsidRDefault="00611D28" w:rsidP="00C575C8">
            <w:pPr>
              <w:pStyle w:val="ListParagraph"/>
              <w:numPr>
                <w:ilvl w:val="0"/>
                <w:numId w:val="22"/>
              </w:numPr>
              <w:spacing w:after="0" w:line="240" w:lineRule="exact"/>
              <w:ind w:left="340"/>
              <w:rPr>
                <w:color w:val="000000"/>
              </w:rPr>
            </w:pPr>
            <w:r w:rsidRPr="00206792">
              <w:t>Number and type of CC&amp;I&amp;R resources developed and the number and percentage of youth and adults that receive this information at prescribed intervals.</w:t>
            </w:r>
          </w:p>
        </w:tc>
      </w:tr>
      <w:tr w:rsidR="00611D28" w:rsidRPr="00206792" w14:paraId="0560188A" w14:textId="77777777" w:rsidTr="00611D28">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tcPr>
          <w:p w14:paraId="7E97A4F3" w14:textId="77777777" w:rsidR="00611D28" w:rsidRPr="00206792" w:rsidRDefault="00611D28" w:rsidP="00C575C8">
            <w:pPr>
              <w:pStyle w:val="ListParagraph"/>
              <w:numPr>
                <w:ilvl w:val="0"/>
                <w:numId w:val="21"/>
              </w:numPr>
              <w:spacing w:after="0" w:line="240" w:lineRule="exact"/>
            </w:pPr>
            <w:r w:rsidRPr="00206792">
              <w:t>Assist the VR program to identify and provide information on self-advocacy, self-determination and peer mentoring training opportunities that can be made available to individuals working in SMW for employers with less than 15 people.</w:t>
            </w: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tcPr>
          <w:p w14:paraId="1A9FF3FE" w14:textId="77777777" w:rsidR="00611D28" w:rsidRPr="00206792" w:rsidRDefault="00611D28" w:rsidP="00C575C8">
            <w:pPr>
              <w:pStyle w:val="ListParagraph"/>
              <w:numPr>
                <w:ilvl w:val="0"/>
                <w:numId w:val="22"/>
              </w:numPr>
              <w:spacing w:after="0" w:line="240" w:lineRule="exact"/>
              <w:ind w:left="340"/>
            </w:pPr>
            <w:r w:rsidRPr="00206792">
              <w:t>Percent of individuals that receive information on self-advocacy, self-determination and peer mentoring opportunities available in their geographic area at prescribed intervals.</w:t>
            </w:r>
          </w:p>
        </w:tc>
      </w:tr>
      <w:tr w:rsidR="00611D28" w:rsidRPr="00206792" w14:paraId="348D16A9" w14:textId="77777777" w:rsidTr="00611D28">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tcPr>
          <w:p w14:paraId="529A21A0" w14:textId="77777777" w:rsidR="00611D28" w:rsidRPr="00206792" w:rsidRDefault="00611D28" w:rsidP="00C575C8">
            <w:pPr>
              <w:pStyle w:val="ListParagraph"/>
              <w:numPr>
                <w:ilvl w:val="0"/>
                <w:numId w:val="21"/>
              </w:numPr>
              <w:spacing w:after="0" w:line="240" w:lineRule="exact"/>
            </w:pPr>
            <w:r w:rsidRPr="00206792">
              <w:t>Assist the VR program to develop partnerships with SEAs, LEAs, IL programs, and others that are essential for effective implementation.</w:t>
            </w: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tcPr>
          <w:p w14:paraId="7E08D981" w14:textId="77777777" w:rsidR="00611D28" w:rsidRPr="00206792" w:rsidRDefault="00611D28" w:rsidP="00C575C8">
            <w:pPr>
              <w:pStyle w:val="ListParagraph"/>
              <w:numPr>
                <w:ilvl w:val="0"/>
                <w:numId w:val="22"/>
              </w:numPr>
              <w:spacing w:after="0" w:line="240" w:lineRule="exact"/>
              <w:ind w:left="340"/>
            </w:pPr>
            <w:r w:rsidRPr="00206792">
              <w:t>Number of partnerships developed with the intent of effectively responding to Section 511 and the number of MOUs completed with partner agencies.</w:t>
            </w:r>
          </w:p>
        </w:tc>
      </w:tr>
      <w:tr w:rsidR="00611D28" w:rsidRPr="00206792" w14:paraId="479A316A" w14:textId="77777777" w:rsidTr="00611D28">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tcPr>
          <w:p w14:paraId="23AB2158" w14:textId="77777777" w:rsidR="00611D28" w:rsidRPr="00206792" w:rsidRDefault="00611D28" w:rsidP="00C575C8">
            <w:pPr>
              <w:pStyle w:val="ListParagraph"/>
              <w:numPr>
                <w:ilvl w:val="0"/>
                <w:numId w:val="21"/>
              </w:numPr>
              <w:spacing w:after="0" w:line="240" w:lineRule="exact"/>
              <w:rPr>
                <w:color w:val="000000"/>
              </w:rPr>
            </w:pPr>
            <w:r w:rsidRPr="00206792">
              <w:t>Assist the VR program to identify whether a work site or environment is considered to be competitive integrated employment.</w:t>
            </w: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tcPr>
          <w:p w14:paraId="772AFF89" w14:textId="77777777" w:rsidR="00611D28" w:rsidRPr="00206792" w:rsidRDefault="00611D28" w:rsidP="00C575C8">
            <w:pPr>
              <w:pStyle w:val="ListParagraph"/>
              <w:numPr>
                <w:ilvl w:val="0"/>
                <w:numId w:val="22"/>
              </w:numPr>
              <w:spacing w:after="0" w:line="240" w:lineRule="exact"/>
              <w:ind w:left="340"/>
              <w:rPr>
                <w:color w:val="000000"/>
              </w:rPr>
            </w:pPr>
            <w:r w:rsidRPr="00206792">
              <w:t>Number of sites evaluated to determine if they meet the definition of CIE.</w:t>
            </w:r>
          </w:p>
        </w:tc>
      </w:tr>
      <w:tr w:rsidR="00611D28" w:rsidRPr="00206792" w14:paraId="4EE6F5CB" w14:textId="77777777" w:rsidTr="00611D28">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tcPr>
          <w:p w14:paraId="01669916" w14:textId="77777777" w:rsidR="00611D28" w:rsidRPr="00206792" w:rsidRDefault="00611D28" w:rsidP="00C575C8">
            <w:pPr>
              <w:pStyle w:val="ListParagraph"/>
              <w:numPr>
                <w:ilvl w:val="0"/>
                <w:numId w:val="21"/>
              </w:numPr>
              <w:spacing w:after="0" w:line="240" w:lineRule="exact"/>
              <w:rPr>
                <w:color w:val="000000"/>
              </w:rPr>
            </w:pPr>
            <w:r w:rsidRPr="00206792">
              <w:t>Assist the VR program to develop its SE and CE programs to promote CIE rather than SMW.</w:t>
            </w: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tcPr>
          <w:p w14:paraId="580B91D8" w14:textId="77777777" w:rsidR="00611D28" w:rsidRPr="00206792" w:rsidRDefault="00611D28" w:rsidP="00C575C8">
            <w:pPr>
              <w:pStyle w:val="ListParagraph"/>
              <w:numPr>
                <w:ilvl w:val="0"/>
                <w:numId w:val="22"/>
              </w:numPr>
              <w:spacing w:after="0" w:line="240" w:lineRule="exact"/>
              <w:ind w:left="340"/>
              <w:rPr>
                <w:color w:val="000000"/>
              </w:rPr>
            </w:pPr>
            <w:r w:rsidRPr="00206792">
              <w:t>Number of individuals referred to SE and CE rather than SMW.</w:t>
            </w:r>
          </w:p>
        </w:tc>
      </w:tr>
      <w:tr w:rsidR="00611D28" w:rsidRPr="00206792" w14:paraId="4293D861" w14:textId="77777777" w:rsidTr="00611D28">
        <w:trPr>
          <w:trHeight w:val="20"/>
        </w:trPr>
        <w:tc>
          <w:tcPr>
            <w:tcW w:w="5000" w:type="pct"/>
            <w:gridSpan w:val="2"/>
            <w:tcBorders>
              <w:top w:val="single" w:sz="4" w:space="0" w:color="auto"/>
              <w:left w:val="single" w:sz="4" w:space="0" w:color="000000"/>
              <w:bottom w:val="single" w:sz="4" w:space="0" w:color="auto"/>
              <w:right w:val="single" w:sz="4" w:space="0" w:color="000000"/>
            </w:tcBorders>
            <w:shd w:val="clear" w:color="auto" w:fill="D9E2F3" w:themeFill="accent1" w:themeFillTint="33"/>
            <w:vAlign w:val="center"/>
          </w:tcPr>
          <w:p w14:paraId="0D704863" w14:textId="77777777" w:rsidR="00611D28" w:rsidRPr="00206792" w:rsidRDefault="00611D28" w:rsidP="008A190D">
            <w:pPr>
              <w:spacing w:after="0" w:line="240" w:lineRule="auto"/>
              <w:ind w:firstLine="59"/>
              <w:jc w:val="center"/>
              <w:rPr>
                <w:b/>
              </w:rPr>
            </w:pPr>
            <w:r w:rsidRPr="00206792">
              <w:rPr>
                <w:b/>
              </w:rPr>
              <w:t>Short-Term Outcomes</w:t>
            </w:r>
          </w:p>
          <w:p w14:paraId="2795B710" w14:textId="77777777" w:rsidR="00611D28" w:rsidRPr="00206792" w:rsidRDefault="00611D28" w:rsidP="00C575C8">
            <w:pPr>
              <w:pStyle w:val="ListParagraph"/>
              <w:numPr>
                <w:ilvl w:val="0"/>
                <w:numId w:val="2"/>
              </w:numPr>
              <w:spacing w:after="0" w:line="240" w:lineRule="auto"/>
            </w:pPr>
            <w:r w:rsidRPr="00206792">
              <w:t>An increase in the number of individuals with the most significant disabilities that obtain CIE rather than SMW employment.</w:t>
            </w:r>
          </w:p>
          <w:p w14:paraId="359CA406" w14:textId="77777777" w:rsidR="00611D28" w:rsidRPr="00206792" w:rsidRDefault="00611D28" w:rsidP="00C575C8">
            <w:pPr>
              <w:pStyle w:val="ListParagraph"/>
              <w:numPr>
                <w:ilvl w:val="0"/>
                <w:numId w:val="2"/>
              </w:numPr>
              <w:spacing w:after="0" w:line="240" w:lineRule="auto"/>
            </w:pPr>
            <w:r w:rsidRPr="00206792">
              <w:t>A decrease in the number of youth that enter SMW employment.</w:t>
            </w:r>
          </w:p>
          <w:p w14:paraId="554D5165" w14:textId="77777777" w:rsidR="00611D28" w:rsidRPr="00206792" w:rsidRDefault="00611D28" w:rsidP="00C575C8">
            <w:pPr>
              <w:pStyle w:val="ListParagraph"/>
              <w:numPr>
                <w:ilvl w:val="0"/>
                <w:numId w:val="2"/>
              </w:numPr>
              <w:spacing w:after="0" w:line="240" w:lineRule="auto"/>
            </w:pPr>
            <w:r w:rsidRPr="00206792">
              <w:t>A decrease in the number of  adults that choose to remain in SMW jobs.</w:t>
            </w:r>
          </w:p>
          <w:p w14:paraId="12387A05" w14:textId="77777777" w:rsidR="00611D28" w:rsidRPr="00206792" w:rsidRDefault="00611D28" w:rsidP="00C575C8">
            <w:pPr>
              <w:pStyle w:val="ListParagraph"/>
              <w:numPr>
                <w:ilvl w:val="0"/>
                <w:numId w:val="2"/>
              </w:numPr>
              <w:spacing w:after="0" w:line="240" w:lineRule="auto"/>
            </w:pPr>
            <w:r w:rsidRPr="00206792">
              <w:t>An increase in the number of employers that are willing to provide supported or customized employment opportunities in a given State.</w:t>
            </w:r>
          </w:p>
          <w:p w14:paraId="1BADBBA1" w14:textId="77777777" w:rsidR="00611D28" w:rsidRPr="00206792" w:rsidRDefault="00611D28" w:rsidP="00C575C8">
            <w:pPr>
              <w:pStyle w:val="ListParagraph"/>
              <w:numPr>
                <w:ilvl w:val="0"/>
                <w:numId w:val="2"/>
              </w:numPr>
              <w:spacing w:after="0" w:line="240" w:lineRule="auto"/>
            </w:pPr>
            <w:r w:rsidRPr="00206792">
              <w:t>An increase in the number of individuals with the most significant disabilities that are able to effectively advocate for themselves.</w:t>
            </w:r>
          </w:p>
          <w:p w14:paraId="7303D099" w14:textId="77777777" w:rsidR="00611D28" w:rsidRPr="00206792" w:rsidRDefault="00611D28" w:rsidP="00C575C8">
            <w:pPr>
              <w:pStyle w:val="ListParagraph"/>
              <w:numPr>
                <w:ilvl w:val="0"/>
                <w:numId w:val="2"/>
              </w:numPr>
              <w:spacing w:after="0" w:line="240" w:lineRule="auto"/>
            </w:pPr>
            <w:r w:rsidRPr="00206792">
              <w:t>An increase in the number of individuals that utilize the services of partner agencies to pursue CIE rather than SMW jobs.</w:t>
            </w:r>
          </w:p>
          <w:p w14:paraId="746677DD" w14:textId="77777777" w:rsidR="00611D28" w:rsidRPr="00206792" w:rsidRDefault="00611D28" w:rsidP="00611D28">
            <w:pPr>
              <w:spacing w:after="0" w:line="240" w:lineRule="auto"/>
              <w:jc w:val="center"/>
              <w:rPr>
                <w:b/>
              </w:rPr>
            </w:pPr>
            <w:r w:rsidRPr="00206792">
              <w:rPr>
                <w:b/>
              </w:rPr>
              <w:t>Long-Term Outcomes</w:t>
            </w:r>
          </w:p>
          <w:p w14:paraId="1A1143E9" w14:textId="77777777" w:rsidR="00611D28" w:rsidRPr="00206792" w:rsidRDefault="00611D28" w:rsidP="00C575C8">
            <w:pPr>
              <w:pStyle w:val="ListParagraph"/>
              <w:numPr>
                <w:ilvl w:val="0"/>
                <w:numId w:val="2"/>
              </w:numPr>
              <w:spacing w:after="0" w:line="240" w:lineRule="auto"/>
            </w:pPr>
            <w:r w:rsidRPr="00206792">
              <w:t>An increase in the earnings and level of self-sufficiency of individuals with the most significant disabilities.</w:t>
            </w:r>
          </w:p>
          <w:p w14:paraId="23670768" w14:textId="77777777" w:rsidR="00611D28" w:rsidRPr="00206792" w:rsidRDefault="00611D28" w:rsidP="00C575C8">
            <w:pPr>
              <w:pStyle w:val="ListParagraph"/>
              <w:numPr>
                <w:ilvl w:val="0"/>
                <w:numId w:val="2"/>
              </w:numPr>
              <w:spacing w:after="0" w:line="240" w:lineRule="auto"/>
            </w:pPr>
            <w:r w:rsidRPr="00206792">
              <w:t>A decrease in the number of SMW employment opportunities in a given State.</w:t>
            </w:r>
          </w:p>
        </w:tc>
      </w:tr>
    </w:tbl>
    <w:p w14:paraId="3CE0D289" w14:textId="11325AEA" w:rsidR="00611D28" w:rsidRPr="00611D28" w:rsidRDefault="00611D28" w:rsidP="00611D28">
      <w:pPr>
        <w:pStyle w:val="Heading2"/>
      </w:pPr>
      <w:bookmarkStart w:id="72" w:name="_Toc41940216"/>
      <w:r w:rsidRPr="00611D28">
        <w:lastRenderedPageBreak/>
        <w:t>Section 511: Activities &amp; Outputs Progress Dashboards</w:t>
      </w:r>
      <w:bookmarkEnd w:id="72"/>
      <w:r w:rsidRPr="00611D28">
        <w:t xml:space="preserve"> </w:t>
      </w:r>
    </w:p>
    <w:p w14:paraId="283AAF37" w14:textId="77777777" w:rsidR="00CD49F8" w:rsidRDefault="00CD49F8" w:rsidP="00611D28"/>
    <w:p w14:paraId="41595464" w14:textId="6B2AE863" w:rsidR="00CD49F8" w:rsidRDefault="00CD49F8" w:rsidP="00CD49F8">
      <w:pPr>
        <w:ind w:left="720" w:right="540" w:firstLine="0"/>
      </w:pPr>
      <w:r>
        <w:rPr>
          <w:noProof/>
          <w:lang w:eastAsia="ko-KR"/>
        </w:rPr>
        <w:drawing>
          <wp:inline distT="0" distB="0" distL="0" distR="0" wp14:anchorId="6821FD46" wp14:editId="446418C5">
            <wp:extent cx="5934075" cy="2686050"/>
            <wp:effectExtent l="0" t="0" r="9525" b="0"/>
            <wp:docPr id="14" name="Picture 14" descr="Progress Section 511: Activities showing 100% complete">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34075" cy="2686050"/>
                    </a:xfrm>
                    <a:prstGeom prst="rect">
                      <a:avLst/>
                    </a:prstGeom>
                  </pic:spPr>
                </pic:pic>
              </a:graphicData>
            </a:graphic>
          </wp:inline>
        </w:drawing>
      </w:r>
    </w:p>
    <w:p w14:paraId="60AF2C0A" w14:textId="77777777" w:rsidR="00611D28" w:rsidRDefault="00611D28" w:rsidP="00611D28">
      <w:pPr>
        <w:rPr>
          <w:szCs w:val="14"/>
        </w:rPr>
      </w:pPr>
      <w:r w:rsidRPr="00AF43E6">
        <w:rPr>
          <w:szCs w:val="14"/>
        </w:rPr>
        <w:t>Across the Section 511 topic area, we see that all ITAA activities are complete.</w:t>
      </w:r>
    </w:p>
    <w:p w14:paraId="3B396BE0" w14:textId="77777777" w:rsidR="00611D28" w:rsidRPr="00AC0D29" w:rsidRDefault="00611D28" w:rsidP="00611D28">
      <w:pPr>
        <w:spacing w:after="0"/>
        <w:rPr>
          <w:rFonts w:cstheme="minorHAnsi"/>
        </w:rPr>
        <w:sectPr w:rsidR="00611D28" w:rsidRPr="00AC0D29" w:rsidSect="00611D28">
          <w:pgSz w:w="12240" w:h="15840"/>
          <w:pgMar w:top="720" w:right="720" w:bottom="720" w:left="720" w:header="720" w:footer="720" w:gutter="0"/>
          <w:cols w:space="720"/>
          <w:docGrid w:linePitch="381"/>
        </w:sectPr>
      </w:pPr>
    </w:p>
    <w:p w14:paraId="24EC4DF6" w14:textId="51068DFB" w:rsidR="00611D28" w:rsidRDefault="00611D28" w:rsidP="00611D28">
      <w:pPr>
        <w:rPr>
          <w:rFonts w:cstheme="minorHAnsi"/>
          <w:highlight w:val="lightGray"/>
        </w:rPr>
      </w:pPr>
      <w:r w:rsidRPr="00540B16">
        <w:rPr>
          <w:rFonts w:cstheme="minorHAnsi"/>
        </w:rPr>
        <w:lastRenderedPageBreak/>
        <w:t xml:space="preserve">In the following “thermometer charts,” the progress rate is broken down by specific activity with the linked outputs’ progress rates provided side-by-side. </w:t>
      </w:r>
      <w:r w:rsidRPr="00540B16">
        <w:t xml:space="preserve">As is evident here, all Section 511 activities resulted in completed outputs. The majority of these outputs include completion of a strategic plan (7), development of CC&amp;I&amp;R resources (5), and development or improvement of policies and procedures (4). </w:t>
      </w:r>
      <w:r w:rsidR="00B53ED7">
        <w:rPr>
          <w:rFonts w:cstheme="minorHAnsi"/>
        </w:rPr>
        <w:t>Five</w:t>
      </w:r>
      <w:r w:rsidRPr="00540B16">
        <w:rPr>
          <w:rFonts w:cstheme="minorHAnsi"/>
        </w:rPr>
        <w:t xml:space="preserve"> activities account for the overall progress illustrated in the previous chart.</w:t>
      </w:r>
      <w:r w:rsidRPr="00F04386">
        <w:rPr>
          <w:rFonts w:cstheme="minorHAnsi"/>
          <w:highlight w:val="lightGray"/>
        </w:rPr>
        <w:t xml:space="preserve"> </w:t>
      </w:r>
    </w:p>
    <w:p w14:paraId="1877AB30" w14:textId="77777777" w:rsidR="00611D28" w:rsidRDefault="00611D28" w:rsidP="00611D28">
      <w:pPr>
        <w:rPr>
          <w:rFonts w:cstheme="minorHAnsi"/>
        </w:rPr>
        <w:sectPr w:rsidR="00611D28" w:rsidSect="00FA0379">
          <w:headerReference w:type="even" r:id="rId101"/>
          <w:headerReference w:type="default" r:id="rId102"/>
          <w:footerReference w:type="even" r:id="rId103"/>
          <w:footerReference w:type="default" r:id="rId104"/>
          <w:headerReference w:type="first" r:id="rId105"/>
          <w:footerReference w:type="first" r:id="rId106"/>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docGrid w:linePitch="360"/>
        </w:sectPr>
      </w:pPr>
    </w:p>
    <w:p w14:paraId="41EF1B97" w14:textId="77777777" w:rsidR="00611D28" w:rsidRPr="009E1D1A" w:rsidRDefault="00611D28" w:rsidP="00611D28">
      <w:pPr>
        <w:rPr>
          <w:rFonts w:cstheme="minorHAnsi"/>
        </w:rPr>
      </w:pPr>
    </w:p>
    <w:p w14:paraId="2FD37F57" w14:textId="2F899941" w:rsidR="00611D28" w:rsidRPr="00290F40" w:rsidRDefault="00611D28" w:rsidP="00290F40">
      <w:pPr>
        <w:tabs>
          <w:tab w:val="left" w:pos="360"/>
        </w:tabs>
        <w:ind w:firstLine="0"/>
        <w:jc w:val="center"/>
        <w:rPr>
          <w:szCs w:val="14"/>
        </w:rPr>
      </w:pPr>
      <w:r w:rsidRPr="003A10D6">
        <w:rPr>
          <w:sz w:val="36"/>
          <w:szCs w:val="36"/>
        </w:rPr>
        <w:t>Activity 2</w:t>
      </w:r>
      <w:r>
        <w:rPr>
          <w:szCs w:val="14"/>
        </w:rPr>
        <w:br/>
      </w:r>
      <w:r>
        <w:rPr>
          <w:noProof/>
          <w:lang w:eastAsia="ko-KR"/>
        </w:rPr>
        <w:drawing>
          <wp:inline distT="0" distB="0" distL="0" distR="0" wp14:anchorId="6071D91C" wp14:editId="15938B2E">
            <wp:extent cx="1435608" cy="4572000"/>
            <wp:effectExtent l="0" t="0" r="0" b="0"/>
            <wp:docPr id="7" name="Picture 7" descr="Activity &amp; Outputs Progress 2">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435608" cy="4572000"/>
                    </a:xfrm>
                    <a:prstGeom prst="rect">
                      <a:avLst/>
                    </a:prstGeom>
                  </pic:spPr>
                </pic:pic>
              </a:graphicData>
            </a:graphic>
          </wp:inline>
        </w:drawing>
      </w:r>
      <w:r>
        <w:rPr>
          <w:sz w:val="36"/>
          <w:szCs w:val="36"/>
        </w:rPr>
        <w:br/>
      </w:r>
      <w:r>
        <w:rPr>
          <w:noProof/>
          <w:lang w:eastAsia="ko-KR"/>
        </w:rPr>
        <w:drawing>
          <wp:inline distT="0" distB="0" distL="0" distR="0" wp14:anchorId="2A256DA5" wp14:editId="3D4D7FAA">
            <wp:extent cx="2090057" cy="370114"/>
            <wp:effectExtent l="0" t="0" r="5715" b="0"/>
            <wp:docPr id="9" name="Picture 9"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5FC90312" w14:textId="77777777" w:rsidR="00611D28" w:rsidRPr="009E1D1A" w:rsidRDefault="00611D28" w:rsidP="00290F40">
      <w:pPr>
        <w:ind w:firstLine="0"/>
        <w:rPr>
          <w:rFonts w:cstheme="minorHAnsi"/>
        </w:rPr>
      </w:pPr>
      <w:r w:rsidRPr="009E1D1A">
        <w:rPr>
          <w:rFonts w:cstheme="minorHAnsi"/>
          <w:b/>
          <w:bCs/>
        </w:rPr>
        <w:t>Activity 2:</w:t>
      </w:r>
      <w:r w:rsidRPr="009E1D1A">
        <w:rPr>
          <w:rFonts w:cstheme="minorHAnsi"/>
        </w:rPr>
        <w:t xml:space="preserve"> Assist the VR program to understand their responsibilities under Section 511. </w:t>
      </w:r>
    </w:p>
    <w:p w14:paraId="3D87BAE8" w14:textId="77777777" w:rsidR="00611D28" w:rsidRPr="009E1D1A" w:rsidRDefault="00611D28" w:rsidP="00290F40">
      <w:pPr>
        <w:ind w:firstLine="0"/>
        <w:rPr>
          <w:rFonts w:cstheme="minorHAnsi"/>
        </w:rPr>
      </w:pPr>
      <w:r w:rsidRPr="009E1D1A">
        <w:rPr>
          <w:rFonts w:cstheme="minorHAnsi"/>
          <w:b/>
          <w:bCs/>
        </w:rPr>
        <w:t xml:space="preserve">Output B: </w:t>
      </w:r>
      <w:r w:rsidRPr="009E1D1A">
        <w:rPr>
          <w:rFonts w:cstheme="minorHAnsi"/>
        </w:rPr>
        <w:t>A strategic plan to identify an effective and efficient response to Section 511.</w:t>
      </w:r>
    </w:p>
    <w:p w14:paraId="1B1A294E" w14:textId="77777777" w:rsidR="00611D28" w:rsidRPr="009E1D1A" w:rsidRDefault="00611D28" w:rsidP="00611D28">
      <w:pPr>
        <w:rPr>
          <w:rFonts w:cstheme="minorHAnsi"/>
        </w:rPr>
      </w:pPr>
    </w:p>
    <w:p w14:paraId="44B4E1C1" w14:textId="77777777" w:rsidR="00611D28" w:rsidRPr="00D72059" w:rsidRDefault="00611D28" w:rsidP="00290F40">
      <w:pPr>
        <w:tabs>
          <w:tab w:val="left" w:pos="360"/>
        </w:tabs>
        <w:ind w:firstLine="0"/>
        <w:jc w:val="center"/>
        <w:rPr>
          <w:szCs w:val="14"/>
        </w:rPr>
      </w:pPr>
      <w:r w:rsidRPr="003A10D6">
        <w:rPr>
          <w:sz w:val="36"/>
          <w:szCs w:val="36"/>
        </w:rPr>
        <w:t xml:space="preserve">Activity </w:t>
      </w:r>
      <w:r>
        <w:rPr>
          <w:sz w:val="36"/>
          <w:szCs w:val="36"/>
        </w:rPr>
        <w:t>4</w:t>
      </w:r>
      <w:r>
        <w:rPr>
          <w:szCs w:val="14"/>
        </w:rPr>
        <w:br/>
      </w:r>
      <w:r>
        <w:rPr>
          <w:noProof/>
          <w:lang w:eastAsia="ko-KR"/>
        </w:rPr>
        <w:drawing>
          <wp:inline distT="0" distB="0" distL="0" distR="0" wp14:anchorId="15C13A60" wp14:editId="40A5B124">
            <wp:extent cx="1399032" cy="4572000"/>
            <wp:effectExtent l="0" t="0" r="0" b="0"/>
            <wp:docPr id="13" name="Picture 13" descr="Activity &amp; Outputs Progress 4">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399032" cy="4572000"/>
                    </a:xfrm>
                    <a:prstGeom prst="rect">
                      <a:avLst/>
                    </a:prstGeom>
                  </pic:spPr>
                </pic:pic>
              </a:graphicData>
            </a:graphic>
          </wp:inline>
        </w:drawing>
      </w:r>
      <w:r>
        <w:rPr>
          <w:sz w:val="36"/>
          <w:szCs w:val="36"/>
        </w:rPr>
        <w:br/>
      </w:r>
      <w:r>
        <w:rPr>
          <w:noProof/>
          <w:lang w:eastAsia="ko-KR"/>
        </w:rPr>
        <w:drawing>
          <wp:inline distT="0" distB="0" distL="0" distR="0" wp14:anchorId="7F6CABF2" wp14:editId="1D187FC4">
            <wp:extent cx="2090057" cy="370114"/>
            <wp:effectExtent l="0" t="0" r="5715" b="0"/>
            <wp:docPr id="10" name="Picture 10"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6A45826D" w14:textId="77777777" w:rsidR="00611D28" w:rsidRPr="009E1D1A" w:rsidRDefault="00611D28" w:rsidP="00290F40">
      <w:pPr>
        <w:ind w:firstLine="0"/>
        <w:rPr>
          <w:rFonts w:cstheme="minorHAnsi"/>
        </w:rPr>
      </w:pPr>
      <w:r w:rsidRPr="009E1D1A">
        <w:rPr>
          <w:rFonts w:cstheme="minorHAnsi"/>
          <w:b/>
          <w:bCs/>
        </w:rPr>
        <w:t>Activity 4:</w:t>
      </w:r>
      <w:r w:rsidRPr="009E1D1A">
        <w:rPr>
          <w:rFonts w:cstheme="minorHAnsi"/>
        </w:rPr>
        <w:t xml:space="preserve"> Assist the VR program to identify ways to provide career counseling, and information and referral to the individuals entering in, or currently in SMW.</w:t>
      </w:r>
    </w:p>
    <w:p w14:paraId="07A97D39" w14:textId="77777777" w:rsidR="00611D28" w:rsidRPr="009E1D1A" w:rsidRDefault="00611D28" w:rsidP="00290F40">
      <w:pPr>
        <w:ind w:firstLine="0"/>
        <w:rPr>
          <w:rFonts w:cstheme="minorHAnsi"/>
        </w:rPr>
      </w:pPr>
      <w:r w:rsidRPr="009E1D1A">
        <w:rPr>
          <w:rFonts w:cstheme="minorHAnsi"/>
          <w:b/>
          <w:bCs/>
        </w:rPr>
        <w:t>Output D:</w:t>
      </w:r>
      <w:r w:rsidRPr="009E1D1A">
        <w:rPr>
          <w:rFonts w:cstheme="minorHAnsi"/>
        </w:rPr>
        <w:t xml:space="preserve"> Percent of individuals entering into, or currently in SMW that receive CC&amp;I&amp;R.</w:t>
      </w:r>
    </w:p>
    <w:p w14:paraId="0C359D39" w14:textId="77777777" w:rsidR="00611D28" w:rsidRPr="00D72059" w:rsidRDefault="00611D28" w:rsidP="00290F40">
      <w:pPr>
        <w:tabs>
          <w:tab w:val="left" w:pos="360"/>
        </w:tabs>
        <w:ind w:firstLine="0"/>
        <w:jc w:val="center"/>
        <w:rPr>
          <w:szCs w:val="14"/>
        </w:rPr>
      </w:pPr>
      <w:r w:rsidRPr="003A10D6">
        <w:rPr>
          <w:sz w:val="36"/>
          <w:szCs w:val="36"/>
        </w:rPr>
        <w:lastRenderedPageBreak/>
        <w:t xml:space="preserve">Activity </w:t>
      </w:r>
      <w:r>
        <w:rPr>
          <w:sz w:val="36"/>
          <w:szCs w:val="36"/>
        </w:rPr>
        <w:t>5</w:t>
      </w:r>
      <w:r>
        <w:rPr>
          <w:szCs w:val="14"/>
        </w:rPr>
        <w:br/>
      </w:r>
      <w:r>
        <w:rPr>
          <w:noProof/>
          <w:lang w:eastAsia="ko-KR"/>
        </w:rPr>
        <w:drawing>
          <wp:inline distT="0" distB="0" distL="0" distR="0" wp14:anchorId="263617F1" wp14:editId="5F33320E">
            <wp:extent cx="1463040" cy="4572000"/>
            <wp:effectExtent l="0" t="0" r="3810" b="0"/>
            <wp:docPr id="17" name="Picture 17" descr="Activity &amp; Outputs Progress 5">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463040" cy="4572000"/>
                    </a:xfrm>
                    <a:prstGeom prst="rect">
                      <a:avLst/>
                    </a:prstGeom>
                  </pic:spPr>
                </pic:pic>
              </a:graphicData>
            </a:graphic>
          </wp:inline>
        </w:drawing>
      </w:r>
      <w:r>
        <w:rPr>
          <w:sz w:val="36"/>
          <w:szCs w:val="36"/>
        </w:rPr>
        <w:br/>
      </w:r>
      <w:r>
        <w:rPr>
          <w:noProof/>
          <w:lang w:eastAsia="ko-KR"/>
        </w:rPr>
        <w:drawing>
          <wp:inline distT="0" distB="0" distL="0" distR="0" wp14:anchorId="57508B87" wp14:editId="40EA1581">
            <wp:extent cx="2090057" cy="370114"/>
            <wp:effectExtent l="0" t="0" r="5715" b="0"/>
            <wp:docPr id="16" name="Picture 16"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7FDD38F1" w14:textId="77777777" w:rsidR="00611D28" w:rsidRPr="009E1D1A" w:rsidRDefault="00611D28" w:rsidP="00290F40">
      <w:pPr>
        <w:ind w:firstLine="0"/>
        <w:rPr>
          <w:rFonts w:cstheme="minorHAnsi"/>
        </w:rPr>
      </w:pPr>
      <w:r w:rsidRPr="009E1D1A">
        <w:rPr>
          <w:rFonts w:cstheme="minorHAnsi"/>
          <w:b/>
          <w:bCs/>
        </w:rPr>
        <w:t>Activity</w:t>
      </w:r>
      <w:r w:rsidRPr="009E1D1A">
        <w:rPr>
          <w:rFonts w:cstheme="minorHAnsi"/>
        </w:rPr>
        <w:t xml:space="preserve"> </w:t>
      </w:r>
      <w:r w:rsidRPr="009E1D1A">
        <w:rPr>
          <w:rFonts w:cstheme="minorHAnsi"/>
          <w:b/>
          <w:bCs/>
        </w:rPr>
        <w:t>5:</w:t>
      </w:r>
      <w:r w:rsidRPr="009E1D1A">
        <w:rPr>
          <w:rFonts w:cstheme="minorHAnsi"/>
        </w:rPr>
        <w:t xml:space="preserve"> Assist the VR program to develop policies and procedures that will ensure they are compliant with all of the requirements of Section 511.</w:t>
      </w:r>
    </w:p>
    <w:p w14:paraId="64DE8051" w14:textId="77777777" w:rsidR="00611D28" w:rsidRPr="009E1D1A" w:rsidRDefault="00611D28" w:rsidP="00290F40">
      <w:pPr>
        <w:ind w:firstLine="0"/>
        <w:rPr>
          <w:rFonts w:cstheme="minorHAnsi"/>
        </w:rPr>
      </w:pPr>
      <w:r w:rsidRPr="009E1D1A">
        <w:rPr>
          <w:rFonts w:cstheme="minorHAnsi"/>
          <w:b/>
          <w:bCs/>
        </w:rPr>
        <w:t>Output E:</w:t>
      </w:r>
      <w:r w:rsidRPr="009E1D1A">
        <w:rPr>
          <w:rFonts w:cstheme="minorHAnsi"/>
        </w:rPr>
        <w:t xml:space="preserve"> Completed policies and procedures that address documentation requirements of Section 511.</w:t>
      </w:r>
    </w:p>
    <w:p w14:paraId="46ED8C8D" w14:textId="77777777" w:rsidR="00611D28" w:rsidRDefault="00611D28" w:rsidP="00290F40">
      <w:pPr>
        <w:tabs>
          <w:tab w:val="left" w:pos="360"/>
        </w:tabs>
        <w:ind w:firstLine="0"/>
        <w:jc w:val="center"/>
        <w:rPr>
          <w:szCs w:val="14"/>
        </w:rPr>
      </w:pPr>
      <w:r w:rsidRPr="003A10D6">
        <w:rPr>
          <w:sz w:val="36"/>
          <w:szCs w:val="36"/>
        </w:rPr>
        <w:t xml:space="preserve">Activity </w:t>
      </w:r>
      <w:r>
        <w:rPr>
          <w:sz w:val="36"/>
          <w:szCs w:val="36"/>
        </w:rPr>
        <w:t>7</w:t>
      </w:r>
      <w:r>
        <w:rPr>
          <w:sz w:val="36"/>
          <w:szCs w:val="36"/>
        </w:rPr>
        <w:br/>
      </w:r>
      <w:r>
        <w:rPr>
          <w:noProof/>
          <w:lang w:eastAsia="ko-KR"/>
        </w:rPr>
        <w:drawing>
          <wp:inline distT="0" distB="0" distL="0" distR="0" wp14:anchorId="1A3AA8F0" wp14:editId="4BB1714B">
            <wp:extent cx="1545336" cy="4572000"/>
            <wp:effectExtent l="0" t="0" r="0" b="0"/>
            <wp:docPr id="23" name="Picture 23" descr="Activity &amp; Outputs Progress 7">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545336" cy="4572000"/>
                    </a:xfrm>
                    <a:prstGeom prst="rect">
                      <a:avLst/>
                    </a:prstGeom>
                  </pic:spPr>
                </pic:pic>
              </a:graphicData>
            </a:graphic>
          </wp:inline>
        </w:drawing>
      </w:r>
      <w:r>
        <w:rPr>
          <w:sz w:val="36"/>
          <w:szCs w:val="36"/>
        </w:rPr>
        <w:br/>
      </w:r>
      <w:r>
        <w:rPr>
          <w:noProof/>
          <w:lang w:eastAsia="ko-KR"/>
        </w:rPr>
        <w:drawing>
          <wp:inline distT="0" distB="0" distL="0" distR="0" wp14:anchorId="75FD34B5" wp14:editId="765486C5">
            <wp:extent cx="2090057" cy="370114"/>
            <wp:effectExtent l="0" t="0" r="5715" b="0"/>
            <wp:docPr id="20" name="Picture 20"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r>
        <w:rPr>
          <w:szCs w:val="14"/>
        </w:rPr>
        <w:t xml:space="preserve"> </w:t>
      </w:r>
    </w:p>
    <w:p w14:paraId="2235D0FF" w14:textId="77777777" w:rsidR="00611D28" w:rsidRPr="009E1D1A" w:rsidRDefault="00611D28" w:rsidP="00290F40">
      <w:pPr>
        <w:tabs>
          <w:tab w:val="left" w:pos="360"/>
        </w:tabs>
        <w:ind w:firstLine="0"/>
        <w:rPr>
          <w:rFonts w:cstheme="minorHAnsi"/>
        </w:rPr>
      </w:pPr>
      <w:r w:rsidRPr="009E1D1A">
        <w:rPr>
          <w:rFonts w:cstheme="minorHAnsi"/>
          <w:b/>
          <w:bCs/>
        </w:rPr>
        <w:t>Activity 7:</w:t>
      </w:r>
      <w:r w:rsidRPr="009E1D1A">
        <w:rPr>
          <w:rFonts w:cstheme="minorHAnsi"/>
        </w:rPr>
        <w:t xml:space="preserve"> Assist in the development of career counseling, and information and referral services to be provided to youth and adults prior to entering into SMW jobs, and those currently employed in SMW jobs at the prescribed time intervals.</w:t>
      </w:r>
    </w:p>
    <w:p w14:paraId="059F7CF7" w14:textId="77777777" w:rsidR="00611D28" w:rsidRPr="009E1D1A" w:rsidRDefault="00611D28" w:rsidP="00290F40">
      <w:pPr>
        <w:ind w:firstLine="0"/>
        <w:rPr>
          <w:rFonts w:cstheme="minorHAnsi"/>
        </w:rPr>
      </w:pPr>
      <w:r w:rsidRPr="009E1D1A">
        <w:rPr>
          <w:rFonts w:cstheme="minorHAnsi"/>
          <w:b/>
          <w:bCs/>
        </w:rPr>
        <w:t>Output F:</w:t>
      </w:r>
      <w:r w:rsidRPr="009E1D1A">
        <w:rPr>
          <w:rFonts w:cstheme="minorHAnsi"/>
        </w:rPr>
        <w:t xml:space="preserve"> Number and type of CC&amp;I&amp;R resources developed and the number and percentage of youth and adults that receive this information at prescribed intervals.</w:t>
      </w:r>
    </w:p>
    <w:p w14:paraId="5289B74B" w14:textId="77777777" w:rsidR="00611D28" w:rsidRPr="00D72059" w:rsidRDefault="00611D28" w:rsidP="00290F40">
      <w:pPr>
        <w:tabs>
          <w:tab w:val="left" w:pos="360"/>
        </w:tabs>
        <w:ind w:firstLine="0"/>
        <w:jc w:val="center"/>
        <w:rPr>
          <w:szCs w:val="14"/>
        </w:rPr>
      </w:pPr>
      <w:r w:rsidRPr="003A10D6">
        <w:rPr>
          <w:sz w:val="36"/>
          <w:szCs w:val="36"/>
        </w:rPr>
        <w:lastRenderedPageBreak/>
        <w:t xml:space="preserve">Activity </w:t>
      </w:r>
      <w:r>
        <w:rPr>
          <w:sz w:val="36"/>
          <w:szCs w:val="36"/>
        </w:rPr>
        <w:t>8</w:t>
      </w:r>
      <w:r>
        <w:rPr>
          <w:szCs w:val="14"/>
        </w:rPr>
        <w:br/>
      </w:r>
      <w:r>
        <w:rPr>
          <w:noProof/>
          <w:lang w:eastAsia="ko-KR"/>
        </w:rPr>
        <w:drawing>
          <wp:inline distT="0" distB="0" distL="0" distR="0" wp14:anchorId="4B79CC5F" wp14:editId="1BEA922D">
            <wp:extent cx="1517904" cy="4572000"/>
            <wp:effectExtent l="0" t="0" r="6350" b="0"/>
            <wp:docPr id="24" name="Picture 24" descr="Activity &amp; Outputs Progress 8">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517904" cy="4572000"/>
                    </a:xfrm>
                    <a:prstGeom prst="rect">
                      <a:avLst/>
                    </a:prstGeom>
                  </pic:spPr>
                </pic:pic>
              </a:graphicData>
            </a:graphic>
          </wp:inline>
        </w:drawing>
      </w:r>
      <w:r>
        <w:rPr>
          <w:sz w:val="36"/>
          <w:szCs w:val="36"/>
        </w:rPr>
        <w:br/>
      </w:r>
      <w:r>
        <w:rPr>
          <w:noProof/>
          <w:lang w:eastAsia="ko-KR"/>
        </w:rPr>
        <w:drawing>
          <wp:inline distT="0" distB="0" distL="0" distR="0" wp14:anchorId="5A22277F" wp14:editId="75AD3B11">
            <wp:extent cx="2090057" cy="370114"/>
            <wp:effectExtent l="0" t="0" r="5715" b="0"/>
            <wp:docPr id="22" name="Picture 22"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08498E7E" w14:textId="77777777" w:rsidR="00611D28" w:rsidRPr="009E1D1A" w:rsidRDefault="00611D28" w:rsidP="00290F40">
      <w:pPr>
        <w:ind w:firstLine="0"/>
        <w:rPr>
          <w:rFonts w:cstheme="minorHAnsi"/>
        </w:rPr>
      </w:pPr>
      <w:r w:rsidRPr="009E1D1A">
        <w:rPr>
          <w:rFonts w:cstheme="minorHAnsi"/>
          <w:b/>
          <w:bCs/>
        </w:rPr>
        <w:t>Activity 8:</w:t>
      </w:r>
      <w:r w:rsidRPr="009E1D1A">
        <w:rPr>
          <w:rFonts w:cstheme="minorHAnsi"/>
        </w:rPr>
        <w:t xml:space="preserve"> Assist the VR program to identify and provide information on self-advocacy, self-determination and peer mentoring training opportunities that can be made available to individuals working in SMW for employers with less than 15 people.</w:t>
      </w:r>
    </w:p>
    <w:p w14:paraId="08EC2DE0" w14:textId="77777777" w:rsidR="00611D28" w:rsidRDefault="00611D28" w:rsidP="00290F40">
      <w:pPr>
        <w:ind w:firstLine="0"/>
        <w:rPr>
          <w:rFonts w:cstheme="minorHAnsi"/>
        </w:rPr>
      </w:pPr>
      <w:r w:rsidRPr="009E1D1A">
        <w:rPr>
          <w:rFonts w:cstheme="minorHAnsi"/>
          <w:b/>
          <w:bCs/>
        </w:rPr>
        <w:t>Output G:</w:t>
      </w:r>
      <w:r w:rsidRPr="009E1D1A">
        <w:rPr>
          <w:rFonts w:cstheme="minorHAnsi"/>
        </w:rPr>
        <w:t xml:space="preserve"> Percent of individuals that receive information on self-advocacy, self-determination and peer mentoring opportunities available in their geographic area at prescribed intervals.</w:t>
      </w:r>
    </w:p>
    <w:p w14:paraId="67A8A365" w14:textId="77777777" w:rsidR="00611D28" w:rsidRPr="00D72059" w:rsidRDefault="00611D28" w:rsidP="00290F40">
      <w:pPr>
        <w:tabs>
          <w:tab w:val="left" w:pos="360"/>
        </w:tabs>
        <w:ind w:firstLine="0"/>
        <w:jc w:val="center"/>
        <w:rPr>
          <w:szCs w:val="14"/>
        </w:rPr>
      </w:pPr>
      <w:r w:rsidRPr="003A10D6">
        <w:rPr>
          <w:sz w:val="36"/>
          <w:szCs w:val="36"/>
        </w:rPr>
        <w:t xml:space="preserve">Activity </w:t>
      </w:r>
      <w:r>
        <w:rPr>
          <w:sz w:val="36"/>
          <w:szCs w:val="36"/>
        </w:rPr>
        <w:t>Unique</w:t>
      </w:r>
      <w:r>
        <w:rPr>
          <w:szCs w:val="14"/>
        </w:rPr>
        <w:br/>
      </w:r>
      <w:r>
        <w:rPr>
          <w:noProof/>
          <w:lang w:eastAsia="ko-KR"/>
        </w:rPr>
        <w:drawing>
          <wp:inline distT="0" distB="0" distL="0" distR="0" wp14:anchorId="48FBDFA2" wp14:editId="15D14B4E">
            <wp:extent cx="1517904" cy="4572000"/>
            <wp:effectExtent l="0" t="0" r="6350" b="0"/>
            <wp:docPr id="25" name="Picture 25" descr="Activity &amp; Outputs Progress 1">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517904" cy="4572000"/>
                    </a:xfrm>
                    <a:prstGeom prst="rect">
                      <a:avLst/>
                    </a:prstGeom>
                  </pic:spPr>
                </pic:pic>
              </a:graphicData>
            </a:graphic>
          </wp:inline>
        </w:drawing>
      </w:r>
      <w:r>
        <w:rPr>
          <w:sz w:val="36"/>
          <w:szCs w:val="36"/>
        </w:rPr>
        <w:br/>
      </w:r>
      <w:r>
        <w:rPr>
          <w:noProof/>
          <w:lang w:eastAsia="ko-KR"/>
        </w:rPr>
        <w:drawing>
          <wp:inline distT="0" distB="0" distL="0" distR="0" wp14:anchorId="1EF0F625" wp14:editId="6427B7E1">
            <wp:extent cx="2090057" cy="370114"/>
            <wp:effectExtent l="0" t="0" r="5715" b="0"/>
            <wp:docPr id="26" name="Picture 26"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7C93F360" w14:textId="43F3702F" w:rsidR="00611D28" w:rsidRDefault="00611D28" w:rsidP="0048500F">
      <w:pPr>
        <w:ind w:firstLine="0"/>
        <w:rPr>
          <w:rFonts w:cstheme="minorHAnsi"/>
        </w:rPr>
      </w:pPr>
      <w:r w:rsidRPr="009E1D1A">
        <w:rPr>
          <w:rFonts w:cstheme="minorHAnsi"/>
          <w:b/>
          <w:bCs/>
        </w:rPr>
        <w:t xml:space="preserve">Activity </w:t>
      </w:r>
      <w:r>
        <w:rPr>
          <w:rFonts w:cstheme="minorHAnsi"/>
          <w:b/>
          <w:bCs/>
        </w:rPr>
        <w:t>U</w:t>
      </w:r>
      <w:r w:rsidRPr="009E1D1A">
        <w:rPr>
          <w:rFonts w:cstheme="minorHAnsi"/>
          <w:b/>
          <w:bCs/>
        </w:rPr>
        <w:t>:</w:t>
      </w:r>
      <w:r w:rsidRPr="009E1D1A">
        <w:rPr>
          <w:rFonts w:cstheme="minorHAnsi"/>
        </w:rPr>
        <w:t xml:space="preserve"> Assist the VR program to identify and provide information on self-advocacy, self-</w:t>
      </w:r>
    </w:p>
    <w:p w14:paraId="28736CBF" w14:textId="49D2A97F" w:rsidR="00611D28" w:rsidRDefault="00611D28" w:rsidP="00611D28">
      <w:pPr>
        <w:rPr>
          <w:szCs w:val="14"/>
        </w:rPr>
        <w:sectPr w:rsidR="00611D28" w:rsidSect="00611D28">
          <w:type w:val="continuous"/>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num="2" w:space="720"/>
          <w:docGrid w:linePitch="360"/>
        </w:sectPr>
      </w:pPr>
    </w:p>
    <w:p w14:paraId="6F1FAD5B" w14:textId="58F9A867" w:rsidR="00611D28" w:rsidRPr="00611D28" w:rsidRDefault="00611D28" w:rsidP="00611D28">
      <w:pPr>
        <w:pStyle w:val="Heading2"/>
      </w:pPr>
      <w:bookmarkStart w:id="73" w:name="_Toc41940217"/>
      <w:r>
        <w:lastRenderedPageBreak/>
        <w:t>S</w:t>
      </w:r>
      <w:r w:rsidRPr="00611D28">
        <w:t>ection 511: Outcomes Progress Dashboards</w:t>
      </w:r>
      <w:bookmarkEnd w:id="73"/>
    </w:p>
    <w:p w14:paraId="2D4A7153" w14:textId="77777777" w:rsidR="00611D28" w:rsidRDefault="00611D28" w:rsidP="00611D28">
      <w:pPr>
        <w:jc w:val="center"/>
        <w:rPr>
          <w:sz w:val="24"/>
          <w:szCs w:val="24"/>
        </w:rPr>
      </w:pPr>
    </w:p>
    <w:p w14:paraId="1BEA3AF9" w14:textId="77777777" w:rsidR="00611D28" w:rsidRPr="00E47117" w:rsidRDefault="00611D28" w:rsidP="00CC3D2E">
      <w:pPr>
        <w:ind w:firstLine="0"/>
        <w:jc w:val="center"/>
        <w:rPr>
          <w:sz w:val="24"/>
          <w:szCs w:val="24"/>
        </w:rPr>
      </w:pPr>
      <w:r>
        <w:rPr>
          <w:noProof/>
          <w:lang w:eastAsia="ko-KR"/>
        </w:rPr>
        <w:drawing>
          <wp:inline distT="0" distB="0" distL="0" distR="0" wp14:anchorId="62EA73FD" wp14:editId="7904E84B">
            <wp:extent cx="5124450" cy="2466975"/>
            <wp:effectExtent l="0" t="0" r="0" b="9525"/>
            <wp:docPr id="11" name="Picture 11" descr="Outcomes Section 511 speedometer showing 93%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124450" cy="2466975"/>
                    </a:xfrm>
                    <a:prstGeom prst="rect">
                      <a:avLst/>
                    </a:prstGeom>
                  </pic:spPr>
                </pic:pic>
              </a:graphicData>
            </a:graphic>
          </wp:inline>
        </w:drawing>
      </w:r>
      <w:r>
        <w:rPr>
          <w:sz w:val="24"/>
          <w:szCs w:val="24"/>
        </w:rPr>
        <w:br/>
      </w:r>
    </w:p>
    <w:p w14:paraId="03E51051" w14:textId="77777777" w:rsidR="00611D28" w:rsidRDefault="00611D28" w:rsidP="00611D28">
      <w:r>
        <w:t xml:space="preserve">The speedometer dashboard shows that fully 83% of Section 511 short term outcomes were achieved. </w:t>
      </w:r>
      <w:r w:rsidRPr="0037545C">
        <w:t xml:space="preserve">Most of these outcomes involved </w:t>
      </w:r>
      <w:r>
        <w:t xml:space="preserve">periodic </w:t>
      </w:r>
      <w:r w:rsidRPr="0037545C">
        <w:t>provision of CC&amp;I&amp;R to all individuals in subminimum wage production employment or measurable decreases in the number of individuals with disabilities who choose subminimum wage employment</w:t>
      </w:r>
    </w:p>
    <w:p w14:paraId="479F4ECF" w14:textId="77777777" w:rsidR="00CD49F8" w:rsidRDefault="00CD49F8">
      <w:pPr>
        <w:rPr>
          <w:rFonts w:cstheme="minorHAnsi"/>
          <w:b/>
          <w:sz w:val="28"/>
          <w:szCs w:val="28"/>
        </w:rPr>
      </w:pPr>
      <w:r>
        <w:rPr>
          <w:rFonts w:cstheme="minorHAnsi"/>
          <w:b/>
          <w:sz w:val="28"/>
          <w:szCs w:val="28"/>
        </w:rPr>
        <w:br w:type="page"/>
      </w:r>
    </w:p>
    <w:p w14:paraId="27EC4C86" w14:textId="1DE6BB58" w:rsidR="00CD49F8" w:rsidRPr="00CD49F8" w:rsidRDefault="00CD49F8" w:rsidP="00CD49F8">
      <w:pPr>
        <w:pStyle w:val="Heading2"/>
      </w:pPr>
      <w:bookmarkStart w:id="74" w:name="_Toc41940218"/>
      <w:r w:rsidRPr="00F017E4">
        <w:lastRenderedPageBreak/>
        <w:t>Consumer Data</w:t>
      </w:r>
      <w:r>
        <w:t>: Services And Outcomes</w:t>
      </w:r>
      <w:bookmarkEnd w:id="74"/>
    </w:p>
    <w:p w14:paraId="2F407504" w14:textId="77777777" w:rsidR="00CD49F8" w:rsidRDefault="00CD49F8" w:rsidP="00CD49F8">
      <w:pPr>
        <w:spacing w:after="0" w:line="240" w:lineRule="auto"/>
        <w:rPr>
          <w:rFonts w:cstheme="minorHAnsi"/>
        </w:rPr>
      </w:pPr>
      <w:r>
        <w:rPr>
          <w:rFonts w:cstheme="minorHAnsi"/>
        </w:rPr>
        <w:t xml:space="preserve">To determine the impact of 511 actions, the WINTAC team requested data related to the activity and progress of individuals, especially youth, who received 511 services as they moved through the VR program. Two SVRAs provided partial data, and one completed the request as follows: </w:t>
      </w:r>
    </w:p>
    <w:p w14:paraId="56D5E71B" w14:textId="77777777" w:rsidR="00CD49F8" w:rsidRDefault="00CD49F8" w:rsidP="00CD49F8">
      <w:pPr>
        <w:spacing w:after="0" w:line="240" w:lineRule="auto"/>
        <w:rPr>
          <w:rFonts w:cstheme="minorHAnsi"/>
        </w:rPr>
      </w:pPr>
    </w:p>
    <w:tbl>
      <w:tblPr>
        <w:tblW w:w="8000" w:type="dxa"/>
        <w:jc w:val="center"/>
        <w:tblLook w:val="04A0" w:firstRow="1" w:lastRow="0" w:firstColumn="1" w:lastColumn="0" w:noHBand="0" w:noVBand="1"/>
      </w:tblPr>
      <w:tblGrid>
        <w:gridCol w:w="3548"/>
        <w:gridCol w:w="1484"/>
        <w:gridCol w:w="1484"/>
        <w:gridCol w:w="1484"/>
      </w:tblGrid>
      <w:tr w:rsidR="00CD49F8" w:rsidRPr="00B5551B" w14:paraId="63B8EE01" w14:textId="77777777" w:rsidTr="00FC51B7">
        <w:trPr>
          <w:trHeight w:val="733"/>
          <w:jc w:val="center"/>
        </w:trPr>
        <w:tc>
          <w:tcPr>
            <w:tcW w:w="8000" w:type="dxa"/>
            <w:gridSpan w:val="4"/>
            <w:tcBorders>
              <w:top w:val="single" w:sz="4" w:space="0" w:color="auto"/>
              <w:left w:val="single" w:sz="4" w:space="0" w:color="auto"/>
              <w:bottom w:val="single" w:sz="4" w:space="0" w:color="auto"/>
              <w:right w:val="single" w:sz="4" w:space="0" w:color="auto"/>
            </w:tcBorders>
            <w:shd w:val="clear" w:color="000000" w:fill="FCE4D6"/>
            <w:vAlign w:val="bottom"/>
            <w:hideMark/>
          </w:tcPr>
          <w:p w14:paraId="670FC9AD" w14:textId="77777777" w:rsidR="00CD49F8" w:rsidRPr="00B5551B" w:rsidRDefault="00CD49F8" w:rsidP="00FC51B7">
            <w:pPr>
              <w:spacing w:after="0" w:line="240" w:lineRule="auto"/>
              <w:jc w:val="center"/>
              <w:rPr>
                <w:rFonts w:eastAsia="Times New Roman"/>
                <w:b/>
                <w:bCs/>
                <w:color w:val="000000"/>
              </w:rPr>
            </w:pPr>
            <w:r w:rsidRPr="00B5551B">
              <w:rPr>
                <w:rFonts w:eastAsia="Times New Roman"/>
                <w:b/>
                <w:bCs/>
                <w:color w:val="000000"/>
              </w:rPr>
              <w:t xml:space="preserve">Data on Individuals Working in Subminimum Wage and Youth Seeking to Enter Subminimum Wage Employment </w:t>
            </w:r>
            <w:r>
              <w:rPr>
                <w:rFonts w:eastAsia="Times New Roman"/>
                <w:b/>
                <w:bCs/>
                <w:color w:val="000000"/>
              </w:rPr>
              <w:t>– SVRA 1</w:t>
            </w:r>
          </w:p>
        </w:tc>
      </w:tr>
      <w:tr w:rsidR="00CD49F8" w:rsidRPr="00B5551B" w14:paraId="0D997A18" w14:textId="77777777" w:rsidTr="00FC51B7">
        <w:trPr>
          <w:trHeight w:val="310"/>
          <w:jc w:val="center"/>
        </w:trPr>
        <w:tc>
          <w:tcPr>
            <w:tcW w:w="4100" w:type="dxa"/>
            <w:tcBorders>
              <w:top w:val="nil"/>
              <w:left w:val="single" w:sz="4" w:space="0" w:color="auto"/>
              <w:bottom w:val="single" w:sz="4" w:space="0" w:color="auto"/>
              <w:right w:val="single" w:sz="4" w:space="0" w:color="auto"/>
            </w:tcBorders>
            <w:shd w:val="clear" w:color="000000" w:fill="F8CBAD"/>
            <w:vAlign w:val="bottom"/>
            <w:hideMark/>
          </w:tcPr>
          <w:p w14:paraId="488F7561" w14:textId="77777777" w:rsidR="00CD49F8" w:rsidRPr="00B5551B" w:rsidRDefault="00CD49F8" w:rsidP="00290F40">
            <w:pPr>
              <w:spacing w:after="0" w:line="240" w:lineRule="auto"/>
              <w:ind w:firstLine="0"/>
              <w:jc w:val="center"/>
              <w:rPr>
                <w:rFonts w:eastAsia="Times New Roman"/>
                <w:b/>
                <w:bCs/>
                <w:color w:val="000000"/>
              </w:rPr>
            </w:pPr>
            <w:r w:rsidRPr="00B5551B">
              <w:rPr>
                <w:rFonts w:eastAsia="Times New Roman"/>
                <w:b/>
                <w:bCs/>
                <w:color w:val="000000"/>
              </w:rPr>
              <w:t>Item</w:t>
            </w:r>
          </w:p>
        </w:tc>
        <w:tc>
          <w:tcPr>
            <w:tcW w:w="1300" w:type="dxa"/>
            <w:tcBorders>
              <w:top w:val="nil"/>
              <w:left w:val="nil"/>
              <w:bottom w:val="single" w:sz="4" w:space="0" w:color="auto"/>
              <w:right w:val="single" w:sz="4" w:space="0" w:color="auto"/>
            </w:tcBorders>
            <w:shd w:val="clear" w:color="000000" w:fill="FFF2CC"/>
            <w:vAlign w:val="bottom"/>
            <w:hideMark/>
          </w:tcPr>
          <w:p w14:paraId="4296DBFC" w14:textId="77777777" w:rsidR="00CD49F8" w:rsidRPr="00B5551B" w:rsidRDefault="00CD49F8" w:rsidP="00FC51B7">
            <w:pPr>
              <w:spacing w:after="0" w:line="240" w:lineRule="auto"/>
              <w:jc w:val="center"/>
              <w:rPr>
                <w:rFonts w:eastAsia="Times New Roman"/>
                <w:b/>
                <w:bCs/>
                <w:color w:val="000000"/>
              </w:rPr>
            </w:pPr>
            <w:r w:rsidRPr="00B5551B">
              <w:rPr>
                <w:rFonts w:eastAsia="Times New Roman"/>
                <w:b/>
                <w:bCs/>
                <w:color w:val="000000"/>
              </w:rPr>
              <w:t>2017</w:t>
            </w:r>
          </w:p>
        </w:tc>
        <w:tc>
          <w:tcPr>
            <w:tcW w:w="1300" w:type="dxa"/>
            <w:tcBorders>
              <w:top w:val="nil"/>
              <w:left w:val="nil"/>
              <w:bottom w:val="single" w:sz="4" w:space="0" w:color="auto"/>
              <w:right w:val="single" w:sz="4" w:space="0" w:color="auto"/>
            </w:tcBorders>
            <w:shd w:val="clear" w:color="000000" w:fill="D9E1F2"/>
            <w:vAlign w:val="bottom"/>
            <w:hideMark/>
          </w:tcPr>
          <w:p w14:paraId="308232E8" w14:textId="77777777" w:rsidR="00CD49F8" w:rsidRPr="00B5551B" w:rsidRDefault="00CD49F8" w:rsidP="00FC51B7">
            <w:pPr>
              <w:spacing w:after="0" w:line="240" w:lineRule="auto"/>
              <w:jc w:val="center"/>
              <w:rPr>
                <w:rFonts w:eastAsia="Times New Roman"/>
                <w:b/>
                <w:bCs/>
                <w:color w:val="000000"/>
              </w:rPr>
            </w:pPr>
            <w:r w:rsidRPr="00B5551B">
              <w:rPr>
                <w:rFonts w:eastAsia="Times New Roman"/>
                <w:b/>
                <w:bCs/>
                <w:color w:val="000000"/>
              </w:rPr>
              <w:t>2018</w:t>
            </w:r>
          </w:p>
        </w:tc>
        <w:tc>
          <w:tcPr>
            <w:tcW w:w="1300" w:type="dxa"/>
            <w:tcBorders>
              <w:top w:val="nil"/>
              <w:left w:val="nil"/>
              <w:bottom w:val="single" w:sz="4" w:space="0" w:color="auto"/>
              <w:right w:val="single" w:sz="4" w:space="0" w:color="auto"/>
            </w:tcBorders>
            <w:shd w:val="clear" w:color="000000" w:fill="E2EFDA"/>
            <w:vAlign w:val="bottom"/>
            <w:hideMark/>
          </w:tcPr>
          <w:p w14:paraId="0DE7B864" w14:textId="77777777" w:rsidR="00CD49F8" w:rsidRPr="00B5551B" w:rsidRDefault="00CD49F8" w:rsidP="00FC51B7">
            <w:pPr>
              <w:spacing w:after="0" w:line="240" w:lineRule="auto"/>
              <w:jc w:val="center"/>
              <w:rPr>
                <w:rFonts w:eastAsia="Times New Roman"/>
                <w:b/>
                <w:bCs/>
                <w:color w:val="000000"/>
              </w:rPr>
            </w:pPr>
            <w:r w:rsidRPr="00B5551B">
              <w:rPr>
                <w:rFonts w:eastAsia="Times New Roman"/>
                <w:b/>
                <w:bCs/>
                <w:color w:val="000000"/>
              </w:rPr>
              <w:t>2019</w:t>
            </w:r>
          </w:p>
        </w:tc>
      </w:tr>
      <w:tr w:rsidR="00CD49F8" w:rsidRPr="00B5551B" w14:paraId="0F2422D7" w14:textId="77777777" w:rsidTr="00FC51B7">
        <w:trPr>
          <w:trHeight w:val="310"/>
          <w:jc w:val="center"/>
        </w:trPr>
        <w:tc>
          <w:tcPr>
            <w:tcW w:w="4100" w:type="dxa"/>
            <w:tcBorders>
              <w:top w:val="nil"/>
              <w:left w:val="single" w:sz="4" w:space="0" w:color="auto"/>
              <w:bottom w:val="single" w:sz="4" w:space="0" w:color="auto"/>
              <w:right w:val="single" w:sz="4" w:space="0" w:color="auto"/>
            </w:tcBorders>
            <w:shd w:val="clear" w:color="000000" w:fill="EDEDED"/>
            <w:vAlign w:val="bottom"/>
            <w:hideMark/>
          </w:tcPr>
          <w:p w14:paraId="53EDB32C" w14:textId="77777777" w:rsidR="00CD49F8" w:rsidRPr="00B5551B" w:rsidRDefault="00CD49F8" w:rsidP="00290F40">
            <w:pPr>
              <w:spacing w:after="0" w:line="240" w:lineRule="auto"/>
              <w:ind w:firstLine="0"/>
              <w:rPr>
                <w:rFonts w:eastAsia="Times New Roman"/>
                <w:b/>
                <w:bCs/>
                <w:color w:val="000000"/>
              </w:rPr>
            </w:pPr>
            <w:r w:rsidRPr="00B5551B">
              <w:rPr>
                <w:rFonts w:eastAsia="Times New Roman"/>
                <w:b/>
                <w:bCs/>
                <w:color w:val="000000"/>
              </w:rPr>
              <w:t xml:space="preserve">Current SMW Workers </w:t>
            </w:r>
          </w:p>
        </w:tc>
        <w:tc>
          <w:tcPr>
            <w:tcW w:w="1300" w:type="dxa"/>
            <w:tcBorders>
              <w:top w:val="nil"/>
              <w:left w:val="nil"/>
              <w:bottom w:val="single" w:sz="4" w:space="0" w:color="auto"/>
              <w:right w:val="single" w:sz="4" w:space="0" w:color="auto"/>
            </w:tcBorders>
            <w:shd w:val="clear" w:color="000000" w:fill="FFF2CC"/>
            <w:vAlign w:val="bottom"/>
            <w:hideMark/>
          </w:tcPr>
          <w:p w14:paraId="60FF919F" w14:textId="5F11F7E3" w:rsidR="00CD49F8" w:rsidRPr="00B5551B" w:rsidRDefault="00CD49F8" w:rsidP="00290F40">
            <w:pPr>
              <w:spacing w:after="0" w:line="240" w:lineRule="auto"/>
              <w:jc w:val="center"/>
              <w:rPr>
                <w:rFonts w:eastAsia="Times New Roman"/>
                <w:b/>
                <w:bCs/>
                <w:color w:val="000000"/>
              </w:rPr>
            </w:pPr>
          </w:p>
        </w:tc>
        <w:tc>
          <w:tcPr>
            <w:tcW w:w="1300" w:type="dxa"/>
            <w:tcBorders>
              <w:top w:val="nil"/>
              <w:left w:val="nil"/>
              <w:bottom w:val="single" w:sz="4" w:space="0" w:color="auto"/>
              <w:right w:val="single" w:sz="4" w:space="0" w:color="auto"/>
            </w:tcBorders>
            <w:shd w:val="clear" w:color="000000" w:fill="D9E1F2"/>
            <w:vAlign w:val="bottom"/>
            <w:hideMark/>
          </w:tcPr>
          <w:p w14:paraId="47827D84" w14:textId="4F5FB3E7" w:rsidR="00CD49F8" w:rsidRPr="00B5551B" w:rsidRDefault="00CD49F8" w:rsidP="00290F40">
            <w:pPr>
              <w:spacing w:after="0" w:line="240" w:lineRule="auto"/>
              <w:jc w:val="center"/>
              <w:rPr>
                <w:rFonts w:eastAsia="Times New Roman"/>
                <w:b/>
                <w:bCs/>
                <w:color w:val="000000"/>
              </w:rPr>
            </w:pPr>
          </w:p>
        </w:tc>
        <w:tc>
          <w:tcPr>
            <w:tcW w:w="1300" w:type="dxa"/>
            <w:tcBorders>
              <w:top w:val="nil"/>
              <w:left w:val="nil"/>
              <w:bottom w:val="single" w:sz="4" w:space="0" w:color="auto"/>
              <w:right w:val="single" w:sz="4" w:space="0" w:color="auto"/>
            </w:tcBorders>
            <w:shd w:val="clear" w:color="000000" w:fill="E2EFDA"/>
            <w:vAlign w:val="bottom"/>
            <w:hideMark/>
          </w:tcPr>
          <w:p w14:paraId="74161B59" w14:textId="25858919" w:rsidR="00CD49F8" w:rsidRPr="00B5551B" w:rsidRDefault="00CD49F8" w:rsidP="00290F40">
            <w:pPr>
              <w:spacing w:after="0" w:line="240" w:lineRule="auto"/>
              <w:jc w:val="center"/>
              <w:rPr>
                <w:rFonts w:eastAsia="Times New Roman"/>
                <w:b/>
                <w:bCs/>
                <w:color w:val="000000"/>
              </w:rPr>
            </w:pPr>
          </w:p>
        </w:tc>
      </w:tr>
      <w:tr w:rsidR="00CD49F8" w:rsidRPr="00B5551B" w14:paraId="6E4D935A" w14:textId="77777777" w:rsidTr="00FC51B7">
        <w:trPr>
          <w:trHeight w:val="620"/>
          <w:jc w:val="center"/>
        </w:trPr>
        <w:tc>
          <w:tcPr>
            <w:tcW w:w="4100" w:type="dxa"/>
            <w:tcBorders>
              <w:top w:val="nil"/>
              <w:left w:val="single" w:sz="4" w:space="0" w:color="auto"/>
              <w:bottom w:val="single" w:sz="4" w:space="0" w:color="auto"/>
              <w:right w:val="single" w:sz="4" w:space="0" w:color="auto"/>
            </w:tcBorders>
            <w:shd w:val="clear" w:color="auto" w:fill="auto"/>
            <w:vAlign w:val="bottom"/>
            <w:hideMark/>
          </w:tcPr>
          <w:p w14:paraId="78594F2B" w14:textId="77777777" w:rsidR="00CD49F8" w:rsidRPr="00B5551B" w:rsidRDefault="00CD49F8" w:rsidP="00290F40">
            <w:pPr>
              <w:spacing w:after="0" w:line="240" w:lineRule="auto"/>
              <w:ind w:firstLine="0"/>
              <w:jc w:val="right"/>
              <w:rPr>
                <w:rFonts w:eastAsia="Times New Roman"/>
                <w:color w:val="000000"/>
              </w:rPr>
            </w:pPr>
            <w:r w:rsidRPr="00B5551B">
              <w:rPr>
                <w:rFonts w:eastAsia="Times New Roman"/>
                <w:color w:val="000000"/>
              </w:rPr>
              <w:t xml:space="preserve">Number of individuals working in SMW </w:t>
            </w:r>
            <w:r>
              <w:rPr>
                <w:rFonts w:eastAsia="Times New Roman"/>
                <w:color w:val="000000"/>
              </w:rPr>
              <w:t>who</w:t>
            </w:r>
            <w:r w:rsidRPr="00B5551B">
              <w:rPr>
                <w:rFonts w:eastAsia="Times New Roman"/>
                <w:color w:val="000000"/>
              </w:rPr>
              <w:t xml:space="preserve"> received CC&amp;I&amp;R</w:t>
            </w:r>
          </w:p>
        </w:tc>
        <w:tc>
          <w:tcPr>
            <w:tcW w:w="1300" w:type="dxa"/>
            <w:tcBorders>
              <w:top w:val="nil"/>
              <w:left w:val="nil"/>
              <w:bottom w:val="single" w:sz="4" w:space="0" w:color="auto"/>
              <w:right w:val="single" w:sz="4" w:space="0" w:color="auto"/>
            </w:tcBorders>
            <w:shd w:val="clear" w:color="000000" w:fill="FFF2CC"/>
            <w:vAlign w:val="bottom"/>
            <w:hideMark/>
          </w:tcPr>
          <w:p w14:paraId="153F2640"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1172</w:t>
            </w:r>
          </w:p>
        </w:tc>
        <w:tc>
          <w:tcPr>
            <w:tcW w:w="1300" w:type="dxa"/>
            <w:tcBorders>
              <w:top w:val="nil"/>
              <w:left w:val="nil"/>
              <w:bottom w:val="single" w:sz="4" w:space="0" w:color="auto"/>
              <w:right w:val="single" w:sz="4" w:space="0" w:color="auto"/>
            </w:tcBorders>
            <w:shd w:val="clear" w:color="000000" w:fill="D9E1F2"/>
            <w:vAlign w:val="bottom"/>
            <w:hideMark/>
          </w:tcPr>
          <w:p w14:paraId="32AB2205"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1151</w:t>
            </w:r>
          </w:p>
        </w:tc>
        <w:tc>
          <w:tcPr>
            <w:tcW w:w="1300" w:type="dxa"/>
            <w:tcBorders>
              <w:top w:val="nil"/>
              <w:left w:val="nil"/>
              <w:bottom w:val="single" w:sz="4" w:space="0" w:color="auto"/>
              <w:right w:val="single" w:sz="4" w:space="0" w:color="auto"/>
            </w:tcBorders>
            <w:shd w:val="clear" w:color="000000" w:fill="E2EFDA"/>
            <w:vAlign w:val="bottom"/>
            <w:hideMark/>
          </w:tcPr>
          <w:p w14:paraId="6A44D934"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1282</w:t>
            </w:r>
          </w:p>
        </w:tc>
      </w:tr>
      <w:tr w:rsidR="00CD49F8" w:rsidRPr="00B5551B" w14:paraId="51381CDE" w14:textId="77777777" w:rsidTr="00FC51B7">
        <w:trPr>
          <w:trHeight w:val="930"/>
          <w:jc w:val="center"/>
        </w:trPr>
        <w:tc>
          <w:tcPr>
            <w:tcW w:w="4100" w:type="dxa"/>
            <w:tcBorders>
              <w:top w:val="nil"/>
              <w:left w:val="single" w:sz="4" w:space="0" w:color="auto"/>
              <w:bottom w:val="single" w:sz="4" w:space="0" w:color="auto"/>
              <w:right w:val="single" w:sz="4" w:space="0" w:color="auto"/>
            </w:tcBorders>
            <w:shd w:val="clear" w:color="auto" w:fill="auto"/>
            <w:vAlign w:val="bottom"/>
            <w:hideMark/>
          </w:tcPr>
          <w:p w14:paraId="311AE061" w14:textId="77777777" w:rsidR="00CD49F8" w:rsidRPr="00B5551B" w:rsidRDefault="00CD49F8" w:rsidP="00290F40">
            <w:pPr>
              <w:spacing w:after="0" w:line="240" w:lineRule="auto"/>
              <w:ind w:firstLine="0"/>
              <w:jc w:val="right"/>
              <w:rPr>
                <w:rFonts w:eastAsia="Times New Roman"/>
                <w:color w:val="000000"/>
              </w:rPr>
            </w:pPr>
            <w:r w:rsidRPr="00B5551B">
              <w:rPr>
                <w:rFonts w:eastAsia="Times New Roman"/>
                <w:color w:val="000000"/>
              </w:rPr>
              <w:t xml:space="preserve">Number of individuals working in SMW </w:t>
            </w:r>
            <w:r>
              <w:rPr>
                <w:rFonts w:eastAsia="Times New Roman"/>
                <w:color w:val="000000"/>
              </w:rPr>
              <w:t>who</w:t>
            </w:r>
            <w:r w:rsidRPr="00B5551B">
              <w:rPr>
                <w:rFonts w:eastAsia="Times New Roman"/>
                <w:color w:val="000000"/>
              </w:rPr>
              <w:t xml:space="preserve"> received CC&amp;I&amp;R </w:t>
            </w:r>
            <w:r>
              <w:rPr>
                <w:rFonts w:eastAsia="Times New Roman"/>
                <w:color w:val="000000"/>
              </w:rPr>
              <w:t>and</w:t>
            </w:r>
            <w:r w:rsidRPr="00B5551B">
              <w:rPr>
                <w:rFonts w:eastAsia="Times New Roman"/>
                <w:color w:val="000000"/>
              </w:rPr>
              <w:t xml:space="preserve"> applied for VR services</w:t>
            </w:r>
          </w:p>
        </w:tc>
        <w:tc>
          <w:tcPr>
            <w:tcW w:w="1300" w:type="dxa"/>
            <w:tcBorders>
              <w:top w:val="nil"/>
              <w:left w:val="nil"/>
              <w:bottom w:val="single" w:sz="4" w:space="0" w:color="auto"/>
              <w:right w:val="single" w:sz="4" w:space="0" w:color="auto"/>
            </w:tcBorders>
            <w:shd w:val="clear" w:color="000000" w:fill="FFF2CC"/>
            <w:vAlign w:val="bottom"/>
            <w:hideMark/>
          </w:tcPr>
          <w:p w14:paraId="6F1EA64D"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76</w:t>
            </w:r>
          </w:p>
        </w:tc>
        <w:tc>
          <w:tcPr>
            <w:tcW w:w="1300" w:type="dxa"/>
            <w:tcBorders>
              <w:top w:val="nil"/>
              <w:left w:val="nil"/>
              <w:bottom w:val="single" w:sz="4" w:space="0" w:color="auto"/>
              <w:right w:val="single" w:sz="4" w:space="0" w:color="auto"/>
            </w:tcBorders>
            <w:shd w:val="clear" w:color="000000" w:fill="D9E1F2"/>
            <w:vAlign w:val="bottom"/>
            <w:hideMark/>
          </w:tcPr>
          <w:p w14:paraId="05DED99A"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50</w:t>
            </w:r>
          </w:p>
        </w:tc>
        <w:tc>
          <w:tcPr>
            <w:tcW w:w="1300" w:type="dxa"/>
            <w:tcBorders>
              <w:top w:val="nil"/>
              <w:left w:val="nil"/>
              <w:bottom w:val="single" w:sz="4" w:space="0" w:color="auto"/>
              <w:right w:val="single" w:sz="4" w:space="0" w:color="auto"/>
            </w:tcBorders>
            <w:shd w:val="clear" w:color="000000" w:fill="E2EFDA"/>
            <w:vAlign w:val="bottom"/>
            <w:hideMark/>
          </w:tcPr>
          <w:p w14:paraId="514EA5B6"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39</w:t>
            </w:r>
          </w:p>
        </w:tc>
      </w:tr>
      <w:tr w:rsidR="00CD49F8" w:rsidRPr="00B5551B" w14:paraId="6DC401D0" w14:textId="77777777" w:rsidTr="00FC51B7">
        <w:trPr>
          <w:trHeight w:val="930"/>
          <w:jc w:val="center"/>
        </w:trPr>
        <w:tc>
          <w:tcPr>
            <w:tcW w:w="4100" w:type="dxa"/>
            <w:tcBorders>
              <w:top w:val="nil"/>
              <w:left w:val="single" w:sz="4" w:space="0" w:color="auto"/>
              <w:bottom w:val="single" w:sz="4" w:space="0" w:color="auto"/>
              <w:right w:val="single" w:sz="4" w:space="0" w:color="auto"/>
            </w:tcBorders>
            <w:shd w:val="clear" w:color="auto" w:fill="auto"/>
            <w:vAlign w:val="bottom"/>
            <w:hideMark/>
          </w:tcPr>
          <w:p w14:paraId="70B8641C" w14:textId="77777777" w:rsidR="00CD49F8" w:rsidRPr="00B5551B" w:rsidRDefault="00CD49F8" w:rsidP="00290F40">
            <w:pPr>
              <w:spacing w:after="0" w:line="240" w:lineRule="auto"/>
              <w:ind w:firstLine="0"/>
              <w:jc w:val="right"/>
              <w:rPr>
                <w:rFonts w:eastAsia="Times New Roman"/>
                <w:color w:val="000000"/>
              </w:rPr>
            </w:pPr>
            <w:r w:rsidRPr="00B5551B">
              <w:rPr>
                <w:rFonts w:eastAsia="Times New Roman"/>
                <w:color w:val="000000"/>
              </w:rPr>
              <w:t xml:space="preserve">Number of individuals </w:t>
            </w:r>
            <w:r>
              <w:rPr>
                <w:rFonts w:eastAsia="Times New Roman"/>
                <w:color w:val="000000"/>
              </w:rPr>
              <w:t>who</w:t>
            </w:r>
            <w:r w:rsidRPr="00B5551B">
              <w:rPr>
                <w:rFonts w:eastAsia="Times New Roman"/>
                <w:color w:val="000000"/>
              </w:rPr>
              <w:t xml:space="preserve"> received CC&amp;I&amp;R</w:t>
            </w:r>
            <w:r>
              <w:rPr>
                <w:rFonts w:eastAsia="Times New Roman"/>
                <w:color w:val="000000"/>
              </w:rPr>
              <w:t xml:space="preserve">, </w:t>
            </w:r>
            <w:r w:rsidRPr="00B5551B">
              <w:rPr>
                <w:rFonts w:eastAsia="Times New Roman"/>
                <w:color w:val="000000"/>
              </w:rPr>
              <w:t>applied for services and were found eligible</w:t>
            </w:r>
          </w:p>
        </w:tc>
        <w:tc>
          <w:tcPr>
            <w:tcW w:w="1300" w:type="dxa"/>
            <w:tcBorders>
              <w:top w:val="nil"/>
              <w:left w:val="nil"/>
              <w:bottom w:val="single" w:sz="4" w:space="0" w:color="auto"/>
              <w:right w:val="single" w:sz="4" w:space="0" w:color="auto"/>
            </w:tcBorders>
            <w:shd w:val="clear" w:color="000000" w:fill="FFF2CC"/>
            <w:vAlign w:val="bottom"/>
            <w:hideMark/>
          </w:tcPr>
          <w:p w14:paraId="6CE582DA"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58</w:t>
            </w:r>
          </w:p>
        </w:tc>
        <w:tc>
          <w:tcPr>
            <w:tcW w:w="1300" w:type="dxa"/>
            <w:tcBorders>
              <w:top w:val="nil"/>
              <w:left w:val="nil"/>
              <w:bottom w:val="single" w:sz="4" w:space="0" w:color="auto"/>
              <w:right w:val="single" w:sz="4" w:space="0" w:color="auto"/>
            </w:tcBorders>
            <w:shd w:val="clear" w:color="000000" w:fill="D9E1F2"/>
            <w:vAlign w:val="bottom"/>
            <w:hideMark/>
          </w:tcPr>
          <w:p w14:paraId="3BD9C8A0"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40</w:t>
            </w:r>
          </w:p>
        </w:tc>
        <w:tc>
          <w:tcPr>
            <w:tcW w:w="1300" w:type="dxa"/>
            <w:tcBorders>
              <w:top w:val="nil"/>
              <w:left w:val="nil"/>
              <w:bottom w:val="single" w:sz="4" w:space="0" w:color="auto"/>
              <w:right w:val="single" w:sz="4" w:space="0" w:color="auto"/>
            </w:tcBorders>
            <w:shd w:val="clear" w:color="000000" w:fill="E2EFDA"/>
            <w:vAlign w:val="bottom"/>
            <w:hideMark/>
          </w:tcPr>
          <w:p w14:paraId="2CF27D77"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33</w:t>
            </w:r>
          </w:p>
        </w:tc>
      </w:tr>
      <w:tr w:rsidR="00CD49F8" w:rsidRPr="00B5551B" w14:paraId="707826A8" w14:textId="77777777" w:rsidTr="00FC51B7">
        <w:trPr>
          <w:trHeight w:val="310"/>
          <w:jc w:val="center"/>
        </w:trPr>
        <w:tc>
          <w:tcPr>
            <w:tcW w:w="4100" w:type="dxa"/>
            <w:tcBorders>
              <w:top w:val="nil"/>
              <w:left w:val="single" w:sz="4" w:space="0" w:color="auto"/>
              <w:bottom w:val="single" w:sz="4" w:space="0" w:color="auto"/>
              <w:right w:val="single" w:sz="4" w:space="0" w:color="auto"/>
            </w:tcBorders>
            <w:shd w:val="clear" w:color="auto" w:fill="auto"/>
            <w:vAlign w:val="bottom"/>
            <w:hideMark/>
          </w:tcPr>
          <w:p w14:paraId="138682A0" w14:textId="77777777" w:rsidR="00CD49F8" w:rsidRPr="00B5551B" w:rsidRDefault="00CD49F8" w:rsidP="00290F40">
            <w:pPr>
              <w:spacing w:after="0" w:line="240" w:lineRule="auto"/>
              <w:ind w:firstLine="0"/>
              <w:jc w:val="right"/>
              <w:rPr>
                <w:rFonts w:eastAsia="Times New Roman"/>
                <w:color w:val="000000"/>
              </w:rPr>
            </w:pPr>
            <w:r w:rsidRPr="00B5551B">
              <w:rPr>
                <w:rFonts w:eastAsia="Times New Roman"/>
                <w:color w:val="000000"/>
              </w:rPr>
              <w:t>Percent of total</w:t>
            </w:r>
          </w:p>
        </w:tc>
        <w:tc>
          <w:tcPr>
            <w:tcW w:w="1300" w:type="dxa"/>
            <w:tcBorders>
              <w:top w:val="nil"/>
              <w:left w:val="nil"/>
              <w:bottom w:val="single" w:sz="4" w:space="0" w:color="auto"/>
              <w:right w:val="single" w:sz="4" w:space="0" w:color="auto"/>
            </w:tcBorders>
            <w:shd w:val="clear" w:color="000000" w:fill="FFF2CC"/>
            <w:vAlign w:val="bottom"/>
            <w:hideMark/>
          </w:tcPr>
          <w:p w14:paraId="2A4DE38E"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76.3%</w:t>
            </w:r>
          </w:p>
        </w:tc>
        <w:tc>
          <w:tcPr>
            <w:tcW w:w="1300" w:type="dxa"/>
            <w:tcBorders>
              <w:top w:val="nil"/>
              <w:left w:val="nil"/>
              <w:bottom w:val="single" w:sz="4" w:space="0" w:color="auto"/>
              <w:right w:val="single" w:sz="4" w:space="0" w:color="auto"/>
            </w:tcBorders>
            <w:shd w:val="clear" w:color="000000" w:fill="D9E1F2"/>
            <w:vAlign w:val="bottom"/>
            <w:hideMark/>
          </w:tcPr>
          <w:p w14:paraId="091F979B"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80.0%</w:t>
            </w:r>
          </w:p>
        </w:tc>
        <w:tc>
          <w:tcPr>
            <w:tcW w:w="1300" w:type="dxa"/>
            <w:tcBorders>
              <w:top w:val="nil"/>
              <w:left w:val="nil"/>
              <w:bottom w:val="single" w:sz="4" w:space="0" w:color="auto"/>
              <w:right w:val="single" w:sz="4" w:space="0" w:color="auto"/>
            </w:tcBorders>
            <w:shd w:val="clear" w:color="000000" w:fill="E2EFDA"/>
            <w:vAlign w:val="bottom"/>
            <w:hideMark/>
          </w:tcPr>
          <w:p w14:paraId="1C07C0B2"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84.6%</w:t>
            </w:r>
          </w:p>
        </w:tc>
      </w:tr>
      <w:tr w:rsidR="00CD49F8" w:rsidRPr="00B5551B" w14:paraId="4EB13365" w14:textId="77777777" w:rsidTr="00FC51B7">
        <w:trPr>
          <w:trHeight w:val="930"/>
          <w:jc w:val="center"/>
        </w:trPr>
        <w:tc>
          <w:tcPr>
            <w:tcW w:w="4100" w:type="dxa"/>
            <w:tcBorders>
              <w:top w:val="nil"/>
              <w:left w:val="single" w:sz="4" w:space="0" w:color="auto"/>
              <w:bottom w:val="single" w:sz="4" w:space="0" w:color="auto"/>
              <w:right w:val="single" w:sz="4" w:space="0" w:color="auto"/>
            </w:tcBorders>
            <w:shd w:val="clear" w:color="auto" w:fill="auto"/>
            <w:vAlign w:val="bottom"/>
            <w:hideMark/>
          </w:tcPr>
          <w:p w14:paraId="4C6FEB80" w14:textId="77777777" w:rsidR="00CD49F8" w:rsidRPr="00B5551B" w:rsidRDefault="00CD49F8" w:rsidP="00290F40">
            <w:pPr>
              <w:spacing w:after="0" w:line="240" w:lineRule="auto"/>
              <w:ind w:firstLine="0"/>
              <w:jc w:val="right"/>
              <w:rPr>
                <w:rFonts w:eastAsia="Times New Roman"/>
                <w:color w:val="000000"/>
              </w:rPr>
            </w:pPr>
            <w:r w:rsidRPr="00B5551B">
              <w:rPr>
                <w:rFonts w:eastAsia="Times New Roman"/>
                <w:color w:val="000000"/>
              </w:rPr>
              <w:t xml:space="preserve">Number of individuals </w:t>
            </w:r>
            <w:r>
              <w:rPr>
                <w:rFonts w:eastAsia="Times New Roman"/>
                <w:color w:val="000000"/>
              </w:rPr>
              <w:t>who</w:t>
            </w:r>
            <w:r w:rsidRPr="00B5551B">
              <w:rPr>
                <w:rFonts w:eastAsia="Times New Roman"/>
                <w:color w:val="000000"/>
              </w:rPr>
              <w:t xml:space="preserve"> received CC&amp;I&amp;R</w:t>
            </w:r>
            <w:r>
              <w:rPr>
                <w:rFonts w:eastAsia="Times New Roman"/>
                <w:color w:val="000000"/>
              </w:rPr>
              <w:t>,</w:t>
            </w:r>
            <w:r w:rsidRPr="00B5551B">
              <w:rPr>
                <w:rFonts w:eastAsia="Times New Roman"/>
                <w:color w:val="000000"/>
              </w:rPr>
              <w:t xml:space="preserve"> were found eligible and had an IPE developed</w:t>
            </w:r>
          </w:p>
        </w:tc>
        <w:tc>
          <w:tcPr>
            <w:tcW w:w="1300" w:type="dxa"/>
            <w:tcBorders>
              <w:top w:val="nil"/>
              <w:left w:val="nil"/>
              <w:bottom w:val="single" w:sz="4" w:space="0" w:color="auto"/>
              <w:right w:val="single" w:sz="4" w:space="0" w:color="auto"/>
            </w:tcBorders>
            <w:shd w:val="clear" w:color="000000" w:fill="FFF2CC"/>
            <w:vAlign w:val="bottom"/>
            <w:hideMark/>
          </w:tcPr>
          <w:p w14:paraId="7CAA59B3"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49</w:t>
            </w:r>
          </w:p>
        </w:tc>
        <w:tc>
          <w:tcPr>
            <w:tcW w:w="1300" w:type="dxa"/>
            <w:tcBorders>
              <w:top w:val="nil"/>
              <w:left w:val="nil"/>
              <w:bottom w:val="single" w:sz="4" w:space="0" w:color="auto"/>
              <w:right w:val="single" w:sz="4" w:space="0" w:color="auto"/>
            </w:tcBorders>
            <w:shd w:val="clear" w:color="000000" w:fill="D9E1F2"/>
            <w:vAlign w:val="bottom"/>
            <w:hideMark/>
          </w:tcPr>
          <w:p w14:paraId="2E401DD1"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39</w:t>
            </w:r>
          </w:p>
        </w:tc>
        <w:tc>
          <w:tcPr>
            <w:tcW w:w="1300" w:type="dxa"/>
            <w:tcBorders>
              <w:top w:val="nil"/>
              <w:left w:val="nil"/>
              <w:bottom w:val="single" w:sz="4" w:space="0" w:color="auto"/>
              <w:right w:val="single" w:sz="4" w:space="0" w:color="auto"/>
            </w:tcBorders>
            <w:shd w:val="clear" w:color="000000" w:fill="E2EFDA"/>
            <w:vAlign w:val="bottom"/>
            <w:hideMark/>
          </w:tcPr>
          <w:p w14:paraId="6CC4A314"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30</w:t>
            </w:r>
          </w:p>
        </w:tc>
      </w:tr>
      <w:tr w:rsidR="00CD49F8" w:rsidRPr="00B5551B" w14:paraId="2A694D75" w14:textId="77777777" w:rsidTr="00FC51B7">
        <w:trPr>
          <w:trHeight w:val="310"/>
          <w:jc w:val="center"/>
        </w:trPr>
        <w:tc>
          <w:tcPr>
            <w:tcW w:w="4100" w:type="dxa"/>
            <w:tcBorders>
              <w:top w:val="nil"/>
              <w:left w:val="single" w:sz="4" w:space="0" w:color="auto"/>
              <w:bottom w:val="single" w:sz="4" w:space="0" w:color="auto"/>
              <w:right w:val="single" w:sz="4" w:space="0" w:color="auto"/>
            </w:tcBorders>
            <w:shd w:val="clear" w:color="auto" w:fill="auto"/>
            <w:vAlign w:val="bottom"/>
            <w:hideMark/>
          </w:tcPr>
          <w:p w14:paraId="7F0D90B7" w14:textId="77777777" w:rsidR="00CD49F8" w:rsidRPr="00B5551B" w:rsidRDefault="00CD49F8" w:rsidP="00290F40">
            <w:pPr>
              <w:spacing w:after="0" w:line="240" w:lineRule="auto"/>
              <w:ind w:firstLine="0"/>
              <w:jc w:val="right"/>
              <w:rPr>
                <w:rFonts w:eastAsia="Times New Roman"/>
                <w:color w:val="000000"/>
              </w:rPr>
            </w:pPr>
            <w:r w:rsidRPr="00B5551B">
              <w:rPr>
                <w:rFonts w:eastAsia="Times New Roman"/>
                <w:color w:val="000000"/>
              </w:rPr>
              <w:t xml:space="preserve">Percent of total </w:t>
            </w:r>
          </w:p>
        </w:tc>
        <w:tc>
          <w:tcPr>
            <w:tcW w:w="1300" w:type="dxa"/>
            <w:tcBorders>
              <w:top w:val="nil"/>
              <w:left w:val="nil"/>
              <w:bottom w:val="single" w:sz="4" w:space="0" w:color="auto"/>
              <w:right w:val="single" w:sz="4" w:space="0" w:color="auto"/>
            </w:tcBorders>
            <w:shd w:val="clear" w:color="000000" w:fill="FFF2CC"/>
            <w:vAlign w:val="bottom"/>
            <w:hideMark/>
          </w:tcPr>
          <w:p w14:paraId="4675B351"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84.5%</w:t>
            </w:r>
          </w:p>
        </w:tc>
        <w:tc>
          <w:tcPr>
            <w:tcW w:w="1300" w:type="dxa"/>
            <w:tcBorders>
              <w:top w:val="nil"/>
              <w:left w:val="nil"/>
              <w:bottom w:val="single" w:sz="4" w:space="0" w:color="auto"/>
              <w:right w:val="single" w:sz="4" w:space="0" w:color="auto"/>
            </w:tcBorders>
            <w:shd w:val="clear" w:color="000000" w:fill="D9E1F2"/>
            <w:vAlign w:val="bottom"/>
            <w:hideMark/>
          </w:tcPr>
          <w:p w14:paraId="2C6D0790"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77.0%</w:t>
            </w:r>
          </w:p>
        </w:tc>
        <w:tc>
          <w:tcPr>
            <w:tcW w:w="1300" w:type="dxa"/>
            <w:tcBorders>
              <w:top w:val="nil"/>
              <w:left w:val="nil"/>
              <w:bottom w:val="single" w:sz="4" w:space="0" w:color="auto"/>
              <w:right w:val="single" w:sz="4" w:space="0" w:color="auto"/>
            </w:tcBorders>
            <w:shd w:val="clear" w:color="000000" w:fill="E2EFDA"/>
            <w:vAlign w:val="bottom"/>
            <w:hideMark/>
          </w:tcPr>
          <w:p w14:paraId="6DC7F0AF"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91.0%</w:t>
            </w:r>
          </w:p>
        </w:tc>
      </w:tr>
      <w:tr w:rsidR="00CD49F8" w:rsidRPr="00B5551B" w14:paraId="1687F2D8" w14:textId="77777777" w:rsidTr="00FC51B7">
        <w:trPr>
          <w:trHeight w:val="310"/>
          <w:jc w:val="center"/>
        </w:trPr>
        <w:tc>
          <w:tcPr>
            <w:tcW w:w="4100" w:type="dxa"/>
            <w:tcBorders>
              <w:top w:val="nil"/>
              <w:left w:val="single" w:sz="4" w:space="0" w:color="auto"/>
              <w:bottom w:val="single" w:sz="4" w:space="0" w:color="auto"/>
              <w:right w:val="single" w:sz="4" w:space="0" w:color="auto"/>
            </w:tcBorders>
            <w:shd w:val="clear" w:color="auto" w:fill="auto"/>
            <w:vAlign w:val="bottom"/>
            <w:hideMark/>
          </w:tcPr>
          <w:p w14:paraId="24CD39ED" w14:textId="77777777" w:rsidR="00CD49F8" w:rsidRPr="00B5551B" w:rsidRDefault="00CD49F8" w:rsidP="00290F40">
            <w:pPr>
              <w:spacing w:after="0" w:line="240" w:lineRule="auto"/>
              <w:ind w:firstLine="0"/>
              <w:jc w:val="right"/>
              <w:rPr>
                <w:rFonts w:eastAsia="Times New Roman"/>
                <w:color w:val="000000"/>
              </w:rPr>
            </w:pPr>
            <w:r w:rsidRPr="00B5551B">
              <w:rPr>
                <w:rFonts w:eastAsia="Times New Roman"/>
                <w:color w:val="000000"/>
              </w:rPr>
              <w:t>Number closed without employment</w:t>
            </w:r>
          </w:p>
        </w:tc>
        <w:tc>
          <w:tcPr>
            <w:tcW w:w="1300" w:type="dxa"/>
            <w:tcBorders>
              <w:top w:val="nil"/>
              <w:left w:val="nil"/>
              <w:bottom w:val="single" w:sz="4" w:space="0" w:color="auto"/>
              <w:right w:val="single" w:sz="4" w:space="0" w:color="auto"/>
            </w:tcBorders>
            <w:shd w:val="clear" w:color="000000" w:fill="FFF2CC"/>
            <w:vAlign w:val="bottom"/>
            <w:hideMark/>
          </w:tcPr>
          <w:p w14:paraId="70340A51"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43</w:t>
            </w:r>
          </w:p>
        </w:tc>
        <w:tc>
          <w:tcPr>
            <w:tcW w:w="1300" w:type="dxa"/>
            <w:tcBorders>
              <w:top w:val="nil"/>
              <w:left w:val="nil"/>
              <w:bottom w:val="single" w:sz="4" w:space="0" w:color="auto"/>
              <w:right w:val="single" w:sz="4" w:space="0" w:color="auto"/>
            </w:tcBorders>
            <w:shd w:val="clear" w:color="000000" w:fill="D9E1F2"/>
            <w:vAlign w:val="bottom"/>
            <w:hideMark/>
          </w:tcPr>
          <w:p w14:paraId="177CC1BC"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30</w:t>
            </w:r>
          </w:p>
        </w:tc>
        <w:tc>
          <w:tcPr>
            <w:tcW w:w="1300" w:type="dxa"/>
            <w:tcBorders>
              <w:top w:val="nil"/>
              <w:left w:val="nil"/>
              <w:bottom w:val="single" w:sz="4" w:space="0" w:color="auto"/>
              <w:right w:val="single" w:sz="4" w:space="0" w:color="auto"/>
            </w:tcBorders>
            <w:shd w:val="clear" w:color="000000" w:fill="E2EFDA"/>
            <w:vAlign w:val="bottom"/>
            <w:hideMark/>
          </w:tcPr>
          <w:p w14:paraId="282109F6"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18</w:t>
            </w:r>
          </w:p>
        </w:tc>
      </w:tr>
      <w:tr w:rsidR="00CD49F8" w:rsidRPr="00B5551B" w14:paraId="1D8EB2C5" w14:textId="77777777" w:rsidTr="00FC51B7">
        <w:trPr>
          <w:trHeight w:val="310"/>
          <w:jc w:val="center"/>
        </w:trPr>
        <w:tc>
          <w:tcPr>
            <w:tcW w:w="4100" w:type="dxa"/>
            <w:tcBorders>
              <w:top w:val="nil"/>
              <w:left w:val="single" w:sz="4" w:space="0" w:color="auto"/>
              <w:bottom w:val="single" w:sz="4" w:space="0" w:color="auto"/>
              <w:right w:val="single" w:sz="4" w:space="0" w:color="auto"/>
            </w:tcBorders>
            <w:shd w:val="clear" w:color="auto" w:fill="auto"/>
            <w:vAlign w:val="bottom"/>
            <w:hideMark/>
          </w:tcPr>
          <w:p w14:paraId="787BFF17" w14:textId="77777777" w:rsidR="00CD49F8" w:rsidRPr="00B5551B" w:rsidRDefault="00CD49F8" w:rsidP="00290F40">
            <w:pPr>
              <w:spacing w:after="0" w:line="240" w:lineRule="auto"/>
              <w:ind w:firstLine="0"/>
              <w:jc w:val="right"/>
              <w:rPr>
                <w:rFonts w:eastAsia="Times New Roman"/>
                <w:color w:val="000000"/>
              </w:rPr>
            </w:pPr>
            <w:r w:rsidRPr="00B5551B">
              <w:rPr>
                <w:rFonts w:eastAsia="Times New Roman"/>
                <w:color w:val="000000"/>
              </w:rPr>
              <w:t>Number closed in employment</w:t>
            </w:r>
          </w:p>
        </w:tc>
        <w:tc>
          <w:tcPr>
            <w:tcW w:w="1300" w:type="dxa"/>
            <w:tcBorders>
              <w:top w:val="nil"/>
              <w:left w:val="nil"/>
              <w:bottom w:val="single" w:sz="4" w:space="0" w:color="auto"/>
              <w:right w:val="single" w:sz="4" w:space="0" w:color="auto"/>
            </w:tcBorders>
            <w:shd w:val="clear" w:color="000000" w:fill="FFF2CC"/>
            <w:vAlign w:val="bottom"/>
            <w:hideMark/>
          </w:tcPr>
          <w:p w14:paraId="47F5FF27"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6</w:t>
            </w:r>
          </w:p>
        </w:tc>
        <w:tc>
          <w:tcPr>
            <w:tcW w:w="1300" w:type="dxa"/>
            <w:tcBorders>
              <w:top w:val="nil"/>
              <w:left w:val="nil"/>
              <w:bottom w:val="single" w:sz="4" w:space="0" w:color="auto"/>
              <w:right w:val="single" w:sz="4" w:space="0" w:color="auto"/>
            </w:tcBorders>
            <w:shd w:val="clear" w:color="000000" w:fill="D9E1F2"/>
            <w:vAlign w:val="bottom"/>
            <w:hideMark/>
          </w:tcPr>
          <w:p w14:paraId="434A674A"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9</w:t>
            </w:r>
          </w:p>
        </w:tc>
        <w:tc>
          <w:tcPr>
            <w:tcW w:w="1300" w:type="dxa"/>
            <w:tcBorders>
              <w:top w:val="nil"/>
              <w:left w:val="nil"/>
              <w:bottom w:val="single" w:sz="4" w:space="0" w:color="auto"/>
              <w:right w:val="single" w:sz="4" w:space="0" w:color="auto"/>
            </w:tcBorders>
            <w:shd w:val="clear" w:color="000000" w:fill="E2EFDA"/>
            <w:vAlign w:val="bottom"/>
            <w:hideMark/>
          </w:tcPr>
          <w:p w14:paraId="18695FD8"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12</w:t>
            </w:r>
          </w:p>
        </w:tc>
      </w:tr>
      <w:tr w:rsidR="00CD49F8" w:rsidRPr="00B5551B" w14:paraId="2D3595CF" w14:textId="77777777" w:rsidTr="00FC51B7">
        <w:trPr>
          <w:trHeight w:val="310"/>
          <w:jc w:val="center"/>
        </w:trPr>
        <w:tc>
          <w:tcPr>
            <w:tcW w:w="4100" w:type="dxa"/>
            <w:tcBorders>
              <w:top w:val="nil"/>
              <w:left w:val="single" w:sz="4" w:space="0" w:color="auto"/>
              <w:bottom w:val="single" w:sz="4" w:space="0" w:color="auto"/>
              <w:right w:val="single" w:sz="4" w:space="0" w:color="auto"/>
            </w:tcBorders>
            <w:shd w:val="clear" w:color="000000" w:fill="EDEDED"/>
            <w:vAlign w:val="bottom"/>
            <w:hideMark/>
          </w:tcPr>
          <w:p w14:paraId="066CE61E" w14:textId="77777777" w:rsidR="00CD49F8" w:rsidRPr="00B5551B" w:rsidRDefault="00CD49F8" w:rsidP="00290F40">
            <w:pPr>
              <w:spacing w:after="0" w:line="240" w:lineRule="auto"/>
              <w:ind w:firstLine="0"/>
              <w:rPr>
                <w:rFonts w:eastAsia="Times New Roman"/>
                <w:b/>
                <w:bCs/>
                <w:color w:val="000000"/>
              </w:rPr>
            </w:pPr>
            <w:r w:rsidRPr="00B5551B">
              <w:rPr>
                <w:rFonts w:eastAsia="Times New Roman"/>
                <w:b/>
                <w:bCs/>
                <w:color w:val="000000"/>
              </w:rPr>
              <w:t>Youth seeking to enter SMW</w:t>
            </w:r>
          </w:p>
        </w:tc>
        <w:tc>
          <w:tcPr>
            <w:tcW w:w="1300" w:type="dxa"/>
            <w:tcBorders>
              <w:top w:val="nil"/>
              <w:left w:val="nil"/>
              <w:bottom w:val="single" w:sz="4" w:space="0" w:color="auto"/>
              <w:right w:val="single" w:sz="4" w:space="0" w:color="auto"/>
            </w:tcBorders>
            <w:shd w:val="clear" w:color="000000" w:fill="FFF2CC"/>
            <w:vAlign w:val="bottom"/>
            <w:hideMark/>
          </w:tcPr>
          <w:p w14:paraId="1AC4C95E" w14:textId="0EE9584E" w:rsidR="00CD49F8" w:rsidRPr="00B5551B" w:rsidRDefault="00CD49F8" w:rsidP="00290F40">
            <w:pPr>
              <w:spacing w:after="0" w:line="240" w:lineRule="auto"/>
              <w:jc w:val="center"/>
              <w:rPr>
                <w:rFonts w:eastAsia="Times New Roman"/>
                <w:color w:val="000000"/>
              </w:rPr>
            </w:pPr>
          </w:p>
        </w:tc>
        <w:tc>
          <w:tcPr>
            <w:tcW w:w="1300" w:type="dxa"/>
            <w:tcBorders>
              <w:top w:val="nil"/>
              <w:left w:val="nil"/>
              <w:bottom w:val="single" w:sz="4" w:space="0" w:color="auto"/>
              <w:right w:val="single" w:sz="4" w:space="0" w:color="auto"/>
            </w:tcBorders>
            <w:shd w:val="clear" w:color="000000" w:fill="D9E1F2"/>
            <w:vAlign w:val="bottom"/>
            <w:hideMark/>
          </w:tcPr>
          <w:p w14:paraId="0A6DE508" w14:textId="28ED621B" w:rsidR="00CD49F8" w:rsidRPr="00B5551B" w:rsidRDefault="00CD49F8" w:rsidP="00290F40">
            <w:pPr>
              <w:spacing w:after="0" w:line="240" w:lineRule="auto"/>
              <w:jc w:val="center"/>
              <w:rPr>
                <w:rFonts w:eastAsia="Times New Roman"/>
                <w:color w:val="000000"/>
              </w:rPr>
            </w:pPr>
          </w:p>
        </w:tc>
        <w:tc>
          <w:tcPr>
            <w:tcW w:w="1300" w:type="dxa"/>
            <w:tcBorders>
              <w:top w:val="nil"/>
              <w:left w:val="nil"/>
              <w:bottom w:val="single" w:sz="4" w:space="0" w:color="auto"/>
              <w:right w:val="single" w:sz="4" w:space="0" w:color="auto"/>
            </w:tcBorders>
            <w:shd w:val="clear" w:color="000000" w:fill="E2EFDA"/>
            <w:vAlign w:val="bottom"/>
            <w:hideMark/>
          </w:tcPr>
          <w:p w14:paraId="34F81B21" w14:textId="35D9815F" w:rsidR="00CD49F8" w:rsidRPr="00B5551B" w:rsidRDefault="00CD49F8" w:rsidP="00290F40">
            <w:pPr>
              <w:spacing w:after="0" w:line="240" w:lineRule="auto"/>
              <w:jc w:val="center"/>
              <w:rPr>
                <w:rFonts w:eastAsia="Times New Roman"/>
                <w:color w:val="000000"/>
              </w:rPr>
            </w:pPr>
          </w:p>
        </w:tc>
      </w:tr>
      <w:tr w:rsidR="00CD49F8" w:rsidRPr="00B5551B" w14:paraId="0F914C53" w14:textId="77777777" w:rsidTr="00FC51B7">
        <w:trPr>
          <w:trHeight w:val="620"/>
          <w:jc w:val="center"/>
        </w:trPr>
        <w:tc>
          <w:tcPr>
            <w:tcW w:w="4100" w:type="dxa"/>
            <w:tcBorders>
              <w:top w:val="nil"/>
              <w:left w:val="single" w:sz="4" w:space="0" w:color="auto"/>
              <w:bottom w:val="single" w:sz="4" w:space="0" w:color="auto"/>
              <w:right w:val="single" w:sz="4" w:space="0" w:color="auto"/>
            </w:tcBorders>
            <w:shd w:val="clear" w:color="auto" w:fill="auto"/>
            <w:vAlign w:val="bottom"/>
            <w:hideMark/>
          </w:tcPr>
          <w:p w14:paraId="7BC0F159" w14:textId="77777777" w:rsidR="00CD49F8" w:rsidRPr="00B5551B" w:rsidRDefault="00CD49F8" w:rsidP="00290F40">
            <w:pPr>
              <w:spacing w:after="0" w:line="240" w:lineRule="auto"/>
              <w:ind w:firstLine="0"/>
              <w:jc w:val="right"/>
              <w:rPr>
                <w:rFonts w:eastAsia="Times New Roman"/>
                <w:color w:val="000000"/>
              </w:rPr>
            </w:pPr>
            <w:r w:rsidRPr="00B5551B">
              <w:rPr>
                <w:rFonts w:eastAsia="Times New Roman"/>
                <w:color w:val="000000"/>
              </w:rPr>
              <w:t xml:space="preserve">Number of youth </w:t>
            </w:r>
            <w:r>
              <w:rPr>
                <w:rFonts w:eastAsia="Times New Roman"/>
                <w:color w:val="000000"/>
              </w:rPr>
              <w:t>who</w:t>
            </w:r>
            <w:r w:rsidRPr="00B5551B">
              <w:rPr>
                <w:rFonts w:eastAsia="Times New Roman"/>
                <w:color w:val="000000"/>
              </w:rPr>
              <w:t xml:space="preserve"> applied for VR services seeking to enter SMW</w:t>
            </w:r>
          </w:p>
        </w:tc>
        <w:tc>
          <w:tcPr>
            <w:tcW w:w="1300" w:type="dxa"/>
            <w:tcBorders>
              <w:top w:val="nil"/>
              <w:left w:val="nil"/>
              <w:bottom w:val="single" w:sz="4" w:space="0" w:color="auto"/>
              <w:right w:val="single" w:sz="4" w:space="0" w:color="auto"/>
            </w:tcBorders>
            <w:shd w:val="clear" w:color="000000" w:fill="FFF2CC"/>
            <w:vAlign w:val="bottom"/>
            <w:hideMark/>
          </w:tcPr>
          <w:p w14:paraId="33F7EAA7"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33</w:t>
            </w:r>
          </w:p>
        </w:tc>
        <w:tc>
          <w:tcPr>
            <w:tcW w:w="1300" w:type="dxa"/>
            <w:tcBorders>
              <w:top w:val="nil"/>
              <w:left w:val="nil"/>
              <w:bottom w:val="single" w:sz="4" w:space="0" w:color="auto"/>
              <w:right w:val="single" w:sz="4" w:space="0" w:color="auto"/>
            </w:tcBorders>
            <w:shd w:val="clear" w:color="000000" w:fill="D9E1F2"/>
            <w:vAlign w:val="bottom"/>
            <w:hideMark/>
          </w:tcPr>
          <w:p w14:paraId="48F1E44E"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55</w:t>
            </w:r>
          </w:p>
        </w:tc>
        <w:tc>
          <w:tcPr>
            <w:tcW w:w="1300" w:type="dxa"/>
            <w:tcBorders>
              <w:top w:val="nil"/>
              <w:left w:val="nil"/>
              <w:bottom w:val="single" w:sz="4" w:space="0" w:color="auto"/>
              <w:right w:val="single" w:sz="4" w:space="0" w:color="auto"/>
            </w:tcBorders>
            <w:shd w:val="clear" w:color="000000" w:fill="E2EFDA"/>
            <w:vAlign w:val="bottom"/>
            <w:hideMark/>
          </w:tcPr>
          <w:p w14:paraId="02D063CC"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90</w:t>
            </w:r>
          </w:p>
        </w:tc>
      </w:tr>
      <w:tr w:rsidR="00CD49F8" w:rsidRPr="00B5551B" w14:paraId="0BAA447A" w14:textId="77777777" w:rsidTr="00FC51B7">
        <w:trPr>
          <w:trHeight w:val="310"/>
          <w:jc w:val="center"/>
        </w:trPr>
        <w:tc>
          <w:tcPr>
            <w:tcW w:w="4100" w:type="dxa"/>
            <w:tcBorders>
              <w:top w:val="nil"/>
              <w:left w:val="single" w:sz="4" w:space="0" w:color="auto"/>
              <w:bottom w:val="single" w:sz="4" w:space="0" w:color="auto"/>
              <w:right w:val="single" w:sz="4" w:space="0" w:color="auto"/>
            </w:tcBorders>
            <w:shd w:val="clear" w:color="auto" w:fill="auto"/>
            <w:vAlign w:val="bottom"/>
            <w:hideMark/>
          </w:tcPr>
          <w:p w14:paraId="5429BD02" w14:textId="77777777" w:rsidR="00CD49F8" w:rsidRPr="00B5551B" w:rsidRDefault="00CD49F8" w:rsidP="00290F40">
            <w:pPr>
              <w:spacing w:after="0" w:line="240" w:lineRule="auto"/>
              <w:ind w:firstLine="0"/>
              <w:jc w:val="right"/>
              <w:rPr>
                <w:rFonts w:eastAsia="Times New Roman"/>
                <w:color w:val="000000"/>
              </w:rPr>
            </w:pPr>
            <w:r w:rsidRPr="00B5551B">
              <w:rPr>
                <w:rFonts w:eastAsia="Times New Roman"/>
                <w:color w:val="000000"/>
              </w:rPr>
              <w:t>Number found eligible</w:t>
            </w:r>
          </w:p>
        </w:tc>
        <w:tc>
          <w:tcPr>
            <w:tcW w:w="1300" w:type="dxa"/>
            <w:tcBorders>
              <w:top w:val="nil"/>
              <w:left w:val="nil"/>
              <w:bottom w:val="single" w:sz="4" w:space="0" w:color="auto"/>
              <w:right w:val="single" w:sz="4" w:space="0" w:color="auto"/>
            </w:tcBorders>
            <w:shd w:val="clear" w:color="000000" w:fill="FFF2CC"/>
            <w:vAlign w:val="bottom"/>
            <w:hideMark/>
          </w:tcPr>
          <w:p w14:paraId="6044D0B0"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16</w:t>
            </w:r>
          </w:p>
        </w:tc>
        <w:tc>
          <w:tcPr>
            <w:tcW w:w="1300" w:type="dxa"/>
            <w:tcBorders>
              <w:top w:val="nil"/>
              <w:left w:val="nil"/>
              <w:bottom w:val="single" w:sz="4" w:space="0" w:color="auto"/>
              <w:right w:val="single" w:sz="4" w:space="0" w:color="auto"/>
            </w:tcBorders>
            <w:shd w:val="clear" w:color="000000" w:fill="D9E1F2"/>
            <w:vAlign w:val="bottom"/>
            <w:hideMark/>
          </w:tcPr>
          <w:p w14:paraId="4B06DD68"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13</w:t>
            </w:r>
          </w:p>
        </w:tc>
        <w:tc>
          <w:tcPr>
            <w:tcW w:w="1300" w:type="dxa"/>
            <w:tcBorders>
              <w:top w:val="nil"/>
              <w:left w:val="nil"/>
              <w:bottom w:val="single" w:sz="4" w:space="0" w:color="auto"/>
              <w:right w:val="single" w:sz="4" w:space="0" w:color="auto"/>
            </w:tcBorders>
            <w:shd w:val="clear" w:color="000000" w:fill="E2EFDA"/>
            <w:vAlign w:val="bottom"/>
            <w:hideMark/>
          </w:tcPr>
          <w:p w14:paraId="6168C714"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2</w:t>
            </w:r>
          </w:p>
        </w:tc>
      </w:tr>
      <w:tr w:rsidR="00CD49F8" w:rsidRPr="00B5551B" w14:paraId="2E4E1D96" w14:textId="77777777" w:rsidTr="00FC51B7">
        <w:trPr>
          <w:trHeight w:val="620"/>
          <w:jc w:val="center"/>
        </w:trPr>
        <w:tc>
          <w:tcPr>
            <w:tcW w:w="4100" w:type="dxa"/>
            <w:tcBorders>
              <w:top w:val="nil"/>
              <w:left w:val="single" w:sz="4" w:space="0" w:color="auto"/>
              <w:bottom w:val="single" w:sz="4" w:space="0" w:color="auto"/>
              <w:right w:val="single" w:sz="4" w:space="0" w:color="auto"/>
            </w:tcBorders>
            <w:shd w:val="clear" w:color="auto" w:fill="auto"/>
            <w:vAlign w:val="bottom"/>
            <w:hideMark/>
          </w:tcPr>
          <w:p w14:paraId="1E11B99D" w14:textId="77777777" w:rsidR="00CD49F8" w:rsidRPr="00B5551B" w:rsidRDefault="00CD49F8" w:rsidP="00290F40">
            <w:pPr>
              <w:spacing w:after="0" w:line="240" w:lineRule="auto"/>
              <w:ind w:firstLine="0"/>
              <w:jc w:val="right"/>
              <w:rPr>
                <w:rFonts w:eastAsia="Times New Roman"/>
                <w:color w:val="000000"/>
              </w:rPr>
            </w:pPr>
            <w:r w:rsidRPr="00B5551B">
              <w:rPr>
                <w:rFonts w:eastAsia="Times New Roman"/>
                <w:color w:val="000000"/>
              </w:rPr>
              <w:t>Number found ineligible by choosing not to pursue CIE</w:t>
            </w:r>
          </w:p>
        </w:tc>
        <w:tc>
          <w:tcPr>
            <w:tcW w:w="1300" w:type="dxa"/>
            <w:tcBorders>
              <w:top w:val="nil"/>
              <w:left w:val="nil"/>
              <w:bottom w:val="single" w:sz="4" w:space="0" w:color="auto"/>
              <w:right w:val="single" w:sz="4" w:space="0" w:color="auto"/>
            </w:tcBorders>
            <w:shd w:val="clear" w:color="000000" w:fill="FFF2CC"/>
            <w:vAlign w:val="bottom"/>
            <w:hideMark/>
          </w:tcPr>
          <w:p w14:paraId="290A85D7"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20</w:t>
            </w:r>
          </w:p>
        </w:tc>
        <w:tc>
          <w:tcPr>
            <w:tcW w:w="1300" w:type="dxa"/>
            <w:tcBorders>
              <w:top w:val="nil"/>
              <w:left w:val="nil"/>
              <w:bottom w:val="single" w:sz="4" w:space="0" w:color="auto"/>
              <w:right w:val="single" w:sz="4" w:space="0" w:color="auto"/>
            </w:tcBorders>
            <w:shd w:val="clear" w:color="000000" w:fill="D9E1F2"/>
            <w:vAlign w:val="bottom"/>
            <w:hideMark/>
          </w:tcPr>
          <w:p w14:paraId="13BD5FBA"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50</w:t>
            </w:r>
          </w:p>
        </w:tc>
        <w:tc>
          <w:tcPr>
            <w:tcW w:w="1300" w:type="dxa"/>
            <w:tcBorders>
              <w:top w:val="nil"/>
              <w:left w:val="nil"/>
              <w:bottom w:val="single" w:sz="4" w:space="0" w:color="auto"/>
              <w:right w:val="single" w:sz="4" w:space="0" w:color="auto"/>
            </w:tcBorders>
            <w:shd w:val="clear" w:color="000000" w:fill="E2EFDA"/>
            <w:vAlign w:val="bottom"/>
            <w:hideMark/>
          </w:tcPr>
          <w:p w14:paraId="630E1525"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89</w:t>
            </w:r>
          </w:p>
        </w:tc>
      </w:tr>
      <w:tr w:rsidR="00CD49F8" w:rsidRPr="00B5551B" w14:paraId="095FED91" w14:textId="77777777" w:rsidTr="00FC51B7">
        <w:trPr>
          <w:trHeight w:val="620"/>
          <w:jc w:val="center"/>
        </w:trPr>
        <w:tc>
          <w:tcPr>
            <w:tcW w:w="4100" w:type="dxa"/>
            <w:tcBorders>
              <w:top w:val="nil"/>
              <w:left w:val="single" w:sz="4" w:space="0" w:color="auto"/>
              <w:bottom w:val="single" w:sz="4" w:space="0" w:color="auto"/>
              <w:right w:val="single" w:sz="4" w:space="0" w:color="auto"/>
            </w:tcBorders>
            <w:shd w:val="clear" w:color="auto" w:fill="auto"/>
            <w:vAlign w:val="bottom"/>
            <w:hideMark/>
          </w:tcPr>
          <w:p w14:paraId="05D1C19D" w14:textId="77777777" w:rsidR="00CD49F8" w:rsidRPr="00B5551B" w:rsidRDefault="00CD49F8" w:rsidP="00290F40">
            <w:pPr>
              <w:spacing w:after="0" w:line="240" w:lineRule="auto"/>
              <w:ind w:firstLine="0"/>
              <w:jc w:val="right"/>
              <w:rPr>
                <w:rFonts w:eastAsia="Times New Roman"/>
                <w:color w:val="000000"/>
              </w:rPr>
            </w:pPr>
            <w:r w:rsidRPr="00B5551B">
              <w:rPr>
                <w:rFonts w:eastAsia="Times New Roman"/>
                <w:color w:val="000000"/>
              </w:rPr>
              <w:t xml:space="preserve">Number found ineligible due to being too significantly disabled to benefit </w:t>
            </w:r>
          </w:p>
        </w:tc>
        <w:tc>
          <w:tcPr>
            <w:tcW w:w="1300" w:type="dxa"/>
            <w:tcBorders>
              <w:top w:val="nil"/>
              <w:left w:val="nil"/>
              <w:bottom w:val="single" w:sz="4" w:space="0" w:color="auto"/>
              <w:right w:val="single" w:sz="4" w:space="0" w:color="auto"/>
            </w:tcBorders>
            <w:shd w:val="clear" w:color="000000" w:fill="FFF2CC"/>
            <w:vAlign w:val="bottom"/>
            <w:hideMark/>
          </w:tcPr>
          <w:p w14:paraId="5AFD4766"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2</w:t>
            </w:r>
          </w:p>
        </w:tc>
        <w:tc>
          <w:tcPr>
            <w:tcW w:w="1300" w:type="dxa"/>
            <w:tcBorders>
              <w:top w:val="nil"/>
              <w:left w:val="nil"/>
              <w:bottom w:val="single" w:sz="4" w:space="0" w:color="auto"/>
              <w:right w:val="single" w:sz="4" w:space="0" w:color="auto"/>
            </w:tcBorders>
            <w:shd w:val="clear" w:color="000000" w:fill="D9E1F2"/>
            <w:vAlign w:val="bottom"/>
            <w:hideMark/>
          </w:tcPr>
          <w:p w14:paraId="41A90A11"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1</w:t>
            </w:r>
          </w:p>
        </w:tc>
        <w:tc>
          <w:tcPr>
            <w:tcW w:w="1300" w:type="dxa"/>
            <w:tcBorders>
              <w:top w:val="nil"/>
              <w:left w:val="nil"/>
              <w:bottom w:val="single" w:sz="4" w:space="0" w:color="auto"/>
              <w:right w:val="single" w:sz="4" w:space="0" w:color="auto"/>
            </w:tcBorders>
            <w:shd w:val="clear" w:color="000000" w:fill="E2EFDA"/>
            <w:vAlign w:val="bottom"/>
            <w:hideMark/>
          </w:tcPr>
          <w:p w14:paraId="0CF40B3D"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0</w:t>
            </w:r>
          </w:p>
        </w:tc>
      </w:tr>
      <w:tr w:rsidR="00CD49F8" w:rsidRPr="00B5551B" w14:paraId="3CBB5747" w14:textId="77777777" w:rsidTr="00FC51B7">
        <w:trPr>
          <w:trHeight w:val="310"/>
          <w:jc w:val="center"/>
        </w:trPr>
        <w:tc>
          <w:tcPr>
            <w:tcW w:w="4100" w:type="dxa"/>
            <w:tcBorders>
              <w:top w:val="nil"/>
              <w:left w:val="single" w:sz="4" w:space="0" w:color="auto"/>
              <w:bottom w:val="single" w:sz="4" w:space="0" w:color="auto"/>
              <w:right w:val="single" w:sz="4" w:space="0" w:color="auto"/>
            </w:tcBorders>
            <w:shd w:val="clear" w:color="auto" w:fill="auto"/>
            <w:vAlign w:val="bottom"/>
            <w:hideMark/>
          </w:tcPr>
          <w:p w14:paraId="40299550" w14:textId="77777777" w:rsidR="00CD49F8" w:rsidRPr="00B5551B" w:rsidRDefault="00CD49F8" w:rsidP="00290F40">
            <w:pPr>
              <w:spacing w:after="0" w:line="240" w:lineRule="auto"/>
              <w:ind w:firstLine="0"/>
              <w:jc w:val="right"/>
              <w:rPr>
                <w:rFonts w:eastAsia="Times New Roman"/>
                <w:color w:val="000000"/>
              </w:rPr>
            </w:pPr>
            <w:r w:rsidRPr="00B5551B">
              <w:rPr>
                <w:rFonts w:eastAsia="Times New Roman"/>
                <w:color w:val="000000"/>
              </w:rPr>
              <w:t xml:space="preserve">Number </w:t>
            </w:r>
            <w:r>
              <w:rPr>
                <w:rFonts w:eastAsia="Times New Roman"/>
                <w:color w:val="000000"/>
              </w:rPr>
              <w:t>who</w:t>
            </w:r>
            <w:r w:rsidRPr="00B5551B">
              <w:rPr>
                <w:rFonts w:eastAsia="Times New Roman"/>
                <w:color w:val="000000"/>
              </w:rPr>
              <w:t xml:space="preserve"> had an IPE developed</w:t>
            </w:r>
          </w:p>
        </w:tc>
        <w:tc>
          <w:tcPr>
            <w:tcW w:w="1300" w:type="dxa"/>
            <w:tcBorders>
              <w:top w:val="nil"/>
              <w:left w:val="nil"/>
              <w:bottom w:val="single" w:sz="4" w:space="0" w:color="auto"/>
              <w:right w:val="single" w:sz="4" w:space="0" w:color="auto"/>
            </w:tcBorders>
            <w:shd w:val="clear" w:color="000000" w:fill="FFF2CC"/>
            <w:vAlign w:val="bottom"/>
            <w:hideMark/>
          </w:tcPr>
          <w:p w14:paraId="1651FC66"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8</w:t>
            </w:r>
          </w:p>
        </w:tc>
        <w:tc>
          <w:tcPr>
            <w:tcW w:w="1300" w:type="dxa"/>
            <w:tcBorders>
              <w:top w:val="nil"/>
              <w:left w:val="nil"/>
              <w:bottom w:val="single" w:sz="4" w:space="0" w:color="auto"/>
              <w:right w:val="single" w:sz="4" w:space="0" w:color="auto"/>
            </w:tcBorders>
            <w:shd w:val="clear" w:color="000000" w:fill="D9E1F2"/>
            <w:vAlign w:val="bottom"/>
            <w:hideMark/>
          </w:tcPr>
          <w:p w14:paraId="624CA2D4"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8</w:t>
            </w:r>
          </w:p>
        </w:tc>
        <w:tc>
          <w:tcPr>
            <w:tcW w:w="1300" w:type="dxa"/>
            <w:tcBorders>
              <w:top w:val="nil"/>
              <w:left w:val="nil"/>
              <w:bottom w:val="single" w:sz="4" w:space="0" w:color="auto"/>
              <w:right w:val="single" w:sz="4" w:space="0" w:color="auto"/>
            </w:tcBorders>
            <w:shd w:val="clear" w:color="000000" w:fill="E2EFDA"/>
            <w:vAlign w:val="bottom"/>
            <w:hideMark/>
          </w:tcPr>
          <w:p w14:paraId="310F8DB0"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0</w:t>
            </w:r>
          </w:p>
        </w:tc>
      </w:tr>
      <w:tr w:rsidR="00CD49F8" w:rsidRPr="00B5551B" w14:paraId="5B64445A" w14:textId="77777777" w:rsidTr="00FC51B7">
        <w:trPr>
          <w:trHeight w:val="310"/>
          <w:jc w:val="center"/>
        </w:trPr>
        <w:tc>
          <w:tcPr>
            <w:tcW w:w="4100" w:type="dxa"/>
            <w:tcBorders>
              <w:top w:val="nil"/>
              <w:left w:val="single" w:sz="4" w:space="0" w:color="auto"/>
              <w:bottom w:val="single" w:sz="4" w:space="0" w:color="auto"/>
              <w:right w:val="single" w:sz="4" w:space="0" w:color="auto"/>
            </w:tcBorders>
            <w:shd w:val="clear" w:color="auto" w:fill="auto"/>
            <w:vAlign w:val="bottom"/>
            <w:hideMark/>
          </w:tcPr>
          <w:p w14:paraId="7A101D6D" w14:textId="77777777" w:rsidR="00CD49F8" w:rsidRPr="00B5551B" w:rsidRDefault="00CD49F8" w:rsidP="00290F40">
            <w:pPr>
              <w:spacing w:after="0" w:line="240" w:lineRule="auto"/>
              <w:ind w:firstLine="0"/>
              <w:jc w:val="right"/>
              <w:rPr>
                <w:rFonts w:eastAsia="Times New Roman"/>
                <w:color w:val="000000"/>
              </w:rPr>
            </w:pPr>
            <w:r w:rsidRPr="00B5551B">
              <w:rPr>
                <w:rFonts w:eastAsia="Times New Roman"/>
                <w:color w:val="000000"/>
              </w:rPr>
              <w:t xml:space="preserve">Number </w:t>
            </w:r>
            <w:r>
              <w:rPr>
                <w:rFonts w:eastAsia="Times New Roman"/>
                <w:color w:val="000000"/>
              </w:rPr>
              <w:t>who</w:t>
            </w:r>
            <w:r w:rsidRPr="00B5551B">
              <w:rPr>
                <w:rFonts w:eastAsia="Times New Roman"/>
                <w:color w:val="000000"/>
              </w:rPr>
              <w:t xml:space="preserve"> entered employment</w:t>
            </w:r>
          </w:p>
        </w:tc>
        <w:tc>
          <w:tcPr>
            <w:tcW w:w="1300" w:type="dxa"/>
            <w:tcBorders>
              <w:top w:val="nil"/>
              <w:left w:val="nil"/>
              <w:bottom w:val="single" w:sz="4" w:space="0" w:color="auto"/>
              <w:right w:val="single" w:sz="4" w:space="0" w:color="auto"/>
            </w:tcBorders>
            <w:shd w:val="clear" w:color="000000" w:fill="FFF2CC"/>
            <w:vAlign w:val="bottom"/>
            <w:hideMark/>
          </w:tcPr>
          <w:p w14:paraId="5745C83F"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0</w:t>
            </w:r>
          </w:p>
        </w:tc>
        <w:tc>
          <w:tcPr>
            <w:tcW w:w="1300" w:type="dxa"/>
            <w:tcBorders>
              <w:top w:val="nil"/>
              <w:left w:val="nil"/>
              <w:bottom w:val="single" w:sz="4" w:space="0" w:color="auto"/>
              <w:right w:val="single" w:sz="4" w:space="0" w:color="auto"/>
            </w:tcBorders>
            <w:shd w:val="clear" w:color="000000" w:fill="D9E1F2"/>
            <w:vAlign w:val="bottom"/>
            <w:hideMark/>
          </w:tcPr>
          <w:p w14:paraId="2B1FF739"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0</w:t>
            </w:r>
          </w:p>
        </w:tc>
        <w:tc>
          <w:tcPr>
            <w:tcW w:w="1300" w:type="dxa"/>
            <w:tcBorders>
              <w:top w:val="nil"/>
              <w:left w:val="nil"/>
              <w:bottom w:val="single" w:sz="4" w:space="0" w:color="auto"/>
              <w:right w:val="single" w:sz="4" w:space="0" w:color="auto"/>
            </w:tcBorders>
            <w:shd w:val="clear" w:color="000000" w:fill="E2EFDA"/>
            <w:vAlign w:val="bottom"/>
            <w:hideMark/>
          </w:tcPr>
          <w:p w14:paraId="045C137D" w14:textId="77777777" w:rsidR="00CD49F8" w:rsidRPr="00B5551B" w:rsidRDefault="00CD49F8" w:rsidP="00290F40">
            <w:pPr>
              <w:spacing w:after="0" w:line="240" w:lineRule="auto"/>
              <w:jc w:val="center"/>
              <w:rPr>
                <w:rFonts w:eastAsia="Times New Roman"/>
                <w:color w:val="000000"/>
              </w:rPr>
            </w:pPr>
            <w:r w:rsidRPr="00B5551B">
              <w:rPr>
                <w:rFonts w:eastAsia="Times New Roman"/>
                <w:color w:val="000000"/>
              </w:rPr>
              <w:t>0</w:t>
            </w:r>
          </w:p>
        </w:tc>
      </w:tr>
    </w:tbl>
    <w:p w14:paraId="0D1A06BC" w14:textId="682B0F7A" w:rsidR="00CD49F8" w:rsidRDefault="00CD49F8" w:rsidP="00B56EC8">
      <w:pPr>
        <w:ind w:firstLine="0"/>
        <w:rPr>
          <w:rFonts w:cstheme="minorHAnsi"/>
        </w:rPr>
      </w:pPr>
      <w:r>
        <w:rPr>
          <w:rFonts w:cstheme="minorHAnsi"/>
        </w:rPr>
        <w:br w:type="page"/>
      </w:r>
    </w:p>
    <w:p w14:paraId="55D62392" w14:textId="77777777" w:rsidR="00CD49F8" w:rsidRDefault="00CD49F8" w:rsidP="00CD49F8">
      <w:pPr>
        <w:rPr>
          <w:rFonts w:cstheme="minorHAnsi"/>
        </w:rPr>
      </w:pPr>
      <w:r>
        <w:rPr>
          <w:rFonts w:cstheme="minorHAnsi"/>
        </w:rPr>
        <w:lastRenderedPageBreak/>
        <w:t>The SVRAs that submitted partial data indicated their systems do not track most of the requested data. Those who were able to produce data could not guarantee unduplicated counts. SVRAs providing partial data reported on the number of individuals working in SMW who received CC&amp;I&amp;R:</w:t>
      </w:r>
    </w:p>
    <w:tbl>
      <w:tblPr>
        <w:tblW w:w="8000" w:type="dxa"/>
        <w:jc w:val="center"/>
        <w:tblLook w:val="04A0" w:firstRow="1" w:lastRow="0" w:firstColumn="1" w:lastColumn="0" w:noHBand="0" w:noVBand="1"/>
      </w:tblPr>
      <w:tblGrid>
        <w:gridCol w:w="4100"/>
        <w:gridCol w:w="1300"/>
        <w:gridCol w:w="1300"/>
        <w:gridCol w:w="1300"/>
      </w:tblGrid>
      <w:tr w:rsidR="00CD49F8" w:rsidRPr="00B5551B" w14:paraId="3815D9C6" w14:textId="77777777" w:rsidTr="00FC51B7">
        <w:trPr>
          <w:trHeight w:val="733"/>
          <w:jc w:val="center"/>
        </w:trPr>
        <w:tc>
          <w:tcPr>
            <w:tcW w:w="8000" w:type="dxa"/>
            <w:gridSpan w:val="4"/>
            <w:tcBorders>
              <w:top w:val="single" w:sz="4" w:space="0" w:color="auto"/>
              <w:left w:val="single" w:sz="4" w:space="0" w:color="auto"/>
              <w:bottom w:val="single" w:sz="4" w:space="0" w:color="auto"/>
              <w:right w:val="single" w:sz="4" w:space="0" w:color="auto"/>
            </w:tcBorders>
            <w:shd w:val="clear" w:color="000000" w:fill="FCE4D6"/>
            <w:vAlign w:val="bottom"/>
            <w:hideMark/>
          </w:tcPr>
          <w:p w14:paraId="131F6FEF" w14:textId="77777777" w:rsidR="00CD49F8" w:rsidRPr="00B5551B" w:rsidRDefault="00CD49F8" w:rsidP="00290F40">
            <w:pPr>
              <w:spacing w:after="0" w:line="240" w:lineRule="auto"/>
              <w:ind w:firstLine="60"/>
              <w:jc w:val="center"/>
              <w:rPr>
                <w:rFonts w:eastAsia="Times New Roman"/>
                <w:b/>
                <w:bCs/>
                <w:color w:val="000000"/>
              </w:rPr>
            </w:pPr>
            <w:r w:rsidRPr="00B5551B">
              <w:rPr>
                <w:rFonts w:eastAsia="Times New Roman"/>
                <w:b/>
                <w:bCs/>
                <w:color w:val="000000"/>
              </w:rPr>
              <w:t xml:space="preserve">Data on Individuals Working in Subminimum Wage and Youth Seeking to Enter Subminimum Wage Employment </w:t>
            </w:r>
          </w:p>
        </w:tc>
      </w:tr>
      <w:tr w:rsidR="00CD49F8" w:rsidRPr="00B5551B" w14:paraId="0C357335" w14:textId="77777777" w:rsidTr="00FC51B7">
        <w:trPr>
          <w:trHeight w:val="310"/>
          <w:jc w:val="center"/>
        </w:trPr>
        <w:tc>
          <w:tcPr>
            <w:tcW w:w="4100" w:type="dxa"/>
            <w:tcBorders>
              <w:top w:val="nil"/>
              <w:left w:val="single" w:sz="4" w:space="0" w:color="auto"/>
              <w:bottom w:val="single" w:sz="4" w:space="0" w:color="auto"/>
              <w:right w:val="single" w:sz="4" w:space="0" w:color="auto"/>
            </w:tcBorders>
            <w:shd w:val="clear" w:color="000000" w:fill="F8CBAD"/>
            <w:vAlign w:val="bottom"/>
            <w:hideMark/>
          </w:tcPr>
          <w:p w14:paraId="39505261" w14:textId="77777777" w:rsidR="00CD49F8" w:rsidRPr="00B5551B" w:rsidRDefault="00CD49F8" w:rsidP="00FC51B7">
            <w:pPr>
              <w:spacing w:after="0" w:line="240" w:lineRule="auto"/>
              <w:jc w:val="center"/>
              <w:rPr>
                <w:rFonts w:eastAsia="Times New Roman"/>
                <w:b/>
                <w:bCs/>
                <w:color w:val="000000"/>
              </w:rPr>
            </w:pPr>
            <w:r w:rsidRPr="00B5551B">
              <w:rPr>
                <w:rFonts w:eastAsia="Times New Roman"/>
                <w:b/>
                <w:bCs/>
                <w:color w:val="000000"/>
              </w:rPr>
              <w:t>Item</w:t>
            </w:r>
          </w:p>
        </w:tc>
        <w:tc>
          <w:tcPr>
            <w:tcW w:w="1300" w:type="dxa"/>
            <w:tcBorders>
              <w:top w:val="nil"/>
              <w:left w:val="nil"/>
              <w:bottom w:val="single" w:sz="4" w:space="0" w:color="auto"/>
              <w:right w:val="single" w:sz="4" w:space="0" w:color="auto"/>
            </w:tcBorders>
            <w:shd w:val="clear" w:color="000000" w:fill="FFF2CC"/>
            <w:vAlign w:val="bottom"/>
            <w:hideMark/>
          </w:tcPr>
          <w:p w14:paraId="597517B9" w14:textId="77777777" w:rsidR="00CD49F8" w:rsidRPr="00B5551B" w:rsidRDefault="00CD49F8" w:rsidP="00290F40">
            <w:pPr>
              <w:spacing w:after="0" w:line="240" w:lineRule="auto"/>
              <w:ind w:firstLine="1"/>
              <w:jc w:val="center"/>
              <w:rPr>
                <w:rFonts w:eastAsia="Times New Roman"/>
                <w:b/>
                <w:bCs/>
                <w:color w:val="000000"/>
              </w:rPr>
            </w:pPr>
            <w:r w:rsidRPr="00B5551B">
              <w:rPr>
                <w:rFonts w:eastAsia="Times New Roman"/>
                <w:b/>
                <w:bCs/>
                <w:color w:val="000000"/>
              </w:rPr>
              <w:t>2017</w:t>
            </w:r>
          </w:p>
        </w:tc>
        <w:tc>
          <w:tcPr>
            <w:tcW w:w="1300" w:type="dxa"/>
            <w:tcBorders>
              <w:top w:val="nil"/>
              <w:left w:val="nil"/>
              <w:bottom w:val="single" w:sz="4" w:space="0" w:color="auto"/>
              <w:right w:val="single" w:sz="4" w:space="0" w:color="auto"/>
            </w:tcBorders>
            <w:shd w:val="clear" w:color="000000" w:fill="D9E1F2"/>
            <w:vAlign w:val="bottom"/>
            <w:hideMark/>
          </w:tcPr>
          <w:p w14:paraId="7C1BEECB" w14:textId="77777777" w:rsidR="00CD49F8" w:rsidRPr="00B5551B" w:rsidRDefault="00CD49F8" w:rsidP="00290F40">
            <w:pPr>
              <w:spacing w:after="0" w:line="240" w:lineRule="auto"/>
              <w:ind w:firstLine="0"/>
              <w:jc w:val="center"/>
              <w:rPr>
                <w:rFonts w:eastAsia="Times New Roman"/>
                <w:b/>
                <w:bCs/>
                <w:color w:val="000000"/>
              </w:rPr>
            </w:pPr>
            <w:r w:rsidRPr="00B5551B">
              <w:rPr>
                <w:rFonts w:eastAsia="Times New Roman"/>
                <w:b/>
                <w:bCs/>
                <w:color w:val="000000"/>
              </w:rPr>
              <w:t>2018</w:t>
            </w:r>
          </w:p>
        </w:tc>
        <w:tc>
          <w:tcPr>
            <w:tcW w:w="1300" w:type="dxa"/>
            <w:tcBorders>
              <w:top w:val="nil"/>
              <w:left w:val="nil"/>
              <w:bottom w:val="single" w:sz="4" w:space="0" w:color="auto"/>
              <w:right w:val="single" w:sz="4" w:space="0" w:color="auto"/>
            </w:tcBorders>
            <w:shd w:val="clear" w:color="000000" w:fill="E2EFDA"/>
            <w:vAlign w:val="bottom"/>
            <w:hideMark/>
          </w:tcPr>
          <w:p w14:paraId="56A4D2BD" w14:textId="77777777" w:rsidR="00CD49F8" w:rsidRPr="00B5551B" w:rsidRDefault="00CD49F8" w:rsidP="00290F40">
            <w:pPr>
              <w:spacing w:after="0" w:line="240" w:lineRule="auto"/>
              <w:ind w:firstLine="0"/>
              <w:jc w:val="center"/>
              <w:rPr>
                <w:rFonts w:eastAsia="Times New Roman"/>
                <w:b/>
                <w:bCs/>
                <w:color w:val="000000"/>
              </w:rPr>
            </w:pPr>
            <w:r w:rsidRPr="00B5551B">
              <w:rPr>
                <w:rFonts w:eastAsia="Times New Roman"/>
                <w:b/>
                <w:bCs/>
                <w:color w:val="000000"/>
              </w:rPr>
              <w:t>2019</w:t>
            </w:r>
          </w:p>
        </w:tc>
      </w:tr>
      <w:tr w:rsidR="00CD49F8" w:rsidRPr="00B5551B" w14:paraId="75939382" w14:textId="77777777" w:rsidTr="00FC51B7">
        <w:trPr>
          <w:trHeight w:val="310"/>
          <w:jc w:val="center"/>
        </w:trPr>
        <w:tc>
          <w:tcPr>
            <w:tcW w:w="4100" w:type="dxa"/>
            <w:tcBorders>
              <w:top w:val="nil"/>
              <w:left w:val="single" w:sz="4" w:space="0" w:color="auto"/>
              <w:bottom w:val="single" w:sz="4" w:space="0" w:color="auto"/>
              <w:right w:val="single" w:sz="4" w:space="0" w:color="auto"/>
            </w:tcBorders>
            <w:shd w:val="clear" w:color="000000" w:fill="EDEDED"/>
            <w:vAlign w:val="bottom"/>
            <w:hideMark/>
          </w:tcPr>
          <w:p w14:paraId="799163DC" w14:textId="77777777" w:rsidR="00CD49F8" w:rsidRPr="00B5551B" w:rsidRDefault="00CD49F8" w:rsidP="00290F40">
            <w:pPr>
              <w:spacing w:after="0" w:line="240" w:lineRule="auto"/>
              <w:ind w:hanging="30"/>
              <w:rPr>
                <w:rFonts w:eastAsia="Times New Roman"/>
                <w:b/>
                <w:bCs/>
                <w:color w:val="000000"/>
              </w:rPr>
            </w:pPr>
            <w:r w:rsidRPr="00B5551B">
              <w:rPr>
                <w:rFonts w:eastAsia="Times New Roman"/>
                <w:b/>
                <w:bCs/>
                <w:color w:val="000000"/>
              </w:rPr>
              <w:t>Current SMW Workers</w:t>
            </w:r>
            <w:r>
              <w:rPr>
                <w:rFonts w:eastAsia="Times New Roman"/>
                <w:b/>
                <w:bCs/>
                <w:color w:val="000000"/>
              </w:rPr>
              <w:t>:</w:t>
            </w:r>
            <w:r w:rsidRPr="00B5551B">
              <w:rPr>
                <w:rFonts w:eastAsia="Times New Roman"/>
                <w:color w:val="000000"/>
              </w:rPr>
              <w:t xml:space="preserve"> Number of individuals working in SMW </w:t>
            </w:r>
            <w:r>
              <w:rPr>
                <w:rFonts w:eastAsia="Times New Roman"/>
                <w:color w:val="000000"/>
              </w:rPr>
              <w:t>who</w:t>
            </w:r>
            <w:r w:rsidRPr="00B5551B">
              <w:rPr>
                <w:rFonts w:eastAsia="Times New Roman"/>
                <w:color w:val="000000"/>
              </w:rPr>
              <w:t xml:space="preserve"> received CC&amp;I&amp;R</w:t>
            </w:r>
            <w:r w:rsidRPr="00B5551B">
              <w:rPr>
                <w:rFonts w:eastAsia="Times New Roman"/>
                <w:b/>
                <w:bCs/>
                <w:color w:val="000000"/>
              </w:rPr>
              <w:t xml:space="preserve"> </w:t>
            </w:r>
          </w:p>
        </w:tc>
        <w:tc>
          <w:tcPr>
            <w:tcW w:w="1300" w:type="dxa"/>
            <w:tcBorders>
              <w:top w:val="nil"/>
              <w:left w:val="nil"/>
              <w:bottom w:val="single" w:sz="4" w:space="0" w:color="auto"/>
              <w:right w:val="single" w:sz="4" w:space="0" w:color="auto"/>
            </w:tcBorders>
            <w:shd w:val="clear" w:color="000000" w:fill="FFF2CC"/>
            <w:vAlign w:val="bottom"/>
            <w:hideMark/>
          </w:tcPr>
          <w:p w14:paraId="59B0E42F" w14:textId="7444F200" w:rsidR="00CD49F8" w:rsidRPr="00B5551B" w:rsidRDefault="00CD49F8" w:rsidP="00290F40">
            <w:pPr>
              <w:spacing w:after="0" w:line="240" w:lineRule="auto"/>
              <w:ind w:firstLine="1"/>
              <w:jc w:val="center"/>
              <w:rPr>
                <w:rFonts w:eastAsia="Times New Roman"/>
                <w:b/>
                <w:bCs/>
                <w:color w:val="000000"/>
              </w:rPr>
            </w:pPr>
          </w:p>
        </w:tc>
        <w:tc>
          <w:tcPr>
            <w:tcW w:w="1300" w:type="dxa"/>
            <w:tcBorders>
              <w:top w:val="nil"/>
              <w:left w:val="nil"/>
              <w:bottom w:val="single" w:sz="4" w:space="0" w:color="auto"/>
              <w:right w:val="single" w:sz="4" w:space="0" w:color="auto"/>
            </w:tcBorders>
            <w:shd w:val="clear" w:color="000000" w:fill="D9E1F2"/>
            <w:vAlign w:val="bottom"/>
            <w:hideMark/>
          </w:tcPr>
          <w:p w14:paraId="722EC340" w14:textId="1404D7B3" w:rsidR="00CD49F8" w:rsidRPr="00B5551B" w:rsidRDefault="00CD49F8" w:rsidP="00290F40">
            <w:pPr>
              <w:spacing w:after="0" w:line="240" w:lineRule="auto"/>
              <w:ind w:firstLine="0"/>
              <w:jc w:val="center"/>
              <w:rPr>
                <w:rFonts w:eastAsia="Times New Roman"/>
                <w:b/>
                <w:bCs/>
                <w:color w:val="000000"/>
              </w:rPr>
            </w:pPr>
          </w:p>
        </w:tc>
        <w:tc>
          <w:tcPr>
            <w:tcW w:w="1300" w:type="dxa"/>
            <w:tcBorders>
              <w:top w:val="nil"/>
              <w:left w:val="nil"/>
              <w:bottom w:val="single" w:sz="4" w:space="0" w:color="auto"/>
              <w:right w:val="single" w:sz="4" w:space="0" w:color="auto"/>
            </w:tcBorders>
            <w:shd w:val="clear" w:color="000000" w:fill="E2EFDA"/>
            <w:vAlign w:val="bottom"/>
            <w:hideMark/>
          </w:tcPr>
          <w:p w14:paraId="070568D6" w14:textId="18D39E82" w:rsidR="00CD49F8" w:rsidRPr="00B5551B" w:rsidRDefault="00CD49F8" w:rsidP="00290F40">
            <w:pPr>
              <w:spacing w:after="0" w:line="240" w:lineRule="auto"/>
              <w:ind w:firstLine="0"/>
              <w:jc w:val="center"/>
              <w:rPr>
                <w:rFonts w:eastAsia="Times New Roman"/>
                <w:b/>
                <w:bCs/>
                <w:color w:val="000000"/>
              </w:rPr>
            </w:pPr>
          </w:p>
        </w:tc>
      </w:tr>
      <w:tr w:rsidR="00CD49F8" w:rsidRPr="00B5551B" w14:paraId="0EE16667" w14:textId="77777777" w:rsidTr="00FC51B7">
        <w:trPr>
          <w:trHeight w:val="620"/>
          <w:jc w:val="center"/>
        </w:trPr>
        <w:tc>
          <w:tcPr>
            <w:tcW w:w="4100" w:type="dxa"/>
            <w:tcBorders>
              <w:top w:val="nil"/>
              <w:left w:val="single" w:sz="4" w:space="0" w:color="auto"/>
              <w:bottom w:val="single" w:sz="4" w:space="0" w:color="auto"/>
              <w:right w:val="single" w:sz="4" w:space="0" w:color="auto"/>
            </w:tcBorders>
            <w:shd w:val="clear" w:color="auto" w:fill="auto"/>
            <w:vAlign w:val="center"/>
            <w:hideMark/>
          </w:tcPr>
          <w:p w14:paraId="398EE427" w14:textId="77777777" w:rsidR="00CD49F8" w:rsidRPr="00B5551B" w:rsidRDefault="00CD49F8" w:rsidP="00FC51B7">
            <w:pPr>
              <w:spacing w:after="0" w:line="240" w:lineRule="auto"/>
              <w:jc w:val="right"/>
              <w:rPr>
                <w:rFonts w:eastAsia="Times New Roman"/>
                <w:color w:val="000000"/>
              </w:rPr>
            </w:pPr>
            <w:r>
              <w:rPr>
                <w:rFonts w:eastAsia="Times New Roman"/>
                <w:color w:val="000000"/>
              </w:rPr>
              <w:t>SVRA 2</w:t>
            </w:r>
          </w:p>
        </w:tc>
        <w:tc>
          <w:tcPr>
            <w:tcW w:w="1300" w:type="dxa"/>
            <w:tcBorders>
              <w:top w:val="nil"/>
              <w:left w:val="nil"/>
              <w:bottom w:val="single" w:sz="4" w:space="0" w:color="auto"/>
              <w:right w:val="single" w:sz="4" w:space="0" w:color="auto"/>
            </w:tcBorders>
            <w:shd w:val="clear" w:color="000000" w:fill="FFF2CC"/>
            <w:vAlign w:val="center"/>
            <w:hideMark/>
          </w:tcPr>
          <w:p w14:paraId="39D384CF" w14:textId="77777777" w:rsidR="00CD49F8" w:rsidRPr="00B5551B" w:rsidRDefault="00CD49F8" w:rsidP="00290F40">
            <w:pPr>
              <w:spacing w:after="0" w:line="240" w:lineRule="auto"/>
              <w:ind w:firstLine="1"/>
              <w:jc w:val="center"/>
              <w:rPr>
                <w:rFonts w:eastAsia="Times New Roman"/>
                <w:color w:val="000000"/>
              </w:rPr>
            </w:pPr>
            <w:r>
              <w:rPr>
                <w:rFonts w:cstheme="minorHAnsi"/>
              </w:rPr>
              <w:t>2508</w:t>
            </w:r>
          </w:p>
        </w:tc>
        <w:tc>
          <w:tcPr>
            <w:tcW w:w="1300" w:type="dxa"/>
            <w:tcBorders>
              <w:top w:val="nil"/>
              <w:left w:val="nil"/>
              <w:bottom w:val="single" w:sz="4" w:space="0" w:color="auto"/>
              <w:right w:val="single" w:sz="4" w:space="0" w:color="auto"/>
            </w:tcBorders>
            <w:shd w:val="clear" w:color="000000" w:fill="D9E1F2"/>
            <w:vAlign w:val="center"/>
            <w:hideMark/>
          </w:tcPr>
          <w:p w14:paraId="029ACE79" w14:textId="77777777" w:rsidR="00CD49F8" w:rsidRPr="00B5551B" w:rsidRDefault="00CD49F8" w:rsidP="00290F40">
            <w:pPr>
              <w:spacing w:after="0" w:line="240" w:lineRule="auto"/>
              <w:ind w:firstLine="0"/>
              <w:jc w:val="center"/>
              <w:rPr>
                <w:rFonts w:eastAsia="Times New Roman"/>
                <w:color w:val="000000"/>
              </w:rPr>
            </w:pPr>
            <w:r>
              <w:rPr>
                <w:rFonts w:cstheme="minorHAnsi"/>
              </w:rPr>
              <w:t>1922</w:t>
            </w:r>
          </w:p>
        </w:tc>
        <w:tc>
          <w:tcPr>
            <w:tcW w:w="1300" w:type="dxa"/>
            <w:tcBorders>
              <w:top w:val="nil"/>
              <w:left w:val="nil"/>
              <w:bottom w:val="single" w:sz="4" w:space="0" w:color="auto"/>
              <w:right w:val="single" w:sz="4" w:space="0" w:color="auto"/>
            </w:tcBorders>
            <w:shd w:val="clear" w:color="000000" w:fill="E2EFDA"/>
            <w:vAlign w:val="center"/>
            <w:hideMark/>
          </w:tcPr>
          <w:p w14:paraId="07EFA033" w14:textId="77777777" w:rsidR="00CD49F8" w:rsidRPr="00B5551B" w:rsidRDefault="00CD49F8" w:rsidP="00290F40">
            <w:pPr>
              <w:spacing w:after="0" w:line="240" w:lineRule="auto"/>
              <w:ind w:firstLine="0"/>
              <w:jc w:val="center"/>
              <w:rPr>
                <w:rFonts w:eastAsia="Times New Roman"/>
                <w:color w:val="000000"/>
              </w:rPr>
            </w:pPr>
            <w:r>
              <w:rPr>
                <w:rFonts w:cstheme="minorHAnsi"/>
              </w:rPr>
              <w:t>1293</w:t>
            </w:r>
          </w:p>
        </w:tc>
      </w:tr>
      <w:tr w:rsidR="00CD49F8" w:rsidRPr="00B5551B" w14:paraId="2DA24940" w14:textId="77777777" w:rsidTr="00FC51B7">
        <w:trPr>
          <w:trHeight w:val="620"/>
          <w:jc w:val="center"/>
        </w:trPr>
        <w:tc>
          <w:tcPr>
            <w:tcW w:w="4100" w:type="dxa"/>
            <w:tcBorders>
              <w:top w:val="nil"/>
              <w:left w:val="single" w:sz="4" w:space="0" w:color="auto"/>
              <w:bottom w:val="single" w:sz="4" w:space="0" w:color="auto"/>
              <w:right w:val="single" w:sz="4" w:space="0" w:color="auto"/>
            </w:tcBorders>
            <w:shd w:val="clear" w:color="auto" w:fill="auto"/>
            <w:vAlign w:val="center"/>
          </w:tcPr>
          <w:p w14:paraId="7822256B" w14:textId="77777777" w:rsidR="00CD49F8" w:rsidRPr="00B5551B" w:rsidRDefault="00CD49F8" w:rsidP="00FC51B7">
            <w:pPr>
              <w:spacing w:after="0" w:line="240" w:lineRule="auto"/>
              <w:jc w:val="right"/>
              <w:rPr>
                <w:rFonts w:eastAsia="Times New Roman"/>
                <w:color w:val="000000"/>
              </w:rPr>
            </w:pPr>
            <w:r>
              <w:rPr>
                <w:rFonts w:eastAsia="Times New Roman"/>
                <w:color w:val="000000"/>
              </w:rPr>
              <w:t>SVRA 3</w:t>
            </w:r>
          </w:p>
        </w:tc>
        <w:tc>
          <w:tcPr>
            <w:tcW w:w="1300" w:type="dxa"/>
            <w:tcBorders>
              <w:top w:val="nil"/>
              <w:left w:val="nil"/>
              <w:bottom w:val="single" w:sz="4" w:space="0" w:color="auto"/>
              <w:right w:val="single" w:sz="4" w:space="0" w:color="auto"/>
            </w:tcBorders>
            <w:shd w:val="clear" w:color="000000" w:fill="FFF2CC"/>
            <w:vAlign w:val="bottom"/>
          </w:tcPr>
          <w:p w14:paraId="51026AAD" w14:textId="77777777" w:rsidR="00CD49F8" w:rsidRPr="00B5551B" w:rsidRDefault="00CD49F8" w:rsidP="00290F40">
            <w:pPr>
              <w:spacing w:after="0" w:line="240" w:lineRule="auto"/>
              <w:ind w:firstLine="1"/>
              <w:jc w:val="center"/>
              <w:rPr>
                <w:rFonts w:eastAsia="Times New Roman"/>
                <w:color w:val="000000"/>
              </w:rPr>
            </w:pPr>
          </w:p>
        </w:tc>
        <w:tc>
          <w:tcPr>
            <w:tcW w:w="1300" w:type="dxa"/>
            <w:tcBorders>
              <w:top w:val="nil"/>
              <w:left w:val="nil"/>
              <w:bottom w:val="single" w:sz="4" w:space="0" w:color="auto"/>
              <w:right w:val="single" w:sz="4" w:space="0" w:color="auto"/>
            </w:tcBorders>
            <w:shd w:val="clear" w:color="000000" w:fill="D9E1F2"/>
            <w:vAlign w:val="center"/>
          </w:tcPr>
          <w:p w14:paraId="64C34730" w14:textId="77777777" w:rsidR="00CD49F8" w:rsidRPr="00B5551B" w:rsidRDefault="00CD49F8" w:rsidP="00290F40">
            <w:pPr>
              <w:spacing w:after="0" w:line="240" w:lineRule="auto"/>
              <w:ind w:firstLine="0"/>
              <w:jc w:val="center"/>
              <w:rPr>
                <w:rFonts w:eastAsia="Times New Roman"/>
                <w:color w:val="000000"/>
              </w:rPr>
            </w:pPr>
            <w:r>
              <w:rPr>
                <w:rFonts w:cstheme="minorHAnsi"/>
              </w:rPr>
              <w:t>1576</w:t>
            </w:r>
          </w:p>
        </w:tc>
        <w:tc>
          <w:tcPr>
            <w:tcW w:w="1300" w:type="dxa"/>
            <w:tcBorders>
              <w:top w:val="nil"/>
              <w:left w:val="nil"/>
              <w:bottom w:val="single" w:sz="4" w:space="0" w:color="auto"/>
              <w:right w:val="single" w:sz="4" w:space="0" w:color="auto"/>
            </w:tcBorders>
            <w:shd w:val="clear" w:color="000000" w:fill="E2EFDA"/>
            <w:vAlign w:val="center"/>
          </w:tcPr>
          <w:p w14:paraId="328EDC32" w14:textId="77777777" w:rsidR="00CD49F8" w:rsidRPr="00B5551B" w:rsidRDefault="00CD49F8" w:rsidP="00290F40">
            <w:pPr>
              <w:spacing w:after="0" w:line="240" w:lineRule="auto"/>
              <w:ind w:firstLine="0"/>
              <w:jc w:val="center"/>
              <w:rPr>
                <w:rFonts w:eastAsia="Times New Roman"/>
                <w:color w:val="000000"/>
              </w:rPr>
            </w:pPr>
            <w:r>
              <w:rPr>
                <w:rFonts w:cstheme="minorHAnsi"/>
              </w:rPr>
              <w:t>2874</w:t>
            </w:r>
          </w:p>
        </w:tc>
      </w:tr>
    </w:tbl>
    <w:p w14:paraId="45E0E2FB" w14:textId="77777777" w:rsidR="00CD49F8" w:rsidRPr="007C0F4C" w:rsidRDefault="00CD49F8" w:rsidP="00CD49F8">
      <w:pPr>
        <w:rPr>
          <w:rFonts w:cstheme="minorHAnsi"/>
        </w:rPr>
      </w:pPr>
    </w:p>
    <w:p w14:paraId="1197EAC8" w14:textId="77777777" w:rsidR="00F72A9E" w:rsidRDefault="00F72A9E">
      <w:pPr>
        <w:ind w:firstLine="0"/>
        <w:rPr>
          <w:rFonts w:cstheme="minorHAnsi"/>
          <w:b/>
          <w:sz w:val="36"/>
          <w:szCs w:val="36"/>
        </w:rPr>
      </w:pPr>
      <w:bookmarkStart w:id="75" w:name="_Toc41940219"/>
      <w:r>
        <w:rPr>
          <w:szCs w:val="36"/>
        </w:rPr>
        <w:br w:type="page"/>
      </w:r>
    </w:p>
    <w:p w14:paraId="6A12C69B" w14:textId="53D44640" w:rsidR="00611D28" w:rsidRPr="005557AF" w:rsidRDefault="00CD49F8" w:rsidP="00611D28">
      <w:pPr>
        <w:pStyle w:val="Heading2"/>
        <w:rPr>
          <w:caps/>
          <w:szCs w:val="36"/>
        </w:rPr>
      </w:pPr>
      <w:r w:rsidRPr="00CD49F8">
        <w:rPr>
          <w:szCs w:val="36"/>
        </w:rPr>
        <w:lastRenderedPageBreak/>
        <w:t>Section 511 ITAs: Resources</w:t>
      </w:r>
      <w:bookmarkEnd w:id="75"/>
    </w:p>
    <w:p w14:paraId="337861CD" w14:textId="336AE2F0" w:rsidR="00611D28" w:rsidRPr="009F5C97" w:rsidRDefault="00611D28" w:rsidP="00290F40">
      <w:pPr>
        <w:spacing w:after="240" w:line="240" w:lineRule="auto"/>
        <w:rPr>
          <w:rFonts w:eastAsia="Times New Roman" w:cstheme="minorHAnsi"/>
        </w:rPr>
      </w:pPr>
      <w:r w:rsidRPr="009F5C97">
        <w:rPr>
          <w:rFonts w:eastAsia="Times New Roman" w:cstheme="minorHAnsi"/>
        </w:rPr>
        <w:t>The TA team has developed a number of resources to support SVRAs as they continue to meet the Section 511 requirements. These are available on the WINTAC website:</w:t>
      </w:r>
    </w:p>
    <w:p w14:paraId="2C4CCF50" w14:textId="77777777" w:rsidR="00611D28" w:rsidRPr="00005A9D" w:rsidRDefault="00611D28" w:rsidP="00290F40">
      <w:pPr>
        <w:pStyle w:val="ListParagraph"/>
        <w:numPr>
          <w:ilvl w:val="0"/>
          <w:numId w:val="18"/>
        </w:numPr>
        <w:spacing w:after="0" w:line="240" w:lineRule="exact"/>
        <w:ind w:left="360"/>
        <w:rPr>
          <w:rFonts w:cstheme="minorHAnsi"/>
        </w:rPr>
      </w:pPr>
      <w:r w:rsidRPr="00005A9D">
        <w:rPr>
          <w:rFonts w:cstheme="minorHAnsi"/>
          <w:b/>
        </w:rPr>
        <w:t>Change in SMW employment:</w:t>
      </w:r>
      <w:r w:rsidRPr="00005A9D">
        <w:rPr>
          <w:rFonts w:cstheme="minorHAnsi"/>
        </w:rPr>
        <w:t xml:space="preserve"> WINTAC completed a study that spans from January, 2016 through July, 2018 on the change in the number of 14c certificate holders and the change in the number of individuals with disabilities working in subminimum wage employment. This information is based on data from the Wage and Hour Division of the Department of Labor.</w:t>
      </w:r>
    </w:p>
    <w:p w14:paraId="19BA01BD" w14:textId="77777777" w:rsidR="00611D28" w:rsidRPr="00B54C2D" w:rsidRDefault="0084664F" w:rsidP="00290F40">
      <w:pPr>
        <w:pStyle w:val="NormalWeb"/>
        <w:numPr>
          <w:ilvl w:val="1"/>
          <w:numId w:val="18"/>
        </w:numPr>
        <w:shd w:val="clear" w:color="auto" w:fill="FFFFFF"/>
        <w:spacing w:line="240" w:lineRule="exact"/>
        <w:rPr>
          <w:rFonts w:cstheme="minorHAnsi"/>
          <w:szCs w:val="22"/>
        </w:rPr>
      </w:pPr>
      <w:hyperlink r:id="rId113" w:tgtFrame="_blank" w:history="1">
        <w:r w:rsidR="00611D28" w:rsidRPr="00B54C2D">
          <w:rPr>
            <w:rStyle w:val="Hyperlink"/>
            <w:rFonts w:cstheme="minorHAnsi"/>
            <w:color w:val="auto"/>
            <w:szCs w:val="22"/>
          </w:rPr>
          <w:t>Summary of the changes by State from January 2016 through July 2019</w:t>
        </w:r>
      </w:hyperlink>
    </w:p>
    <w:p w14:paraId="0FE162B1" w14:textId="77777777" w:rsidR="00611D28" w:rsidRPr="00B54C2D" w:rsidRDefault="00611D28" w:rsidP="00290F40">
      <w:pPr>
        <w:pStyle w:val="NormalWeb"/>
        <w:numPr>
          <w:ilvl w:val="1"/>
          <w:numId w:val="18"/>
        </w:numPr>
        <w:shd w:val="clear" w:color="auto" w:fill="FFFFFF"/>
        <w:spacing w:line="240" w:lineRule="exact"/>
        <w:rPr>
          <w:rStyle w:val="Hyperlink"/>
          <w:rFonts w:cstheme="minorHAnsi"/>
          <w:color w:val="auto"/>
          <w:szCs w:val="22"/>
        </w:rPr>
      </w:pPr>
      <w:r w:rsidRPr="00B54C2D">
        <w:rPr>
          <w:rFonts w:cstheme="minorHAnsi"/>
          <w:szCs w:val="22"/>
        </w:rPr>
        <w:fldChar w:fldCharType="begin"/>
      </w:r>
      <w:r w:rsidRPr="00B54C2D">
        <w:rPr>
          <w:rFonts w:cstheme="minorHAnsi"/>
          <w:szCs w:val="22"/>
        </w:rPr>
        <w:instrText xml:space="preserve"> HYPERLINK "http://wintac-s3.s3-us-west-2.amazonaws.com/topic-areas/ta_511/All-States-through-July-2019.xlsx" \t "_blank" </w:instrText>
      </w:r>
      <w:r w:rsidRPr="00B54C2D">
        <w:rPr>
          <w:rFonts w:cstheme="minorHAnsi"/>
          <w:szCs w:val="22"/>
        </w:rPr>
        <w:fldChar w:fldCharType="separate"/>
      </w:r>
      <w:r w:rsidRPr="00B54C2D">
        <w:rPr>
          <w:rStyle w:val="Hyperlink"/>
          <w:rFonts w:cstheme="minorHAnsi"/>
          <w:color w:val="auto"/>
          <w:szCs w:val="22"/>
        </w:rPr>
        <w:t>State-by State analysis of 14c certificate holders from January 2016 through July 2019</w:t>
      </w:r>
    </w:p>
    <w:p w14:paraId="5493C829" w14:textId="77777777" w:rsidR="00611D28" w:rsidRPr="00B54C2D" w:rsidRDefault="00611D28" w:rsidP="00290F40">
      <w:pPr>
        <w:pStyle w:val="NormalWeb"/>
        <w:numPr>
          <w:ilvl w:val="1"/>
          <w:numId w:val="18"/>
        </w:numPr>
        <w:shd w:val="clear" w:color="auto" w:fill="FFFFFF"/>
        <w:spacing w:line="240" w:lineRule="exact"/>
        <w:rPr>
          <w:rStyle w:val="apple-converted-space"/>
          <w:rFonts w:cstheme="minorHAnsi"/>
          <w:szCs w:val="22"/>
        </w:rPr>
      </w:pPr>
      <w:r w:rsidRPr="00B54C2D">
        <w:rPr>
          <w:rFonts w:cstheme="minorHAnsi"/>
          <w:szCs w:val="22"/>
        </w:rPr>
        <w:fldChar w:fldCharType="end"/>
      </w:r>
      <w:hyperlink r:id="rId114" w:tgtFrame="_blank" w:history="1">
        <w:r w:rsidRPr="00B54C2D">
          <w:rPr>
            <w:rStyle w:val="apple-converted-space"/>
            <w:rFonts w:cstheme="minorHAnsi"/>
            <w:szCs w:val="22"/>
            <w:u w:val="single"/>
          </w:rPr>
          <w:t>Summary of the changes by State from January 2016 through July 2019</w:t>
        </w:r>
      </w:hyperlink>
      <w:r w:rsidRPr="00B54C2D">
        <w:rPr>
          <w:rStyle w:val="apple-converted-space"/>
          <w:rFonts w:cstheme="minorHAnsi"/>
          <w:szCs w:val="22"/>
        </w:rPr>
        <w:t xml:space="preserve"> (XLSX)</w:t>
      </w:r>
    </w:p>
    <w:p w14:paraId="4472BF03" w14:textId="77777777" w:rsidR="00611D28" w:rsidRPr="00B54C2D" w:rsidRDefault="0084664F" w:rsidP="00290F40">
      <w:pPr>
        <w:pStyle w:val="NormalWeb"/>
        <w:numPr>
          <w:ilvl w:val="1"/>
          <w:numId w:val="18"/>
        </w:numPr>
        <w:shd w:val="clear" w:color="auto" w:fill="FFFFFF"/>
        <w:spacing w:line="240" w:lineRule="exact"/>
        <w:rPr>
          <w:rFonts w:cstheme="minorHAnsi"/>
          <w:szCs w:val="22"/>
        </w:rPr>
      </w:pPr>
      <w:hyperlink r:id="rId115" w:tgtFrame="_blank" w:history="1">
        <w:r w:rsidR="00611D28" w:rsidRPr="00B54C2D">
          <w:rPr>
            <w:rStyle w:val="Hyperlink"/>
            <w:rFonts w:cstheme="minorHAnsi"/>
            <w:color w:val="auto"/>
            <w:szCs w:val="22"/>
          </w:rPr>
          <w:t>State-by State analysis of 14c certificate holders from January 2016 through July 2019</w:t>
        </w:r>
      </w:hyperlink>
      <w:r w:rsidR="00611D28" w:rsidRPr="00B54C2D">
        <w:rPr>
          <w:rStyle w:val="Hyperlink"/>
          <w:rFonts w:cstheme="minorHAnsi"/>
          <w:color w:val="auto"/>
          <w:szCs w:val="22"/>
          <w:u w:val="none"/>
        </w:rPr>
        <w:t xml:space="preserve"> (XLSX)</w:t>
      </w:r>
    </w:p>
    <w:p w14:paraId="0116A212" w14:textId="77777777" w:rsidR="00611D28" w:rsidRPr="00005A9D" w:rsidRDefault="00611D28" w:rsidP="00290F40">
      <w:pPr>
        <w:pStyle w:val="NormalWeb"/>
        <w:spacing w:after="150" w:line="240" w:lineRule="exact"/>
        <w:ind w:left="360"/>
        <w:rPr>
          <w:rFonts w:cstheme="minorHAnsi"/>
          <w:szCs w:val="22"/>
        </w:rPr>
      </w:pPr>
      <w:r w:rsidRPr="00005A9D">
        <w:rPr>
          <w:rFonts w:cstheme="minorHAnsi"/>
          <w:szCs w:val="22"/>
        </w:rPr>
        <w:t>Phase Two of the project will examine what happened to the 14c holders who let their certificates expire without renewing.</w:t>
      </w:r>
    </w:p>
    <w:p w14:paraId="5C54470F" w14:textId="77777777" w:rsidR="00611D28" w:rsidRPr="00005A9D" w:rsidRDefault="00611D28" w:rsidP="00290F40">
      <w:pPr>
        <w:pStyle w:val="ListParagraph"/>
        <w:numPr>
          <w:ilvl w:val="0"/>
          <w:numId w:val="18"/>
        </w:numPr>
        <w:spacing w:after="0" w:line="240" w:lineRule="exact"/>
        <w:ind w:left="360"/>
        <w:rPr>
          <w:rFonts w:eastAsia="Times New Roman" w:cstheme="minorHAnsi"/>
          <w:b/>
        </w:rPr>
      </w:pPr>
      <w:r w:rsidRPr="00005A9D">
        <w:rPr>
          <w:rFonts w:eastAsia="Times New Roman" w:cstheme="minorHAnsi"/>
          <w:b/>
          <w:bCs/>
        </w:rPr>
        <w:t>Career Counseling and Information and Referral (CC&amp;I&amp;R) Examples</w:t>
      </w:r>
    </w:p>
    <w:p w14:paraId="2836DEF9" w14:textId="77777777" w:rsidR="00611D28" w:rsidRPr="00005A9D" w:rsidRDefault="00611D28" w:rsidP="00290F40">
      <w:pPr>
        <w:pStyle w:val="NormalWeb"/>
        <w:spacing w:line="240" w:lineRule="exact"/>
        <w:ind w:left="720"/>
        <w:rPr>
          <w:rFonts w:cstheme="minorHAnsi"/>
          <w:i/>
          <w:szCs w:val="22"/>
        </w:rPr>
      </w:pPr>
      <w:r w:rsidRPr="00005A9D">
        <w:rPr>
          <w:rFonts w:cstheme="minorHAnsi"/>
          <w:i/>
          <w:szCs w:val="22"/>
        </w:rPr>
        <w:t>Hawaii's Section 511 Documents</w:t>
      </w:r>
    </w:p>
    <w:p w14:paraId="5C14B133" w14:textId="77777777" w:rsidR="00611D28" w:rsidRPr="00005A9D" w:rsidRDefault="0084664F" w:rsidP="00290F40">
      <w:pPr>
        <w:pStyle w:val="NormalWeb"/>
        <w:numPr>
          <w:ilvl w:val="1"/>
          <w:numId w:val="19"/>
        </w:numPr>
        <w:spacing w:after="120" w:line="240" w:lineRule="exact"/>
        <w:rPr>
          <w:rFonts w:cstheme="minorHAnsi"/>
          <w:szCs w:val="22"/>
        </w:rPr>
      </w:pPr>
      <w:hyperlink r:id="rId116" w:tgtFrame="_blank" w:history="1">
        <w:r w:rsidR="00611D28" w:rsidRPr="00005A9D">
          <w:rPr>
            <w:rStyle w:val="Hyperlink"/>
            <w:rFonts w:cstheme="minorHAnsi"/>
            <w:color w:val="auto"/>
            <w:szCs w:val="22"/>
          </w:rPr>
          <w:t>CC&amp;I&amp;R Presentation</w:t>
        </w:r>
      </w:hyperlink>
    </w:p>
    <w:p w14:paraId="20DEDAF4" w14:textId="77777777" w:rsidR="00611D28" w:rsidRPr="00005A9D" w:rsidRDefault="0084664F" w:rsidP="00290F40">
      <w:pPr>
        <w:pStyle w:val="NormalWeb"/>
        <w:numPr>
          <w:ilvl w:val="1"/>
          <w:numId w:val="19"/>
        </w:numPr>
        <w:spacing w:after="120" w:line="240" w:lineRule="exact"/>
        <w:rPr>
          <w:rFonts w:cstheme="minorHAnsi"/>
          <w:szCs w:val="22"/>
        </w:rPr>
      </w:pPr>
      <w:hyperlink r:id="rId117" w:tgtFrame="_blank" w:history="1">
        <w:r w:rsidR="00611D28" w:rsidRPr="00005A9D">
          <w:rPr>
            <w:rStyle w:val="Hyperlink"/>
            <w:rFonts w:cstheme="minorHAnsi"/>
            <w:color w:val="auto"/>
            <w:szCs w:val="22"/>
          </w:rPr>
          <w:t>Hawaii Information and referral form</w:t>
        </w:r>
      </w:hyperlink>
    </w:p>
    <w:p w14:paraId="20828BEC" w14:textId="77777777" w:rsidR="00611D28" w:rsidRPr="00005A9D" w:rsidRDefault="0084664F" w:rsidP="00290F40">
      <w:pPr>
        <w:pStyle w:val="NormalWeb"/>
        <w:numPr>
          <w:ilvl w:val="1"/>
          <w:numId w:val="19"/>
        </w:numPr>
        <w:spacing w:after="120" w:line="240" w:lineRule="exact"/>
        <w:rPr>
          <w:rFonts w:cstheme="minorHAnsi"/>
          <w:szCs w:val="22"/>
        </w:rPr>
      </w:pPr>
      <w:hyperlink r:id="rId118" w:tgtFrame="_blank" w:history="1">
        <w:r w:rsidR="00611D28" w:rsidRPr="00005A9D">
          <w:rPr>
            <w:rStyle w:val="Hyperlink"/>
            <w:rFonts w:cstheme="minorHAnsi"/>
            <w:color w:val="auto"/>
            <w:szCs w:val="22"/>
          </w:rPr>
          <w:t>Hawaii self-advocacy, self-determination and peer mentoring form</w:t>
        </w:r>
      </w:hyperlink>
    </w:p>
    <w:p w14:paraId="4B3EA8F0" w14:textId="77777777" w:rsidR="00611D28" w:rsidRPr="00005A9D" w:rsidRDefault="0084664F" w:rsidP="00290F40">
      <w:pPr>
        <w:pStyle w:val="NormalWeb"/>
        <w:numPr>
          <w:ilvl w:val="1"/>
          <w:numId w:val="19"/>
        </w:numPr>
        <w:spacing w:after="60" w:line="240" w:lineRule="exact"/>
        <w:rPr>
          <w:rFonts w:cstheme="minorHAnsi"/>
          <w:szCs w:val="22"/>
        </w:rPr>
      </w:pPr>
      <w:hyperlink r:id="rId119" w:tgtFrame="_blank" w:history="1">
        <w:r w:rsidR="00611D28" w:rsidRPr="00005A9D">
          <w:rPr>
            <w:rStyle w:val="Hyperlink"/>
            <w:rFonts w:cstheme="minorHAnsi"/>
            <w:color w:val="auto"/>
            <w:szCs w:val="22"/>
          </w:rPr>
          <w:t>Hawaii subminimum wage letter to employee and parent/guardian</w:t>
        </w:r>
      </w:hyperlink>
    </w:p>
    <w:p w14:paraId="3DE3CE9D" w14:textId="77777777" w:rsidR="00611D28" w:rsidRPr="00005A9D" w:rsidRDefault="00611D28" w:rsidP="00290F40">
      <w:pPr>
        <w:pStyle w:val="NormalWeb"/>
        <w:spacing w:line="240" w:lineRule="exact"/>
        <w:ind w:left="720"/>
        <w:rPr>
          <w:rFonts w:cstheme="minorHAnsi"/>
          <w:szCs w:val="22"/>
        </w:rPr>
      </w:pPr>
      <w:r w:rsidRPr="00005A9D">
        <w:rPr>
          <w:rFonts w:cstheme="minorHAnsi"/>
          <w:i/>
          <w:szCs w:val="22"/>
        </w:rPr>
        <w:t>Examples of CC&amp;I&amp;R Presentation Materials:</w:t>
      </w:r>
      <w:r w:rsidRPr="00005A9D">
        <w:rPr>
          <w:rFonts w:cstheme="minorHAnsi"/>
          <w:szCs w:val="22"/>
        </w:rPr>
        <w:t xml:space="preserve"> Each of these presentations is being conducted at the work site. The 14(c) employer is allowing the VR program or contracted staff to come in to the work site and present to an established number of individuals. The required documentation is completed on-site when the presentation is over.</w:t>
      </w:r>
    </w:p>
    <w:p w14:paraId="677A2530" w14:textId="77777777" w:rsidR="00611D28" w:rsidRPr="00005A9D" w:rsidRDefault="0084664F" w:rsidP="00290F40">
      <w:pPr>
        <w:pStyle w:val="NormalWeb"/>
        <w:numPr>
          <w:ilvl w:val="1"/>
          <w:numId w:val="19"/>
        </w:numPr>
        <w:spacing w:after="60" w:line="240" w:lineRule="exact"/>
        <w:rPr>
          <w:rFonts w:cstheme="minorHAnsi"/>
          <w:szCs w:val="22"/>
        </w:rPr>
      </w:pPr>
      <w:hyperlink r:id="rId120" w:tgtFrame="_blank" w:history="1">
        <w:r w:rsidR="00611D28" w:rsidRPr="00005A9D">
          <w:rPr>
            <w:rStyle w:val="Hyperlink"/>
            <w:rFonts w:cstheme="minorHAnsi"/>
            <w:color w:val="auto"/>
            <w:szCs w:val="22"/>
          </w:rPr>
          <w:t>Idaho Division of Vocational Rehabilitation</w:t>
        </w:r>
      </w:hyperlink>
    </w:p>
    <w:p w14:paraId="53F19F91" w14:textId="77777777" w:rsidR="00611D28" w:rsidRPr="00005A9D" w:rsidRDefault="0084664F" w:rsidP="00290F40">
      <w:pPr>
        <w:pStyle w:val="NormalWeb"/>
        <w:numPr>
          <w:ilvl w:val="1"/>
          <w:numId w:val="19"/>
        </w:numPr>
        <w:spacing w:after="60" w:line="240" w:lineRule="exact"/>
        <w:rPr>
          <w:rFonts w:cstheme="minorHAnsi"/>
          <w:szCs w:val="22"/>
        </w:rPr>
      </w:pPr>
      <w:hyperlink r:id="rId121" w:tgtFrame="_blank" w:history="1">
        <w:r w:rsidR="00611D28" w:rsidRPr="00005A9D">
          <w:rPr>
            <w:rStyle w:val="Hyperlink"/>
            <w:rFonts w:cstheme="minorHAnsi"/>
            <w:color w:val="auto"/>
            <w:szCs w:val="22"/>
          </w:rPr>
          <w:t>Hawaii Division of Vocational Rehabilitation</w:t>
        </w:r>
      </w:hyperlink>
    </w:p>
    <w:p w14:paraId="7783648D" w14:textId="77777777" w:rsidR="00611D28" w:rsidRPr="00005A9D" w:rsidRDefault="00611D28" w:rsidP="00290F40">
      <w:pPr>
        <w:pStyle w:val="NormalWeb"/>
        <w:spacing w:line="240" w:lineRule="exact"/>
        <w:ind w:left="720"/>
        <w:rPr>
          <w:rFonts w:cstheme="minorHAnsi"/>
          <w:szCs w:val="22"/>
        </w:rPr>
      </w:pPr>
      <w:r w:rsidRPr="00005A9D">
        <w:rPr>
          <w:rFonts w:cstheme="minorHAnsi"/>
          <w:i/>
          <w:szCs w:val="22"/>
        </w:rPr>
        <w:t>Examples of CC&amp;I&amp;R Presentation Materials:</w:t>
      </w:r>
      <w:r w:rsidRPr="00005A9D">
        <w:rPr>
          <w:rFonts w:cstheme="minorHAnsi"/>
          <w:szCs w:val="22"/>
        </w:rPr>
        <w:t xml:space="preserve"> RSA reviewed the CC&amp;I&amp;R forms developed by Indiana and has recommended them for adaption and use by other VR programs. You can access these forms by clicking on the links below:</w:t>
      </w:r>
    </w:p>
    <w:p w14:paraId="06B55E20" w14:textId="77777777" w:rsidR="00611D28" w:rsidRPr="00005A9D" w:rsidRDefault="0084664F" w:rsidP="00290F40">
      <w:pPr>
        <w:pStyle w:val="NormalWeb"/>
        <w:numPr>
          <w:ilvl w:val="1"/>
          <w:numId w:val="19"/>
        </w:numPr>
        <w:spacing w:after="60" w:line="240" w:lineRule="exact"/>
        <w:rPr>
          <w:rFonts w:cstheme="minorHAnsi"/>
          <w:szCs w:val="22"/>
        </w:rPr>
      </w:pPr>
      <w:hyperlink r:id="rId122" w:tgtFrame="_blank" w:history="1">
        <w:r w:rsidR="00611D28" w:rsidRPr="00005A9D">
          <w:rPr>
            <w:rStyle w:val="Hyperlink"/>
            <w:rFonts w:cstheme="minorHAnsi"/>
            <w:color w:val="auto"/>
            <w:szCs w:val="22"/>
          </w:rPr>
          <w:t>CC&amp;I&amp;R Participation and Refusal Cover Sheets</w:t>
        </w:r>
      </w:hyperlink>
    </w:p>
    <w:p w14:paraId="76E8B07D" w14:textId="77777777" w:rsidR="00611D28" w:rsidRPr="00005A9D" w:rsidRDefault="0084664F" w:rsidP="00290F40">
      <w:pPr>
        <w:pStyle w:val="NormalWeb"/>
        <w:numPr>
          <w:ilvl w:val="1"/>
          <w:numId w:val="19"/>
        </w:numPr>
        <w:spacing w:after="60" w:line="240" w:lineRule="exact"/>
        <w:rPr>
          <w:rFonts w:cstheme="minorHAnsi"/>
          <w:szCs w:val="22"/>
        </w:rPr>
      </w:pPr>
      <w:hyperlink r:id="rId123" w:tgtFrame="_blank" w:history="1">
        <w:r w:rsidR="00611D28" w:rsidRPr="00005A9D">
          <w:rPr>
            <w:rStyle w:val="Hyperlink"/>
            <w:rFonts w:cstheme="minorHAnsi"/>
            <w:color w:val="auto"/>
            <w:szCs w:val="22"/>
          </w:rPr>
          <w:t>Youth Participation or Refusal Cover Sheets</w:t>
        </w:r>
      </w:hyperlink>
    </w:p>
    <w:p w14:paraId="57C79475" w14:textId="77777777" w:rsidR="00611D28" w:rsidRPr="00B040EB" w:rsidRDefault="00611D28" w:rsidP="00290F40">
      <w:pPr>
        <w:pStyle w:val="ListParagraph"/>
        <w:numPr>
          <w:ilvl w:val="0"/>
          <w:numId w:val="18"/>
        </w:numPr>
        <w:spacing w:after="0" w:line="240" w:lineRule="exact"/>
        <w:ind w:left="360"/>
        <w:rPr>
          <w:rFonts w:eastAsia="Times New Roman" w:cstheme="minorHAnsi"/>
          <w:b/>
        </w:rPr>
      </w:pPr>
      <w:r w:rsidRPr="00B040EB">
        <w:rPr>
          <w:rFonts w:eastAsia="Times New Roman" w:cstheme="minorHAnsi"/>
          <w:b/>
          <w:bCs/>
        </w:rPr>
        <w:t>RSA Presentation on Section 511</w:t>
      </w:r>
    </w:p>
    <w:p w14:paraId="1E973FD2" w14:textId="77777777" w:rsidR="00611D28" w:rsidRDefault="00611D28" w:rsidP="00290F40">
      <w:pPr>
        <w:spacing w:after="0" w:line="240" w:lineRule="exact"/>
        <w:rPr>
          <w:rFonts w:cstheme="minorHAnsi"/>
          <w:sz w:val="21"/>
          <w:szCs w:val="21"/>
        </w:rPr>
      </w:pPr>
      <w:r w:rsidRPr="00B040EB">
        <w:rPr>
          <w:rFonts w:cstheme="minorHAnsi"/>
          <w:i/>
          <w:iCs/>
          <w:color w:val="333333"/>
          <w:sz w:val="21"/>
          <w:szCs w:val="21"/>
        </w:rPr>
        <w:t>RSA Presentation on Section 511 at 2016 CSAVR Conference:</w:t>
      </w:r>
      <w:r>
        <w:rPr>
          <w:rFonts w:cstheme="minorHAnsi"/>
          <w:color w:val="333333"/>
          <w:sz w:val="21"/>
          <w:szCs w:val="21"/>
        </w:rPr>
        <w:t xml:space="preserve"> </w:t>
      </w:r>
      <w:r w:rsidRPr="00B040EB">
        <w:rPr>
          <w:rFonts w:cstheme="minorHAnsi"/>
          <w:color w:val="333333"/>
          <w:sz w:val="21"/>
          <w:szCs w:val="21"/>
        </w:rPr>
        <w:t xml:space="preserve">At the Fall, 2016 CSAVR conference in San Diego, RSA presented on several parts of the Workforce Innovation and Opportunity Act. If you are </w:t>
      </w:r>
      <w:r w:rsidRPr="00B040EB">
        <w:rPr>
          <w:rFonts w:cstheme="minorHAnsi"/>
          <w:sz w:val="21"/>
          <w:szCs w:val="21"/>
        </w:rPr>
        <w:t>interested in reviewing the RSA presentation on Section 511</w:t>
      </w:r>
    </w:p>
    <w:p w14:paraId="2B7823AC" w14:textId="77777777" w:rsidR="00611D28" w:rsidRPr="00272C9F" w:rsidRDefault="0084664F" w:rsidP="00290F40">
      <w:pPr>
        <w:pStyle w:val="ListParagraph"/>
        <w:numPr>
          <w:ilvl w:val="1"/>
          <w:numId w:val="20"/>
        </w:numPr>
        <w:spacing w:line="240" w:lineRule="exact"/>
        <w:rPr>
          <w:rFonts w:cstheme="minorHAnsi"/>
          <w:sz w:val="21"/>
          <w:szCs w:val="21"/>
        </w:rPr>
      </w:pPr>
      <w:hyperlink r:id="rId124" w:history="1">
        <w:r w:rsidR="00611D28" w:rsidRPr="00272C9F">
          <w:rPr>
            <w:rStyle w:val="Hyperlink"/>
            <w:rFonts w:cstheme="minorHAnsi"/>
            <w:color w:val="auto"/>
            <w:sz w:val="21"/>
            <w:szCs w:val="21"/>
          </w:rPr>
          <w:t>RSA Presentation on Section 511 at 2016 CSAVR Conference</w:t>
        </w:r>
      </w:hyperlink>
      <w:r w:rsidR="00611D28" w:rsidRPr="00272C9F">
        <w:rPr>
          <w:rFonts w:cstheme="minorHAnsi"/>
          <w:sz w:val="21"/>
          <w:szCs w:val="21"/>
        </w:rPr>
        <w:t xml:space="preserve"> (PDF)</w:t>
      </w:r>
    </w:p>
    <w:p w14:paraId="3AFD42CB" w14:textId="77777777" w:rsidR="00611D28" w:rsidRDefault="00611D28" w:rsidP="00290F40">
      <w:pPr>
        <w:spacing w:after="0" w:line="240" w:lineRule="exact"/>
        <w:rPr>
          <w:rFonts w:cstheme="minorHAnsi"/>
          <w:sz w:val="21"/>
          <w:szCs w:val="21"/>
        </w:rPr>
      </w:pPr>
      <w:r w:rsidRPr="00B040EB">
        <w:rPr>
          <w:rFonts w:cstheme="minorHAnsi"/>
          <w:i/>
        </w:rPr>
        <w:t>Common elements of career counseling:</w:t>
      </w:r>
      <w:r w:rsidRPr="00B040EB">
        <w:rPr>
          <w:rFonts w:cstheme="minorHAnsi"/>
        </w:rPr>
        <w:t xml:space="preserve"> Although the Final Rule for Section 511 does not specify what the content of CC&amp;I&amp;R should be, WINTAC identified </w:t>
      </w:r>
      <w:hyperlink r:id="rId125" w:tgtFrame="_blank" w:history="1">
        <w:r w:rsidRPr="00B040EB">
          <w:rPr>
            <w:rFonts w:cstheme="minorHAnsi"/>
            <w:b/>
            <w:bCs/>
          </w:rPr>
          <w:t>common elements of career counseling and agencies</w:t>
        </w:r>
      </w:hyperlink>
      <w:r w:rsidRPr="00B040EB">
        <w:rPr>
          <w:rFonts w:cstheme="minorHAnsi"/>
        </w:rPr>
        <w:t xml:space="preserve"> to include when providing information and referral services, as well as common State, Federal and other programs that may provide opportunities for competitive integrated employment for individuals with disabilities. </w:t>
      </w:r>
    </w:p>
    <w:p w14:paraId="20F84043" w14:textId="77777777" w:rsidR="00611D28" w:rsidRPr="00272C9F" w:rsidRDefault="0084664F" w:rsidP="00290F40">
      <w:pPr>
        <w:pStyle w:val="ListParagraph"/>
        <w:numPr>
          <w:ilvl w:val="1"/>
          <w:numId w:val="20"/>
        </w:numPr>
        <w:spacing w:line="240" w:lineRule="exact"/>
        <w:rPr>
          <w:rFonts w:cstheme="minorHAnsi"/>
        </w:rPr>
      </w:pPr>
      <w:hyperlink r:id="rId126" w:history="1">
        <w:r w:rsidR="00611D28" w:rsidRPr="00272C9F">
          <w:rPr>
            <w:rStyle w:val="Hyperlink"/>
            <w:color w:val="auto"/>
          </w:rPr>
          <w:t>Common elements of career counseling and agencies</w:t>
        </w:r>
      </w:hyperlink>
      <w:r w:rsidR="00611D28" w:rsidRPr="00272C9F">
        <w:rPr>
          <w:rFonts w:cstheme="minorHAnsi"/>
          <w:sz w:val="21"/>
          <w:szCs w:val="21"/>
        </w:rPr>
        <w:t xml:space="preserve"> (DOCX)</w:t>
      </w:r>
    </w:p>
    <w:p w14:paraId="6EC60DFF" w14:textId="77777777" w:rsidR="00611D28" w:rsidRDefault="00611D28" w:rsidP="00290F40">
      <w:pPr>
        <w:spacing w:after="0" w:line="240" w:lineRule="exact"/>
        <w:rPr>
          <w:rFonts w:cstheme="minorHAnsi"/>
          <w:sz w:val="21"/>
          <w:szCs w:val="21"/>
        </w:rPr>
      </w:pPr>
      <w:r w:rsidRPr="00B040EB">
        <w:rPr>
          <w:rFonts w:cstheme="minorHAnsi"/>
          <w:i/>
          <w:iCs/>
          <w:sz w:val="21"/>
          <w:szCs w:val="21"/>
        </w:rPr>
        <w:t>Procedures and Documentation Requirements to Respond to Section 511:</w:t>
      </w:r>
      <w:r w:rsidRPr="00B040EB">
        <w:rPr>
          <w:rFonts w:cstheme="minorHAnsi"/>
          <w:sz w:val="21"/>
          <w:szCs w:val="21"/>
        </w:rPr>
        <w:t xml:space="preserve"> If you are in the process of developing procedures and documentation requirements to respond to the requirements for Section 511 and you would like help with this process.</w:t>
      </w:r>
    </w:p>
    <w:p w14:paraId="7B047B80" w14:textId="44E7601A" w:rsidR="00611D28" w:rsidRPr="00290F40" w:rsidRDefault="0084664F" w:rsidP="00290F40">
      <w:pPr>
        <w:pStyle w:val="ListParagraph"/>
        <w:numPr>
          <w:ilvl w:val="1"/>
          <w:numId w:val="20"/>
        </w:numPr>
        <w:spacing w:line="240" w:lineRule="exact"/>
        <w:rPr>
          <w:rFonts w:cstheme="minorHAnsi"/>
          <w:color w:val="333333"/>
          <w:sz w:val="21"/>
          <w:szCs w:val="21"/>
        </w:rPr>
      </w:pPr>
      <w:hyperlink r:id="rId127" w:tgtFrame="_blank" w:history="1">
        <w:r w:rsidR="00611D28" w:rsidRPr="00272C9F">
          <w:rPr>
            <w:rStyle w:val="Hyperlink"/>
            <w:rFonts w:cstheme="minorHAnsi"/>
            <w:color w:val="auto"/>
            <w:sz w:val="21"/>
            <w:szCs w:val="21"/>
          </w:rPr>
          <w:t>Procedures and Documentation Requirements for Section 511</w:t>
        </w:r>
      </w:hyperlink>
      <w:r w:rsidR="00611D28" w:rsidRPr="00272C9F">
        <w:rPr>
          <w:rFonts w:cstheme="minorHAnsi"/>
          <w:color w:val="333333"/>
          <w:sz w:val="21"/>
          <w:szCs w:val="21"/>
        </w:rPr>
        <w:t xml:space="preserve"> (DOCX)</w:t>
      </w:r>
      <w:r w:rsidR="00611D28" w:rsidRPr="00290F40">
        <w:rPr>
          <w:rFonts w:cstheme="minorHAnsi"/>
          <w:b/>
          <w:bCs/>
        </w:rPr>
        <w:br w:type="page"/>
      </w:r>
    </w:p>
    <w:p w14:paraId="7602E438" w14:textId="0514EC3E" w:rsidR="00611D28" w:rsidRPr="004B327C" w:rsidRDefault="00611D28" w:rsidP="00611D28">
      <w:pPr>
        <w:pStyle w:val="Heading2"/>
        <w:rPr>
          <w:szCs w:val="36"/>
        </w:rPr>
      </w:pPr>
      <w:bookmarkStart w:id="76" w:name="_Toc41940220"/>
      <w:r w:rsidRPr="005D034D">
        <w:rPr>
          <w:caps/>
          <w:szCs w:val="36"/>
        </w:rPr>
        <w:lastRenderedPageBreak/>
        <w:t>Section 511</w:t>
      </w:r>
      <w:r w:rsidRPr="004B327C">
        <w:rPr>
          <w:szCs w:val="36"/>
        </w:rPr>
        <w:t xml:space="preserve"> ITAs: </w:t>
      </w:r>
      <w:r w:rsidR="00F32A84" w:rsidRPr="00F32A84">
        <w:rPr>
          <w:szCs w:val="36"/>
        </w:rPr>
        <w:t>Progress Narrative</w:t>
      </w:r>
      <w:bookmarkEnd w:id="76"/>
      <w:r w:rsidR="00F32A84">
        <w:rPr>
          <w:szCs w:val="36"/>
        </w:rPr>
        <w:t xml:space="preserve"> </w:t>
      </w:r>
    </w:p>
    <w:p w14:paraId="67FA28F5" w14:textId="77777777" w:rsidR="00611D28" w:rsidRPr="00A23C46" w:rsidRDefault="00611D28" w:rsidP="0067196C">
      <w:pPr>
        <w:pStyle w:val="Heading3"/>
      </w:pPr>
      <w:bookmarkStart w:id="77" w:name="_Toc41940221"/>
      <w:r w:rsidRPr="00A23C46">
        <w:t xml:space="preserve">National </w:t>
      </w:r>
      <w:r w:rsidRPr="00CD49F8">
        <w:t>Lens</w:t>
      </w:r>
      <w:bookmarkEnd w:id="77"/>
    </w:p>
    <w:p w14:paraId="2CAB9613" w14:textId="77777777" w:rsidR="00CD49F8" w:rsidRPr="00005A9D" w:rsidRDefault="00CD49F8" w:rsidP="00CD49F8">
      <w:pPr>
        <w:ind w:firstLine="360"/>
        <w:rPr>
          <w:rFonts w:eastAsia="Times New Roman" w:cstheme="minorHAnsi"/>
          <w:shd w:val="clear" w:color="auto" w:fill="FFFFFF"/>
        </w:rPr>
      </w:pPr>
      <w:r w:rsidRPr="00005A9D">
        <w:rPr>
          <w:rFonts w:eastAsia="Times New Roman" w:cstheme="minorHAnsi"/>
          <w:shd w:val="clear" w:color="auto" w:fill="FFFFFF"/>
        </w:rPr>
        <w:t xml:space="preserve">Section 511 of the Rehabilitation Act places limitations on the payment of subminimum wages by entities holding special wage certificates under Section 14(c) of the Fair Labor Standards Act.  The purpose of Section 511 is to ensure that individuals with disabilities have access to information and services that will enable </w:t>
      </w:r>
      <w:r w:rsidRPr="00005A9D">
        <w:t>them</w:t>
      </w:r>
      <w:r w:rsidRPr="00005A9D">
        <w:rPr>
          <w:rFonts w:eastAsia="Times New Roman" w:cstheme="minorHAnsi"/>
          <w:shd w:val="clear" w:color="auto" w:fill="FFFFFF"/>
        </w:rPr>
        <w:t xml:space="preserve"> to achieve competitive integrated employment. Section 511 includes requirements for State VR agencies, subminimum wage employers and local and/or State educational agencies, including specific requirements for youth prior to their participation in subminimum wage employment. </w:t>
      </w:r>
    </w:p>
    <w:p w14:paraId="4DA921E8" w14:textId="77777777" w:rsidR="00CD49F8" w:rsidRPr="00005A9D" w:rsidRDefault="00CD49F8" w:rsidP="00CD49F8">
      <w:pPr>
        <w:ind w:firstLine="360"/>
        <w:rPr>
          <w:rFonts w:eastAsia="Times New Roman" w:cstheme="minorHAnsi"/>
        </w:rPr>
      </w:pPr>
      <w:r w:rsidRPr="00005A9D">
        <w:rPr>
          <w:rFonts w:eastAsia="Times New Roman" w:cstheme="minorHAnsi"/>
        </w:rPr>
        <w:t xml:space="preserve">In a paper examining disability employment from a sociological inquiry perspective, Gardiner (2018) notes the importance of using data to demonstrate whether and how sheltered workshops negatively impact the employment outcomes of individuals with disabilities, particularly those with intellectual disabilities. Doxey, Jaehning, McMillan, Vandagriff, and Winsor (2017) call for the same and identify ways to access and review data in their brief such as using the monitoring authority of state-level Protection and Advocacy agencies, Freedom of Information Act requests, and examining VR data on career counseling and information and referral services. States also have various reporting requirements that yield information on employment outcomes related to subminimum wage and in their example on Alaska they point out that employers must identify the work category of their employees; unfortunately, in Alaska the main categories are janitorial, clerical, maintenance, and food-related jobs that may demonstrate the pervasive “low expectations and stereotypes of individuals with disabilities in the workforce. (Doxey et al.)” Ultimately, WIOA communicates how “contemporary U.S. federal disability policy has heightened expectations that youth with disabilities…can and should be prepared to work in integrated workplaces (Novak, 2015).” </w:t>
      </w:r>
    </w:p>
    <w:p w14:paraId="6C86944D" w14:textId="77777777" w:rsidR="00CD49F8" w:rsidRDefault="00CD49F8" w:rsidP="00CD49F8">
      <w:pPr>
        <w:ind w:firstLine="360"/>
        <w:rPr>
          <w:rFonts w:eastAsia="Times New Roman" w:cstheme="minorHAnsi"/>
        </w:rPr>
      </w:pPr>
      <w:r w:rsidRPr="00005A9D">
        <w:rPr>
          <w:rFonts w:eastAsia="Times New Roman" w:cstheme="minorHAnsi"/>
        </w:rPr>
        <w:t xml:space="preserve">In 2018, NCD submitted a report to the President, updating its 2012 one examining subminimum wage and supported employment, finding that 321,131 individuals with disabilities who lived in the community still earned subminimum wage in sheltered workshops. Citing Wage and Hour Division (WHD) data, NCD acknowledges that 14 (c) certificates are down from 2,540 applications in fiscal year 2008 to 1,089 applications in fiscal year 2017. The same data indicates that 95% of certificate holders are “work centers.”  Because of challenges with the nature of the data, NCD noted being skeptical of WHD data for the number of 14 (c) workers, but recognized that declines have taken place over a seventeen year period since the GAO had previously been presented this information. Importantly, they point out that these declines are not paralleled by a corresponding and consistent rise in integrated employment, in part due to lack of consistent funding for demonstrably effective practices such as supported employment which were bolstered by federal investments and strong TA supports. Among the recommendations in the report are a call for enhanced availability of intensive TA resources, expansion of customized employment, and support for business engagement strategies </w:t>
      </w:r>
      <w:r>
        <w:rPr>
          <w:rFonts w:eastAsia="Times New Roman" w:cstheme="minorHAnsi"/>
        </w:rPr>
        <w:t xml:space="preserve">– </w:t>
      </w:r>
      <w:r w:rsidRPr="00005A9D">
        <w:rPr>
          <w:rFonts w:eastAsia="Times New Roman" w:cstheme="minorHAnsi"/>
        </w:rPr>
        <w:t>all areas of focused work by WINTAC.</w:t>
      </w:r>
    </w:p>
    <w:p w14:paraId="487A3771" w14:textId="77777777" w:rsidR="00611D28" w:rsidRPr="00CD49F8" w:rsidRDefault="00611D28" w:rsidP="0067196C">
      <w:pPr>
        <w:pStyle w:val="Heading3"/>
      </w:pPr>
      <w:bookmarkStart w:id="78" w:name="_Toc41940222"/>
      <w:r w:rsidRPr="00CD49F8">
        <w:t>WINTAC Lens</w:t>
      </w:r>
      <w:bookmarkEnd w:id="78"/>
    </w:p>
    <w:p w14:paraId="110F9248" w14:textId="77777777" w:rsidR="00CD49F8" w:rsidRPr="00005A9D" w:rsidRDefault="00CD49F8" w:rsidP="00CD49F8">
      <w:r>
        <w:rPr>
          <w:b/>
          <w:i/>
        </w:rPr>
        <w:t xml:space="preserve">TA Progress: Activities and Outputs </w:t>
      </w:r>
      <w:r w:rsidRPr="00005A9D">
        <w:t>Section 511 technical assistance was requested by 1</w:t>
      </w:r>
      <w:r>
        <w:t>1</w:t>
      </w:r>
      <w:r w:rsidRPr="00005A9D">
        <w:t xml:space="preserve"> SVRAs. Their ITAAs draw from a menu of activities identified in the logic model, which each have an </w:t>
      </w:r>
      <w:r w:rsidRPr="00005A9D">
        <w:lastRenderedPageBreak/>
        <w:t>associated output and contribute to a set of defined short-term outcomes to be achieved within this funding cycle.</w:t>
      </w:r>
    </w:p>
    <w:p w14:paraId="1D6B98F1" w14:textId="77777777" w:rsidR="00CD49F8" w:rsidRPr="00005A9D" w:rsidRDefault="00CD49F8" w:rsidP="00CD49F8">
      <w:pPr>
        <w:rPr>
          <w:rFonts w:ascii="Calibri" w:eastAsia="Times New Roman" w:hAnsi="Calibri" w:cs="Calibri"/>
          <w:szCs w:val="24"/>
        </w:rPr>
      </w:pPr>
      <w:r w:rsidRPr="00005A9D">
        <w:rPr>
          <w:rFonts w:ascii="Calibri" w:eastAsia="Times New Roman" w:hAnsi="Calibri" w:cs="Calibri"/>
          <w:szCs w:val="24"/>
        </w:rPr>
        <w:t xml:space="preserve">WINTAC’s Section 511 TA has </w:t>
      </w:r>
      <w:r w:rsidRPr="00005A9D">
        <w:t>moved</w:t>
      </w:r>
      <w:r w:rsidRPr="00005A9D">
        <w:rPr>
          <w:rFonts w:ascii="Calibri" w:eastAsia="Times New Roman" w:hAnsi="Calibri" w:cs="Calibri"/>
          <w:szCs w:val="24"/>
        </w:rPr>
        <w:t xml:space="preserve"> from initial implementation (helping to develop CC&amp;I&amp;R materials and P&amp;P) and compliance (especially for youth), to ongoing tracking and impact measurement. </w:t>
      </w:r>
      <w:r>
        <w:rPr>
          <w:rFonts w:ascii="Calibri" w:eastAsia="Times New Roman" w:hAnsi="Calibri" w:cs="Calibri"/>
          <w:szCs w:val="24"/>
        </w:rPr>
        <w:t>In the past six months, WINTAC has focused on helping agencies identify specific data related to the activity and progress of individuals, especially youth, who received 511 services as they moved through the VR program</w:t>
      </w:r>
      <w:r w:rsidRPr="00005A9D">
        <w:rPr>
          <w:rFonts w:ascii="Calibri" w:eastAsia="Times New Roman" w:hAnsi="Calibri" w:cs="Calibri"/>
          <w:szCs w:val="24"/>
        </w:rPr>
        <w:t>.</w:t>
      </w:r>
    </w:p>
    <w:p w14:paraId="43D725A6" w14:textId="77777777" w:rsidR="00CD49F8" w:rsidRPr="00005A9D" w:rsidRDefault="00CD49F8" w:rsidP="00CD49F8">
      <w:pPr>
        <w:rPr>
          <w:rFonts w:ascii="Calibri" w:eastAsia="Times New Roman" w:hAnsi="Calibri" w:cs="Calibri"/>
          <w:szCs w:val="24"/>
        </w:rPr>
      </w:pPr>
      <w:r w:rsidRPr="00005A9D">
        <w:rPr>
          <w:rFonts w:ascii="Calibri" w:eastAsia="Times New Roman" w:hAnsi="Calibri" w:cs="Calibri"/>
          <w:szCs w:val="24"/>
        </w:rPr>
        <w:t xml:space="preserve">WINTAC continues to ask RSA questions for VR programs related to 511. Demand for more than </w:t>
      </w:r>
      <w:r w:rsidRPr="00005A9D">
        <w:t>this</w:t>
      </w:r>
      <w:r w:rsidRPr="00005A9D">
        <w:rPr>
          <w:rFonts w:ascii="Calibri" w:eastAsia="Times New Roman" w:hAnsi="Calibri" w:cs="Calibri"/>
          <w:szCs w:val="24"/>
        </w:rPr>
        <w:t xml:space="preserve"> review and ad hoc consultation is quickly diminishing but WINTAC will help SVRAs maximize the impact of their services in response to 511, and provide examples of best practices</w:t>
      </w:r>
      <w:r w:rsidRPr="00773A2D">
        <w:rPr>
          <w:rFonts w:ascii="Calibri" w:eastAsia="Times New Roman" w:hAnsi="Calibri" w:cs="Calibri"/>
          <w:szCs w:val="24"/>
        </w:rPr>
        <w:t xml:space="preserve">. WINTAC also </w:t>
      </w:r>
      <w:r>
        <w:rPr>
          <w:rFonts w:ascii="Calibri" w:eastAsia="Times New Roman" w:hAnsi="Calibri" w:cs="Calibri"/>
          <w:szCs w:val="24"/>
        </w:rPr>
        <w:t>conducted a</w:t>
      </w:r>
      <w:r w:rsidRPr="00773A2D">
        <w:rPr>
          <w:rFonts w:ascii="Calibri" w:eastAsia="Times New Roman" w:hAnsi="Calibri" w:cs="Calibri"/>
          <w:szCs w:val="24"/>
        </w:rPr>
        <w:t xml:space="preserve"> study of 14c holders.</w:t>
      </w:r>
      <w:r w:rsidRPr="00005A9D">
        <w:t xml:space="preserve">  </w:t>
      </w:r>
    </w:p>
    <w:p w14:paraId="2FCC31D0" w14:textId="77777777" w:rsidR="00CD49F8" w:rsidRDefault="00CD49F8" w:rsidP="00CD49F8">
      <w:r w:rsidRPr="00005A9D">
        <w:t xml:space="preserve">As of the </w:t>
      </w:r>
      <w:r>
        <w:t>middle</w:t>
      </w:r>
      <w:r w:rsidRPr="00005A9D">
        <w:t xml:space="preserve"> of Year </w:t>
      </w:r>
      <w:r>
        <w:t>5</w:t>
      </w:r>
      <w:r w:rsidRPr="00005A9D">
        <w:t xml:space="preserve"> of the WINTAC</w:t>
      </w:r>
      <w:r>
        <w:t xml:space="preserve"> project</w:t>
      </w:r>
      <w:r w:rsidRPr="00005A9D">
        <w:t>, there are 2</w:t>
      </w:r>
      <w:r>
        <w:t>2</w:t>
      </w:r>
      <w:r w:rsidRPr="00005A9D">
        <w:t xml:space="preserve"> activities identified across the 1</w:t>
      </w:r>
      <w:r>
        <w:t>1</w:t>
      </w:r>
      <w:r w:rsidRPr="00005A9D">
        <w:t xml:space="preserve"> ITAAs. As documented in terms of metrics in the </w:t>
      </w:r>
      <w:r>
        <w:t>infographics</w:t>
      </w:r>
      <w:r w:rsidRPr="00005A9D">
        <w:t xml:space="preserve"> presented above, all 2</w:t>
      </w:r>
      <w:r>
        <w:t>2</w:t>
      </w:r>
      <w:r w:rsidRPr="00005A9D">
        <w:t xml:space="preserve"> activities resulted in completed outputs. The majority of these outputs include a strategic plan (7), development of CC&amp;I&amp;R resources (5)</w:t>
      </w:r>
      <w:r>
        <w:t xml:space="preserve"> and</w:t>
      </w:r>
      <w:r w:rsidRPr="00005A9D">
        <w:t xml:space="preserve"> development or improvement of policies and procedures (4).</w:t>
      </w:r>
    </w:p>
    <w:p w14:paraId="479FD09A" w14:textId="77777777" w:rsidR="00CD49F8" w:rsidRDefault="00CD49F8" w:rsidP="00CD49F8">
      <w:r>
        <w:rPr>
          <w:b/>
          <w:i/>
        </w:rPr>
        <w:t xml:space="preserve">TA Progress: Outcomes </w:t>
      </w:r>
      <w:r w:rsidRPr="00005A9D">
        <w:t xml:space="preserve">SVRAs have met or are making significant progress in </w:t>
      </w:r>
      <w:r>
        <w:t xml:space="preserve">meeting short term outcomes and </w:t>
      </w:r>
      <w:r w:rsidRPr="00005A9D">
        <w:t xml:space="preserve">implementing Section 511 effectively as a result of the trainings and TA they received from WINTAC. </w:t>
      </w:r>
      <w:r>
        <w:t>Out of a total of 18 short term outcomes</w:t>
      </w:r>
      <w:r w:rsidRPr="00005A9D">
        <w:t xml:space="preserve"> </w:t>
      </w:r>
      <w:r>
        <w:t>15</w:t>
      </w:r>
      <w:r w:rsidRPr="00005A9D">
        <w:t xml:space="preserve"> have been met, with two nearing completion</w:t>
      </w:r>
      <w:r>
        <w:t xml:space="preserve"> and one underway at 25% complete</w:t>
      </w:r>
      <w:r w:rsidRPr="00005A9D">
        <w:t xml:space="preserve">. </w:t>
      </w:r>
      <w:r>
        <w:t>The last available data (2019) showed 6 states (with 7</w:t>
      </w:r>
      <w:r w:rsidRPr="00005A9D">
        <w:t xml:space="preserve"> SVRAs</w:t>
      </w:r>
      <w:r>
        <w:t>)</w:t>
      </w:r>
      <w:r w:rsidRPr="00005A9D">
        <w:t xml:space="preserve"> </w:t>
      </w:r>
      <w:r>
        <w:t>experiencing a</w:t>
      </w:r>
      <w:r w:rsidRPr="00005A9D">
        <w:t xml:space="preserve"> decrease in individuals entering subminimum wage</w:t>
      </w:r>
      <w:r>
        <w:t>, and six</w:t>
      </w:r>
      <w:r w:rsidRPr="00B1411B">
        <w:t xml:space="preserve"> </w:t>
      </w:r>
      <w:r>
        <w:t>routinely offering CC&amp;I&amp;R services, with the expectation that more individuals will avail themselves of VR services to seek competitive integrated employment (CIE). Increases in SMW workers opting for VR and CIE were not appreciable (1-2%) although one state that developed an extremely comprehensive CC&amp;I&amp;R process had a 10-20% jump. Most VR data systems do not have a means of tracking whether potential SMW workers (typically youth) are instead applying for VR services.</w:t>
      </w:r>
    </w:p>
    <w:p w14:paraId="59128E31" w14:textId="77777777" w:rsidR="00CD49F8" w:rsidRDefault="00CD49F8" w:rsidP="00CD49F8">
      <w:r w:rsidRPr="001B0196">
        <w:rPr>
          <w:b/>
          <w:i/>
        </w:rPr>
        <w:t xml:space="preserve">Challenges Overcome </w:t>
      </w:r>
      <w:r>
        <w:t>WINTAC’s TA focused on helping states respond to the Section 511 requirements, with some SVRAs contending with longstanding traditions and significant investments in subminimum wage employment for individuals with disabilities. Many had little or no infrastructure for coming into compliance, resources to inform current or potential SMW workers and their families about the merits of competitive integrated employment, and/or no service alternatives to assist them in achieving it. WINTAC’s technical assistance provided the supports to turn this around and help states plan and establish infrastructures, develop resources and explore or even adopt new practices giving individuals new avenues to employment.</w:t>
      </w:r>
    </w:p>
    <w:p w14:paraId="37E5DD5F" w14:textId="77777777" w:rsidR="00CD49F8" w:rsidRDefault="00CD49F8" w:rsidP="00CD49F8">
      <w:pPr>
        <w:rPr>
          <w:rFonts w:eastAsia="Times New Roman" w:cstheme="minorHAnsi"/>
          <w:shd w:val="clear" w:color="auto" w:fill="FFFFFF"/>
        </w:rPr>
      </w:pPr>
      <w:r>
        <w:rPr>
          <w:b/>
          <w:i/>
        </w:rPr>
        <w:t xml:space="preserve">Sustainability </w:t>
      </w:r>
      <w:r w:rsidRPr="00005A9D">
        <w:rPr>
          <w:rFonts w:eastAsia="Times New Roman" w:cstheme="minorHAnsi"/>
          <w:shd w:val="clear" w:color="auto" w:fill="FFFFFF"/>
        </w:rPr>
        <w:t xml:space="preserve">The purpose of </w:t>
      </w:r>
      <w:r>
        <w:rPr>
          <w:rFonts w:eastAsia="Times New Roman" w:cstheme="minorHAnsi"/>
          <w:shd w:val="clear" w:color="auto" w:fill="FFFFFF"/>
        </w:rPr>
        <w:t xml:space="preserve">WINTAC’s technical assistance related to </w:t>
      </w:r>
      <w:r w:rsidRPr="00005A9D">
        <w:rPr>
          <w:rFonts w:eastAsia="Times New Roman" w:cstheme="minorHAnsi"/>
          <w:shd w:val="clear" w:color="auto" w:fill="FFFFFF"/>
        </w:rPr>
        <w:t xml:space="preserve">Section 511 </w:t>
      </w:r>
      <w:r>
        <w:rPr>
          <w:rFonts w:eastAsia="Times New Roman" w:cstheme="minorHAnsi"/>
          <w:shd w:val="clear" w:color="auto" w:fill="FFFFFF"/>
        </w:rPr>
        <w:t>has been to support SVRA</w:t>
      </w:r>
      <w:r w:rsidRPr="00005A9D">
        <w:rPr>
          <w:rFonts w:eastAsia="Times New Roman" w:cstheme="minorHAnsi"/>
          <w:shd w:val="clear" w:color="auto" w:fill="FFFFFF"/>
        </w:rPr>
        <w:t xml:space="preserve">s </w:t>
      </w:r>
      <w:r>
        <w:rPr>
          <w:rFonts w:eastAsia="Times New Roman" w:cstheme="minorHAnsi"/>
          <w:shd w:val="clear" w:color="auto" w:fill="FFFFFF"/>
        </w:rPr>
        <w:t xml:space="preserve">in establishing an infrastructure to </w:t>
      </w:r>
      <w:r w:rsidRPr="00005A9D">
        <w:rPr>
          <w:rFonts w:eastAsia="Times New Roman" w:cstheme="minorHAnsi"/>
          <w:shd w:val="clear" w:color="auto" w:fill="FFFFFF"/>
        </w:rPr>
        <w:t xml:space="preserve">ensure that individuals with disabilities have access to information and services </w:t>
      </w:r>
      <w:r>
        <w:rPr>
          <w:rFonts w:eastAsia="Times New Roman" w:cstheme="minorHAnsi"/>
          <w:shd w:val="clear" w:color="auto" w:fill="FFFFFF"/>
        </w:rPr>
        <w:t>enabling</w:t>
      </w:r>
      <w:r w:rsidRPr="00005A9D">
        <w:rPr>
          <w:rFonts w:eastAsia="Times New Roman" w:cstheme="minorHAnsi"/>
          <w:shd w:val="clear" w:color="auto" w:fill="FFFFFF"/>
        </w:rPr>
        <w:t xml:space="preserve"> </w:t>
      </w:r>
      <w:r w:rsidRPr="00005A9D">
        <w:t>them</w:t>
      </w:r>
      <w:r w:rsidRPr="00005A9D">
        <w:rPr>
          <w:rFonts w:eastAsia="Times New Roman" w:cstheme="minorHAnsi"/>
          <w:shd w:val="clear" w:color="auto" w:fill="FFFFFF"/>
        </w:rPr>
        <w:t xml:space="preserve"> to achieve competitive integrated employment. </w:t>
      </w:r>
      <w:r>
        <w:rPr>
          <w:rFonts w:eastAsia="Times New Roman" w:cstheme="minorHAnsi"/>
          <w:shd w:val="clear" w:color="auto" w:fill="FFFFFF"/>
        </w:rPr>
        <w:t>This infrastructure, consisting of plans, policies, procedures and resources, provides the supports needed for a sustainable program.</w:t>
      </w:r>
    </w:p>
    <w:p w14:paraId="086A4AC0" w14:textId="77777777" w:rsidR="00CD49F8" w:rsidRPr="00A00496" w:rsidRDefault="00CD49F8" w:rsidP="00CD49F8">
      <w:r>
        <w:t xml:space="preserve">The consumer data provided by one SVRA (presented above) raises a new TA and evaluation challenge going forward. In particular only two individuals out of 90 served by the program in 2019 </w:t>
      </w:r>
      <w:r>
        <w:lastRenderedPageBreak/>
        <w:t>decided to pursue competitive integrated employment. While this is only one state’s data, WINTAC is concerned that it may represent a trend in service delivery where young people are being given the message that they need only decline to pursue CIE in order to fast track their entrance into SMW work. Continued attention to Section 511 implementation (monitoring and evaluation) will be needed to sustain the progress achieved and reinforce the intent of the law.</w:t>
      </w:r>
    </w:p>
    <w:p w14:paraId="70C254EE" w14:textId="77777777" w:rsidR="00CD49F8" w:rsidRDefault="00CD49F8" w:rsidP="00CD49F8">
      <w:r>
        <w:rPr>
          <w:b/>
          <w:i/>
        </w:rPr>
        <w:t xml:space="preserve">Impact </w:t>
      </w:r>
      <w:r>
        <w:t>Many SVRAs that sought TA in this area also requested assistance in adopting Customized Employment as a service alternative for the current and potential SMW population seeking CIE. They have since undertaken CE pilots with WINTAC’s assistance (see Customized Employment chapter), and are developing capacity to provide CE services. Since SVRA tracking systems do not routinely collect data on subpopulations such as this, it is unknown how many SMW workers (or potential workers) have found CE to be a satisfactory alternative.</w:t>
      </w:r>
    </w:p>
    <w:p w14:paraId="6A411C9A" w14:textId="77777777" w:rsidR="00CD49F8" w:rsidRDefault="00CD49F8" w:rsidP="00CD49F8">
      <w:r>
        <w:t>Interestingly, a CRP in one state receiving WINTAC TA in both Section 511 and Customized Employment areas voluntarily shifted its focus from SMW to CIE resulting in a reduction of more than 300 in SMW workers; they also sent staff to CE training to improve their skills in serving workers leaving the sheltered workshops.</w:t>
      </w:r>
    </w:p>
    <w:p w14:paraId="5EF340BF" w14:textId="77777777" w:rsidR="00CD49F8" w:rsidRDefault="00CD49F8" w:rsidP="00CD49F8">
      <w:pPr>
        <w:rPr>
          <w:rFonts w:ascii="Calibri" w:eastAsia="Times New Roman" w:hAnsi="Calibri" w:cs="Calibri"/>
          <w:szCs w:val="24"/>
        </w:rPr>
      </w:pPr>
      <w:r w:rsidRPr="00F04A3C">
        <w:rPr>
          <w:b/>
          <w:i/>
        </w:rPr>
        <w:t xml:space="preserve">Evaluation Recommendations </w:t>
      </w:r>
      <w:r w:rsidRPr="00F44A19">
        <w:t>With the preponderance of act</w:t>
      </w:r>
      <w:r>
        <w:t xml:space="preserve">ivities and outputs completed, and most outcomes achieved, WINTAC assistance is no longer as intensive as at the outset. Special reports on the area have already captured significant results of this effort. It will be valuable to continue to support SVRAs in establishing protocols to gather and report data such as that recently requested by WINTAC. As noted above, it also will be important to investigate whether there is in fact a trend toward circumventing the intent of Section 511 and if so to understand the motives and practices that have evolved. Such information can form the basis for future technical assistance. </w:t>
      </w:r>
    </w:p>
    <w:p w14:paraId="3507C271" w14:textId="77777777" w:rsidR="00CD49F8" w:rsidRPr="0023243B" w:rsidRDefault="00CD49F8" w:rsidP="00CD49F8">
      <w:pPr>
        <w:rPr>
          <w:rFonts w:ascii="Calibri" w:eastAsia="Times New Roman" w:hAnsi="Calibri" w:cs="Calibri"/>
          <w:szCs w:val="24"/>
        </w:rPr>
      </w:pPr>
      <w:r>
        <w:t>Other evaluation possibilities include creating mechanisms to explore questions in greater depth. For example, in addition to tracking whether Section 511 activities have diverted individuals from the SMW employment path to seek VR services, asking what are outcomes, in particular for youth and those with vision impairments. Also of interest, whether any of them are recipients of Customized Employment services. The singular success of one state in increasing the percentage of CC&amp;I&amp;R recipients applying for VR services might warrant a closer look at cause and effect, costs, etc. By extension, study might be done on other replicable or innovative measures or protocols.</w:t>
      </w:r>
    </w:p>
    <w:p w14:paraId="0DEE84C1" w14:textId="77777777" w:rsidR="00F32A84" w:rsidRDefault="00F32A84" w:rsidP="005466F3">
      <w:pPr>
        <w:tabs>
          <w:tab w:val="left" w:pos="360"/>
        </w:tabs>
        <w:rPr>
          <w:rFonts w:cstheme="minorHAnsi"/>
        </w:rPr>
        <w:sectPr w:rsidR="00F32A84" w:rsidSect="0042504C">
          <w:headerReference w:type="even" r:id="rId128"/>
          <w:headerReference w:type="default" r:id="rId129"/>
          <w:footerReference w:type="even" r:id="rId130"/>
          <w:footerReference w:type="default" r:id="rId131"/>
          <w:headerReference w:type="first" r:id="rId132"/>
          <w:footerReference w:type="first" r:id="rId133"/>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docGrid w:linePitch="360"/>
        </w:sectPr>
      </w:pPr>
    </w:p>
    <w:p w14:paraId="214C2BD1" w14:textId="77777777" w:rsidR="00FC51B7" w:rsidRPr="00B93851" w:rsidRDefault="00FC51B7" w:rsidP="00FC51B7">
      <w:pPr>
        <w:pStyle w:val="Heading1"/>
        <w:rPr>
          <w:caps/>
        </w:rPr>
      </w:pPr>
      <w:bookmarkStart w:id="79" w:name="_Toc41940223"/>
      <w:r w:rsidRPr="00B93851">
        <w:rPr>
          <w:caps/>
        </w:rPr>
        <w:lastRenderedPageBreak/>
        <w:t>C. Common Performance Measures</w:t>
      </w:r>
      <w:bookmarkEnd w:id="79"/>
    </w:p>
    <w:p w14:paraId="0239A947" w14:textId="77777777" w:rsidR="00FC51B7" w:rsidRDefault="00FC51B7" w:rsidP="00FC51B7"/>
    <w:p w14:paraId="791FACAE" w14:textId="77777777" w:rsidR="00FC51B7" w:rsidRDefault="00FC51B7" w:rsidP="00FC51B7">
      <w:pPr>
        <w:ind w:firstLine="360"/>
        <w:rPr>
          <w:noProof/>
        </w:rPr>
      </w:pPr>
    </w:p>
    <w:p w14:paraId="4F308FA4" w14:textId="77777777" w:rsidR="00FC51B7" w:rsidRDefault="00FC51B7" w:rsidP="00290F40">
      <w:pPr>
        <w:ind w:firstLine="0"/>
      </w:pPr>
      <w:r>
        <w:rPr>
          <w:noProof/>
          <w:lang w:eastAsia="ko-KR"/>
        </w:rPr>
        <w:drawing>
          <wp:inline distT="0" distB="0" distL="0" distR="0" wp14:anchorId="3BBD802B" wp14:editId="6FEAD593">
            <wp:extent cx="5943600" cy="4320540"/>
            <wp:effectExtent l="0" t="0" r="0" b="3810"/>
            <wp:docPr id="29" name="Picture 29" descr="Map of the United States depicting states with ITAAs covering CPMs, which include: AK, Am.Samoa, AZ, AR, CA, CNMI, CT, DE, DC, FL, GA, HI, ID, IN, IA, KY, LA, ME, MA, MI, MN, MS, MT, NV, NH, NC, PR, RI, SC, UT, Virg. I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PMs ITAAs Map Y5Q2.png"/>
                    <pic:cNvPicPr/>
                  </pic:nvPicPr>
                  <pic:blipFill>
                    <a:blip r:embed="rId134" cstate="print">
                      <a:extLst>
                        <a:ext uri="{28A0092B-C50C-407E-A947-70E740481C1C}">
                          <a14:useLocalDpi xmlns:a14="http://schemas.microsoft.com/office/drawing/2010/main"/>
                        </a:ext>
                      </a:extLst>
                    </a:blip>
                    <a:stretch>
                      <a:fillRect/>
                    </a:stretch>
                  </pic:blipFill>
                  <pic:spPr>
                    <a:xfrm>
                      <a:off x="0" y="0"/>
                      <a:ext cx="5943600" cy="4320540"/>
                    </a:xfrm>
                    <a:prstGeom prst="rect">
                      <a:avLst/>
                    </a:prstGeom>
                  </pic:spPr>
                </pic:pic>
              </a:graphicData>
            </a:graphic>
          </wp:inline>
        </w:drawing>
      </w:r>
    </w:p>
    <w:p w14:paraId="15035DDF" w14:textId="77777777" w:rsidR="00FC51B7" w:rsidRDefault="00FC51B7" w:rsidP="00FC51B7"/>
    <w:p w14:paraId="3D34FEF1" w14:textId="77777777" w:rsidR="00FC51B7" w:rsidRDefault="00FC51B7" w:rsidP="00FC51B7">
      <w:pPr>
        <w:sectPr w:rsidR="00FC51B7" w:rsidSect="000E1D45">
          <w:footerReference w:type="default" r:id="rId135"/>
          <w:pgSz w:w="12240" w:h="15840" w:code="1"/>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vAlign w:val="center"/>
          <w:docGrid w:linePitch="360"/>
        </w:sectPr>
      </w:pPr>
    </w:p>
    <w:p w14:paraId="35252F9B" w14:textId="77777777" w:rsidR="00FC51B7" w:rsidRPr="00220867" w:rsidRDefault="00FC51B7" w:rsidP="00FC51B7">
      <w:pPr>
        <w:pStyle w:val="Heading2"/>
        <w:pBdr>
          <w:bottom w:val="single" w:sz="24" w:space="1" w:color="auto"/>
        </w:pBdr>
        <w:shd w:val="clear" w:color="auto" w:fill="B4C6E7" w:themeFill="accent1" w:themeFillTint="66"/>
        <w:rPr>
          <w:szCs w:val="36"/>
        </w:rPr>
      </w:pPr>
      <w:bookmarkStart w:id="80" w:name="_Toc41940224"/>
      <w:r>
        <w:rPr>
          <w:szCs w:val="36"/>
        </w:rPr>
        <w:lastRenderedPageBreak/>
        <w:t>CPMs</w:t>
      </w:r>
      <w:r w:rsidRPr="00220867">
        <w:rPr>
          <w:szCs w:val="36"/>
        </w:rPr>
        <w:t xml:space="preserve"> – ITA Logic Model</w:t>
      </w:r>
      <w:bookmarkEnd w:id="80"/>
    </w:p>
    <w:tbl>
      <w:tblPr>
        <w:tblW w:w="5000" w:type="pct"/>
        <w:tblLook w:val="04A0" w:firstRow="1" w:lastRow="0" w:firstColumn="1" w:lastColumn="0" w:noHBand="0" w:noVBand="1"/>
      </w:tblPr>
      <w:tblGrid>
        <w:gridCol w:w="4765"/>
        <w:gridCol w:w="4585"/>
      </w:tblGrid>
      <w:tr w:rsidR="00FC51B7" w:rsidRPr="00206792" w14:paraId="626FE951" w14:textId="77777777" w:rsidTr="00FC51B7">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6EA00ECB" w14:textId="77777777" w:rsidR="00FC51B7" w:rsidRPr="00206792" w:rsidRDefault="00FC51B7" w:rsidP="00FC51B7">
            <w:pPr>
              <w:spacing w:after="0" w:line="240" w:lineRule="auto"/>
              <w:jc w:val="center"/>
              <w:rPr>
                <w:b/>
                <w:bCs/>
                <w:color w:val="000000"/>
              </w:rPr>
            </w:pPr>
            <w:r w:rsidRPr="00206792">
              <w:rPr>
                <w:b/>
                <w:bCs/>
                <w:color w:val="000000"/>
              </w:rPr>
              <w:t>Activity</w:t>
            </w:r>
          </w:p>
        </w:tc>
        <w:tc>
          <w:tcPr>
            <w:tcW w:w="2452"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0D647883" w14:textId="77777777" w:rsidR="00FC51B7" w:rsidRPr="00206792" w:rsidRDefault="00FC51B7" w:rsidP="00FC51B7">
            <w:pPr>
              <w:spacing w:after="0" w:line="240" w:lineRule="auto"/>
              <w:jc w:val="center"/>
              <w:rPr>
                <w:b/>
                <w:bCs/>
                <w:color w:val="000000"/>
              </w:rPr>
            </w:pPr>
            <w:r w:rsidRPr="00206792">
              <w:rPr>
                <w:b/>
                <w:bCs/>
                <w:color w:val="000000"/>
              </w:rPr>
              <w:t>Output</w:t>
            </w:r>
          </w:p>
        </w:tc>
      </w:tr>
      <w:tr w:rsidR="00FC51B7" w:rsidRPr="00206792" w14:paraId="3FAD7ADE" w14:textId="77777777" w:rsidTr="00FC51B7">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7A56BD50" w14:textId="77777777" w:rsidR="00FC51B7" w:rsidRPr="00206792" w:rsidRDefault="00FC51B7" w:rsidP="00C575C8">
            <w:pPr>
              <w:pStyle w:val="ListParagraph"/>
              <w:numPr>
                <w:ilvl w:val="0"/>
                <w:numId w:val="3"/>
              </w:numPr>
              <w:spacing w:after="0" w:line="240" w:lineRule="auto"/>
            </w:pPr>
            <w:r w:rsidRPr="00206792">
              <w:rPr>
                <w:color w:val="000000"/>
              </w:rPr>
              <w:t>Analyze VR agency readiness and capacity to collect and report CPMs</w:t>
            </w:r>
          </w:p>
        </w:tc>
        <w:tc>
          <w:tcPr>
            <w:tcW w:w="2452" w:type="pct"/>
            <w:tcBorders>
              <w:top w:val="nil"/>
              <w:left w:val="nil"/>
              <w:bottom w:val="single" w:sz="4" w:space="0" w:color="000000"/>
              <w:right w:val="single" w:sz="4" w:space="0" w:color="000000"/>
            </w:tcBorders>
            <w:shd w:val="clear" w:color="auto" w:fill="auto"/>
            <w:vAlign w:val="center"/>
            <w:hideMark/>
          </w:tcPr>
          <w:p w14:paraId="6CA98DB0" w14:textId="77777777" w:rsidR="00FC51B7" w:rsidRPr="00206792" w:rsidRDefault="00FC51B7" w:rsidP="00C575C8">
            <w:pPr>
              <w:pStyle w:val="ListParagraph"/>
              <w:numPr>
                <w:ilvl w:val="0"/>
                <w:numId w:val="4"/>
              </w:numPr>
              <w:spacing w:after="0" w:line="240" w:lineRule="auto"/>
              <w:ind w:left="340"/>
            </w:pPr>
            <w:r w:rsidRPr="00206792">
              <w:rPr>
                <w:color w:val="000000"/>
              </w:rPr>
              <w:t>Completed assessment with identified implementation strategies and timelines necessary to accurately track and report the RSA-911 data elements and the Common Performance Measures</w:t>
            </w:r>
          </w:p>
        </w:tc>
      </w:tr>
      <w:tr w:rsidR="00FC51B7" w:rsidRPr="00206792" w14:paraId="56B9316D" w14:textId="77777777" w:rsidTr="00FC51B7">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7D4F8012" w14:textId="77777777" w:rsidR="00FC51B7" w:rsidRPr="00206792" w:rsidRDefault="00FC51B7" w:rsidP="00C575C8">
            <w:pPr>
              <w:pStyle w:val="ListParagraph"/>
              <w:numPr>
                <w:ilvl w:val="0"/>
                <w:numId w:val="3"/>
              </w:numPr>
              <w:spacing w:after="0" w:line="240" w:lineRule="auto"/>
            </w:pPr>
            <w:r w:rsidRPr="00206792">
              <w:rPr>
                <w:color w:val="000000"/>
              </w:rPr>
              <w:t>Review and/or develop/revise as needed policies and procedures for the tracking and reporting of 911 data elements and CPMs.</w:t>
            </w:r>
          </w:p>
        </w:tc>
        <w:tc>
          <w:tcPr>
            <w:tcW w:w="2452" w:type="pct"/>
            <w:tcBorders>
              <w:top w:val="nil"/>
              <w:left w:val="nil"/>
              <w:bottom w:val="single" w:sz="4" w:space="0" w:color="000000"/>
              <w:right w:val="single" w:sz="4" w:space="0" w:color="000000"/>
            </w:tcBorders>
            <w:shd w:val="clear" w:color="auto" w:fill="auto"/>
            <w:vAlign w:val="center"/>
            <w:hideMark/>
          </w:tcPr>
          <w:p w14:paraId="6DF1222E" w14:textId="77777777" w:rsidR="00FC51B7" w:rsidRPr="00206792" w:rsidRDefault="00FC51B7" w:rsidP="00C575C8">
            <w:pPr>
              <w:pStyle w:val="ListParagraph"/>
              <w:numPr>
                <w:ilvl w:val="0"/>
                <w:numId w:val="4"/>
              </w:numPr>
              <w:spacing w:after="0" w:line="240" w:lineRule="auto"/>
              <w:ind w:left="340"/>
            </w:pPr>
            <w:r w:rsidRPr="00206792">
              <w:rPr>
                <w:color w:val="000000"/>
              </w:rPr>
              <w:t>Completed draft policies and procedures for tracking and report.</w:t>
            </w:r>
          </w:p>
        </w:tc>
      </w:tr>
      <w:tr w:rsidR="00FC51B7" w:rsidRPr="00206792" w14:paraId="306E4B90" w14:textId="77777777" w:rsidTr="00FC51B7">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19AA0009" w14:textId="77777777" w:rsidR="00FC51B7" w:rsidRPr="00206792" w:rsidRDefault="00FC51B7" w:rsidP="00C575C8">
            <w:pPr>
              <w:pStyle w:val="ListParagraph"/>
              <w:numPr>
                <w:ilvl w:val="0"/>
                <w:numId w:val="3"/>
              </w:numPr>
              <w:spacing w:after="0" w:line="240" w:lineRule="auto"/>
            </w:pPr>
            <w:r w:rsidRPr="00206792">
              <w:rPr>
                <w:color w:val="000000"/>
              </w:rPr>
              <w:t xml:space="preserve">Review, develop and/or revise, as needed, internal controls necessary for WIOA, RSA-911, and CPMs </w:t>
            </w:r>
          </w:p>
        </w:tc>
        <w:tc>
          <w:tcPr>
            <w:tcW w:w="2452" w:type="pct"/>
            <w:tcBorders>
              <w:top w:val="nil"/>
              <w:left w:val="nil"/>
              <w:bottom w:val="single" w:sz="4" w:space="0" w:color="000000"/>
              <w:right w:val="single" w:sz="4" w:space="0" w:color="000000"/>
            </w:tcBorders>
            <w:shd w:val="clear" w:color="auto" w:fill="auto"/>
            <w:vAlign w:val="center"/>
            <w:hideMark/>
          </w:tcPr>
          <w:p w14:paraId="29D02027" w14:textId="77777777" w:rsidR="00FC51B7" w:rsidRPr="00206792" w:rsidRDefault="00FC51B7" w:rsidP="00C575C8">
            <w:pPr>
              <w:pStyle w:val="ListParagraph"/>
              <w:numPr>
                <w:ilvl w:val="0"/>
                <w:numId w:val="4"/>
              </w:numPr>
              <w:spacing w:after="0" w:line="240" w:lineRule="auto"/>
              <w:ind w:left="340"/>
            </w:pPr>
            <w:r w:rsidRPr="00206792">
              <w:rPr>
                <w:color w:val="000000"/>
              </w:rPr>
              <w:t>Completed draft internal controls written procedures</w:t>
            </w:r>
          </w:p>
        </w:tc>
      </w:tr>
      <w:tr w:rsidR="00FC51B7" w:rsidRPr="00206792" w14:paraId="0C697434" w14:textId="77777777" w:rsidTr="00FC51B7">
        <w:trPr>
          <w:trHeight w:val="20"/>
        </w:trPr>
        <w:tc>
          <w:tcPr>
            <w:tcW w:w="2548" w:type="pct"/>
            <w:tcBorders>
              <w:top w:val="nil"/>
              <w:left w:val="single" w:sz="4" w:space="0" w:color="000000"/>
              <w:bottom w:val="nil"/>
              <w:right w:val="single" w:sz="4" w:space="0" w:color="000000"/>
            </w:tcBorders>
            <w:shd w:val="clear" w:color="auto" w:fill="auto"/>
            <w:vAlign w:val="center"/>
            <w:hideMark/>
          </w:tcPr>
          <w:p w14:paraId="1255B386" w14:textId="77777777" w:rsidR="00FC51B7" w:rsidRPr="00206792" w:rsidRDefault="00FC51B7" w:rsidP="00C575C8">
            <w:pPr>
              <w:pStyle w:val="ListParagraph"/>
              <w:numPr>
                <w:ilvl w:val="0"/>
                <w:numId w:val="3"/>
              </w:numPr>
              <w:spacing w:after="0" w:line="240" w:lineRule="auto"/>
            </w:pPr>
            <w:r w:rsidRPr="00206792">
              <w:rPr>
                <w:color w:val="000000"/>
              </w:rPr>
              <w:t xml:space="preserve">Review and/or develop/revise as needed work performance standards for staff evaluation reflecting CPMs </w:t>
            </w:r>
          </w:p>
        </w:tc>
        <w:tc>
          <w:tcPr>
            <w:tcW w:w="2452" w:type="pct"/>
            <w:tcBorders>
              <w:top w:val="nil"/>
              <w:left w:val="nil"/>
              <w:bottom w:val="nil"/>
              <w:right w:val="single" w:sz="4" w:space="0" w:color="000000"/>
            </w:tcBorders>
            <w:shd w:val="clear" w:color="auto" w:fill="auto"/>
            <w:vAlign w:val="center"/>
            <w:hideMark/>
          </w:tcPr>
          <w:p w14:paraId="7CD4D7D8" w14:textId="77777777" w:rsidR="00FC51B7" w:rsidRPr="00206792" w:rsidRDefault="00FC51B7" w:rsidP="00C575C8">
            <w:pPr>
              <w:pStyle w:val="ListParagraph"/>
              <w:numPr>
                <w:ilvl w:val="0"/>
                <w:numId w:val="4"/>
              </w:numPr>
              <w:spacing w:after="0" w:line="240" w:lineRule="auto"/>
              <w:ind w:left="340"/>
            </w:pPr>
            <w:r w:rsidRPr="00206792">
              <w:rPr>
                <w:color w:val="000000"/>
              </w:rPr>
              <w:t>Completed draft policies and procedures for staff evaluations</w:t>
            </w:r>
          </w:p>
        </w:tc>
      </w:tr>
      <w:tr w:rsidR="00FC51B7" w:rsidRPr="00206792" w14:paraId="3FD8F0F0" w14:textId="77777777" w:rsidTr="00FC51B7">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9BB6BF" w14:textId="77777777" w:rsidR="00FC51B7" w:rsidRPr="00206792" w:rsidRDefault="00FC51B7" w:rsidP="00C575C8">
            <w:pPr>
              <w:pStyle w:val="ListParagraph"/>
              <w:numPr>
                <w:ilvl w:val="0"/>
                <w:numId w:val="3"/>
              </w:numPr>
              <w:spacing w:after="0" w:line="240" w:lineRule="auto"/>
            </w:pPr>
            <w:r w:rsidRPr="00206792">
              <w:rPr>
                <w:color w:val="000000"/>
              </w:rPr>
              <w:t>Assist VR leadership in the development of a program improvement plan in response to the transition to the CPMs</w:t>
            </w:r>
          </w:p>
        </w:tc>
        <w:tc>
          <w:tcPr>
            <w:tcW w:w="2452" w:type="pct"/>
            <w:tcBorders>
              <w:top w:val="single" w:sz="4" w:space="0" w:color="auto"/>
              <w:left w:val="nil"/>
              <w:bottom w:val="single" w:sz="4" w:space="0" w:color="auto"/>
              <w:right w:val="single" w:sz="4" w:space="0" w:color="auto"/>
            </w:tcBorders>
            <w:shd w:val="clear" w:color="auto" w:fill="auto"/>
            <w:vAlign w:val="center"/>
            <w:hideMark/>
          </w:tcPr>
          <w:p w14:paraId="24BE9EA5" w14:textId="77777777" w:rsidR="00FC51B7" w:rsidRPr="00206792" w:rsidRDefault="00FC51B7" w:rsidP="00C575C8">
            <w:pPr>
              <w:pStyle w:val="ListParagraph"/>
              <w:numPr>
                <w:ilvl w:val="0"/>
                <w:numId w:val="4"/>
              </w:numPr>
              <w:spacing w:after="0" w:line="240" w:lineRule="auto"/>
              <w:ind w:left="340"/>
            </w:pPr>
            <w:r w:rsidRPr="00206792">
              <w:rPr>
                <w:color w:val="000000"/>
              </w:rPr>
              <w:t>Completed plan with identified future implementation needs, as they relate to Common Performance Measures</w:t>
            </w:r>
          </w:p>
        </w:tc>
      </w:tr>
      <w:tr w:rsidR="00FC51B7" w:rsidRPr="00206792" w14:paraId="53396495" w14:textId="77777777" w:rsidTr="00FC51B7">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A00E98" w14:textId="77777777" w:rsidR="00FC51B7" w:rsidRPr="00206792" w:rsidRDefault="00FC51B7" w:rsidP="00C575C8">
            <w:pPr>
              <w:pStyle w:val="ListParagraph"/>
              <w:numPr>
                <w:ilvl w:val="0"/>
                <w:numId w:val="3"/>
              </w:numPr>
              <w:spacing w:after="0" w:line="240" w:lineRule="auto"/>
            </w:pPr>
            <w:r w:rsidRPr="00206792">
              <w:rPr>
                <w:color w:val="000000"/>
              </w:rPr>
              <w:t>Provide training to agency staff, with regard to CPM and 911 definitions and connections between 911 quarterly reports, CPM requirements, and impacts on the rehabilitation process and systems</w:t>
            </w: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5C83CF" w14:textId="77777777" w:rsidR="00FC51B7" w:rsidRPr="00206792" w:rsidRDefault="00FC51B7" w:rsidP="00C575C8">
            <w:pPr>
              <w:pStyle w:val="ListParagraph"/>
              <w:numPr>
                <w:ilvl w:val="0"/>
                <w:numId w:val="4"/>
              </w:numPr>
              <w:spacing w:after="0" w:line="240" w:lineRule="auto"/>
              <w:ind w:left="340"/>
            </w:pPr>
            <w:r w:rsidRPr="00206792">
              <w:rPr>
                <w:color w:val="000000"/>
              </w:rPr>
              <w:t>Number of people trained.</w:t>
            </w:r>
          </w:p>
        </w:tc>
      </w:tr>
      <w:tr w:rsidR="00FC51B7" w:rsidRPr="00206792" w14:paraId="370E05C5" w14:textId="77777777" w:rsidTr="00FC51B7">
        <w:trPr>
          <w:trHeight w:val="20"/>
        </w:trPr>
        <w:tc>
          <w:tcPr>
            <w:tcW w:w="5000" w:type="pct"/>
            <w:gridSpan w:val="2"/>
            <w:tcBorders>
              <w:top w:val="single" w:sz="4" w:space="0" w:color="auto"/>
              <w:left w:val="single" w:sz="4" w:space="0" w:color="000000"/>
              <w:bottom w:val="single" w:sz="4" w:space="0" w:color="auto"/>
              <w:right w:val="single" w:sz="4" w:space="0" w:color="000000"/>
            </w:tcBorders>
            <w:shd w:val="clear" w:color="auto" w:fill="D9E2F3" w:themeFill="accent1" w:themeFillTint="33"/>
            <w:vAlign w:val="center"/>
          </w:tcPr>
          <w:p w14:paraId="5BD478F0" w14:textId="77777777" w:rsidR="00FC51B7" w:rsidRPr="00206792" w:rsidRDefault="00FC51B7" w:rsidP="008A190D">
            <w:pPr>
              <w:spacing w:after="0" w:line="240" w:lineRule="auto"/>
              <w:ind w:firstLine="0"/>
              <w:jc w:val="center"/>
              <w:rPr>
                <w:b/>
              </w:rPr>
            </w:pPr>
            <w:r w:rsidRPr="00206792">
              <w:rPr>
                <w:b/>
              </w:rPr>
              <w:t>Short-Term Outcomes</w:t>
            </w:r>
          </w:p>
          <w:p w14:paraId="01307864" w14:textId="77777777" w:rsidR="00FC51B7" w:rsidRPr="00206792" w:rsidRDefault="00FC51B7" w:rsidP="00C575C8">
            <w:pPr>
              <w:pStyle w:val="ListParagraph"/>
              <w:numPr>
                <w:ilvl w:val="0"/>
                <w:numId w:val="2"/>
              </w:numPr>
              <w:spacing w:after="0" w:line="240" w:lineRule="auto"/>
              <w:rPr>
                <w:color w:val="000000"/>
              </w:rPr>
            </w:pPr>
            <w:r w:rsidRPr="00206792">
              <w:rPr>
                <w:color w:val="000000"/>
              </w:rPr>
              <w:t>SVRA accurately report the RSA 911 data elements necessary for the common performance measures</w:t>
            </w:r>
          </w:p>
          <w:p w14:paraId="3B8748B4" w14:textId="77777777" w:rsidR="00FC51B7" w:rsidRPr="00206792" w:rsidRDefault="00FC51B7" w:rsidP="00C575C8">
            <w:pPr>
              <w:pStyle w:val="ListParagraph"/>
              <w:numPr>
                <w:ilvl w:val="0"/>
                <w:numId w:val="2"/>
              </w:numPr>
              <w:spacing w:after="0" w:line="240" w:lineRule="auto"/>
              <w:rPr>
                <w:color w:val="000000"/>
              </w:rPr>
            </w:pPr>
            <w:r w:rsidRPr="00206792">
              <w:rPr>
                <w:color w:val="000000"/>
              </w:rPr>
              <w:t>SVRA successfully collects and reports data required for baseline year information and future target negotiations</w:t>
            </w:r>
          </w:p>
          <w:p w14:paraId="4FFCF9F5" w14:textId="77777777" w:rsidR="00FC51B7" w:rsidRPr="00206792" w:rsidRDefault="00FC51B7" w:rsidP="00C575C8">
            <w:pPr>
              <w:pStyle w:val="ListParagraph"/>
              <w:numPr>
                <w:ilvl w:val="0"/>
                <w:numId w:val="2"/>
              </w:numPr>
              <w:spacing w:after="0" w:line="240" w:lineRule="auto"/>
            </w:pPr>
            <w:r w:rsidRPr="00206792">
              <w:rPr>
                <w:color w:val="000000"/>
              </w:rPr>
              <w:t>SVRA successfully meet or exceed Common Performance Measure targets</w:t>
            </w:r>
          </w:p>
        </w:tc>
      </w:tr>
    </w:tbl>
    <w:p w14:paraId="30002145" w14:textId="77777777" w:rsidR="00FC51B7" w:rsidRDefault="00FC51B7" w:rsidP="00FC51B7">
      <w:pPr>
        <w:pStyle w:val="Heading2"/>
        <w:rPr>
          <w:szCs w:val="36"/>
        </w:rPr>
      </w:pPr>
      <w:r>
        <w:rPr>
          <w:szCs w:val="36"/>
        </w:rPr>
        <w:br w:type="page"/>
      </w:r>
    </w:p>
    <w:p w14:paraId="10093195" w14:textId="011FEA8C" w:rsidR="00FC51B7" w:rsidRPr="004B327C" w:rsidRDefault="00FC51B7" w:rsidP="00FC51B7">
      <w:pPr>
        <w:pStyle w:val="Heading2"/>
        <w:rPr>
          <w:szCs w:val="36"/>
        </w:rPr>
      </w:pPr>
      <w:bookmarkStart w:id="81" w:name="_Toc41940225"/>
      <w:r>
        <w:rPr>
          <w:szCs w:val="36"/>
        </w:rPr>
        <w:lastRenderedPageBreak/>
        <w:t>CPMs</w:t>
      </w:r>
      <w:r w:rsidRPr="004B327C">
        <w:rPr>
          <w:szCs w:val="36"/>
        </w:rPr>
        <w:t xml:space="preserve">: </w:t>
      </w:r>
      <w:r w:rsidR="006169BB" w:rsidRPr="004B327C">
        <w:rPr>
          <w:szCs w:val="36"/>
        </w:rPr>
        <w:t>Activities &amp; Outputs Progress Dashboards</w:t>
      </w:r>
      <w:bookmarkEnd w:id="81"/>
    </w:p>
    <w:p w14:paraId="4BBFC89E" w14:textId="7472849D" w:rsidR="00FC51B7" w:rsidRDefault="00FC51B7" w:rsidP="00FC51B7">
      <w:pPr>
        <w:ind w:hanging="90"/>
      </w:pPr>
    </w:p>
    <w:p w14:paraId="3484D1D2" w14:textId="7EDEF227" w:rsidR="00B360F2" w:rsidRDefault="00B360F2" w:rsidP="00FC51B7">
      <w:pPr>
        <w:ind w:hanging="90"/>
      </w:pPr>
      <w:r>
        <w:rPr>
          <w:noProof/>
          <w:lang w:eastAsia="ko-KR"/>
        </w:rPr>
        <w:drawing>
          <wp:inline distT="0" distB="0" distL="0" distR="0" wp14:anchorId="49FCCB10" wp14:editId="6FEE9827">
            <wp:extent cx="5943600" cy="2495550"/>
            <wp:effectExtent l="0" t="0" r="0" b="0"/>
            <wp:docPr id="107" name="Picture 107" descr="Progress Common Performance Measures: Activities showing 47% complete">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2495550"/>
                    </a:xfrm>
                    <a:prstGeom prst="rect">
                      <a:avLst/>
                    </a:prstGeom>
                  </pic:spPr>
                </pic:pic>
              </a:graphicData>
            </a:graphic>
          </wp:inline>
        </w:drawing>
      </w:r>
    </w:p>
    <w:p w14:paraId="178024AD" w14:textId="77777777" w:rsidR="00FC51B7" w:rsidRPr="000C0925" w:rsidRDefault="00FC51B7" w:rsidP="00FC51B7">
      <w:pPr>
        <w:spacing w:line="240" w:lineRule="auto"/>
        <w:rPr>
          <w:sz w:val="24"/>
          <w:szCs w:val="24"/>
        </w:rPr>
        <w:sectPr w:rsidR="00FC51B7" w:rsidRPr="000C0925" w:rsidSect="00FC51B7">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cols w:space="720"/>
          <w:docGrid w:linePitch="360"/>
        </w:sectPr>
      </w:pPr>
      <w:r w:rsidRPr="00492083">
        <w:rPr>
          <w:sz w:val="24"/>
          <w:szCs w:val="24"/>
        </w:rPr>
        <w:t>In the progress bar above we see that</w:t>
      </w:r>
      <w:r>
        <w:rPr>
          <w:b/>
          <w:bCs/>
          <w:sz w:val="24"/>
          <w:szCs w:val="24"/>
        </w:rPr>
        <w:t xml:space="preserve"> a</w:t>
      </w:r>
      <w:r w:rsidRPr="00073B3B">
        <w:rPr>
          <w:b/>
          <w:bCs/>
          <w:sz w:val="24"/>
          <w:szCs w:val="24"/>
        </w:rPr>
        <w:t xml:space="preserve">cross </w:t>
      </w:r>
      <w:r>
        <w:rPr>
          <w:b/>
          <w:bCs/>
          <w:sz w:val="24"/>
          <w:szCs w:val="24"/>
        </w:rPr>
        <w:t>137</w:t>
      </w:r>
      <w:r w:rsidRPr="00073B3B">
        <w:rPr>
          <w:b/>
          <w:bCs/>
          <w:sz w:val="24"/>
          <w:szCs w:val="24"/>
        </w:rPr>
        <w:t xml:space="preserve"> activities articulated in ITAAs, </w:t>
      </w:r>
      <w:r>
        <w:rPr>
          <w:b/>
          <w:bCs/>
          <w:sz w:val="24"/>
          <w:szCs w:val="24"/>
        </w:rPr>
        <w:t>half</w:t>
      </w:r>
      <w:r w:rsidRPr="00073B3B">
        <w:rPr>
          <w:b/>
          <w:bCs/>
          <w:sz w:val="24"/>
          <w:szCs w:val="24"/>
        </w:rPr>
        <w:t xml:space="preserve"> are complete (</w:t>
      </w:r>
      <w:r>
        <w:rPr>
          <w:b/>
          <w:bCs/>
          <w:sz w:val="24"/>
          <w:szCs w:val="24"/>
        </w:rPr>
        <w:t>4</w:t>
      </w:r>
      <w:r w:rsidRPr="00073B3B">
        <w:rPr>
          <w:b/>
          <w:bCs/>
          <w:sz w:val="24"/>
          <w:szCs w:val="24"/>
        </w:rPr>
        <w:t>7%)</w:t>
      </w:r>
      <w:r w:rsidRPr="00E47117">
        <w:rPr>
          <w:sz w:val="24"/>
          <w:szCs w:val="24"/>
        </w:rPr>
        <w:t xml:space="preserve"> or moving to completion (</w:t>
      </w:r>
      <w:r>
        <w:rPr>
          <w:sz w:val="24"/>
          <w:szCs w:val="24"/>
        </w:rPr>
        <w:t>10</w:t>
      </w:r>
      <w:r w:rsidRPr="00E47117">
        <w:rPr>
          <w:sz w:val="24"/>
          <w:szCs w:val="24"/>
        </w:rPr>
        <w:t>%)</w:t>
      </w:r>
      <w:r>
        <w:rPr>
          <w:sz w:val="24"/>
          <w:szCs w:val="24"/>
        </w:rPr>
        <w:t xml:space="preserve"> with completion rates of 75% or more</w:t>
      </w:r>
      <w:r w:rsidRPr="00E47117">
        <w:rPr>
          <w:sz w:val="24"/>
          <w:szCs w:val="24"/>
        </w:rPr>
        <w:t xml:space="preserve">.  </w:t>
      </w:r>
      <w:r>
        <w:rPr>
          <w:sz w:val="24"/>
          <w:szCs w:val="24"/>
        </w:rPr>
        <w:t>Less than a fifth have not yet started.  Further b</w:t>
      </w:r>
      <w:r w:rsidRPr="00E47117">
        <w:rPr>
          <w:sz w:val="24"/>
          <w:szCs w:val="24"/>
        </w:rPr>
        <w:t>elow, thermometers demonstrate the level of completion for the different activities and outputs as defined in the logic model</w:t>
      </w:r>
      <w:r>
        <w:rPr>
          <w:sz w:val="24"/>
          <w:szCs w:val="24"/>
        </w:rPr>
        <w:t xml:space="preserve"> for ITAA states</w:t>
      </w:r>
      <w:r w:rsidRPr="00E47117">
        <w:rPr>
          <w:sz w:val="24"/>
          <w:szCs w:val="24"/>
        </w:rPr>
        <w:t>.  A handful of idiosyncratic activities in the ITAAs not listed in logic models are captured together in their own thermometer</w:t>
      </w:r>
      <w:r>
        <w:rPr>
          <w:sz w:val="24"/>
          <w:szCs w:val="24"/>
        </w:rPr>
        <w:t xml:space="preserve"> (U)</w:t>
      </w:r>
      <w:r w:rsidRPr="00E47117">
        <w:rPr>
          <w:sz w:val="24"/>
          <w:szCs w:val="24"/>
        </w:rPr>
        <w:t>.</w:t>
      </w:r>
      <w:r>
        <w:rPr>
          <w:sz w:val="24"/>
          <w:szCs w:val="24"/>
        </w:rPr>
        <w:t xml:space="preserve">  Progress rates for the different activities make manifest the SVRAs’ focus on meeting reporting requirements and expectations mandated under WIOA, with slower progress seen for activities related to internal controls, staff training, work performance standards,  and program improvement plans. </w:t>
      </w:r>
    </w:p>
    <w:p w14:paraId="2A0BBB12" w14:textId="77777777" w:rsidR="00FC51B7" w:rsidRPr="007904F1" w:rsidRDefault="00FC51B7" w:rsidP="00C71DBA">
      <w:pPr>
        <w:tabs>
          <w:tab w:val="left" w:pos="360"/>
        </w:tabs>
        <w:ind w:firstLine="0"/>
        <w:jc w:val="center"/>
        <w:rPr>
          <w:b/>
          <w:bCs/>
          <w:szCs w:val="14"/>
        </w:rPr>
      </w:pPr>
      <w:r w:rsidRPr="003A10D6">
        <w:rPr>
          <w:sz w:val="36"/>
          <w:szCs w:val="36"/>
        </w:rPr>
        <w:lastRenderedPageBreak/>
        <w:t xml:space="preserve">Activity </w:t>
      </w:r>
      <w:r>
        <w:rPr>
          <w:sz w:val="36"/>
          <w:szCs w:val="36"/>
        </w:rPr>
        <w:t>1</w:t>
      </w:r>
      <w:r>
        <w:rPr>
          <w:sz w:val="36"/>
          <w:szCs w:val="36"/>
        </w:rPr>
        <w:br/>
      </w:r>
      <w:r>
        <w:rPr>
          <w:noProof/>
          <w:lang w:eastAsia="ko-KR"/>
        </w:rPr>
        <w:drawing>
          <wp:inline distT="0" distB="0" distL="0" distR="0" wp14:anchorId="6C3A9026" wp14:editId="1DAE4372">
            <wp:extent cx="1417320" cy="4572000"/>
            <wp:effectExtent l="0" t="0" r="0" b="0"/>
            <wp:docPr id="30" name="Picture 30" descr="Activity &amp; Outputs Progres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417320" cy="4572000"/>
                    </a:xfrm>
                    <a:prstGeom prst="rect">
                      <a:avLst/>
                    </a:prstGeom>
                  </pic:spPr>
                </pic:pic>
              </a:graphicData>
            </a:graphic>
          </wp:inline>
        </w:drawing>
      </w:r>
      <w:r>
        <w:rPr>
          <w:sz w:val="36"/>
          <w:szCs w:val="36"/>
        </w:rPr>
        <w:br/>
      </w:r>
      <w:r>
        <w:rPr>
          <w:noProof/>
          <w:lang w:eastAsia="ko-KR"/>
        </w:rPr>
        <w:drawing>
          <wp:inline distT="0" distB="0" distL="0" distR="0" wp14:anchorId="589291E5" wp14:editId="2B19546C">
            <wp:extent cx="2090057" cy="370114"/>
            <wp:effectExtent l="0" t="0" r="5715" b="0"/>
            <wp:docPr id="33" name="Picture 33"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1F145A30" w14:textId="77777777" w:rsidR="00FC51B7" w:rsidRPr="00B7111B" w:rsidRDefault="00FC51B7" w:rsidP="00C71DBA">
      <w:pPr>
        <w:ind w:firstLine="0"/>
        <w:rPr>
          <w:rFonts w:cstheme="minorHAnsi"/>
        </w:rPr>
      </w:pPr>
      <w:r w:rsidRPr="00B7111B">
        <w:rPr>
          <w:rFonts w:cstheme="minorHAnsi"/>
          <w:b/>
          <w:bCs/>
        </w:rPr>
        <w:t>Activity 1:</w:t>
      </w:r>
      <w:r w:rsidRPr="00B7111B">
        <w:rPr>
          <w:rFonts w:cstheme="minorHAnsi"/>
        </w:rPr>
        <w:t xml:space="preserve"> Analyze VR agency readiness and capacity to collect and report CPMs</w:t>
      </w:r>
      <w:r w:rsidRPr="00B7111B">
        <w:rPr>
          <w:rFonts w:cstheme="minorHAnsi"/>
        </w:rPr>
        <w:tab/>
      </w:r>
    </w:p>
    <w:p w14:paraId="6AD4A333" w14:textId="77777777" w:rsidR="00FC51B7" w:rsidRPr="00B7111B" w:rsidRDefault="00FC51B7" w:rsidP="00C71DBA">
      <w:pPr>
        <w:ind w:firstLine="0"/>
        <w:rPr>
          <w:rFonts w:cstheme="minorHAnsi"/>
        </w:rPr>
      </w:pPr>
      <w:r w:rsidRPr="00B7111B">
        <w:rPr>
          <w:rFonts w:cstheme="minorHAnsi"/>
          <w:b/>
          <w:bCs/>
        </w:rPr>
        <w:t>Output A:</w:t>
      </w:r>
      <w:r w:rsidRPr="00B7111B">
        <w:rPr>
          <w:rFonts w:cstheme="minorHAnsi"/>
        </w:rPr>
        <w:t xml:space="preserve"> Completed assessment with identified implementation strategies and timelines necessary to accurately track and report the RSA-911 data elements and the Common Performance Measures</w:t>
      </w:r>
    </w:p>
    <w:p w14:paraId="7A85CB78" w14:textId="77777777" w:rsidR="00FC51B7" w:rsidRPr="007904F1" w:rsidRDefault="00FC51B7" w:rsidP="00C71DBA">
      <w:pPr>
        <w:tabs>
          <w:tab w:val="left" w:pos="360"/>
        </w:tabs>
        <w:ind w:firstLine="0"/>
        <w:jc w:val="center"/>
        <w:rPr>
          <w:b/>
          <w:bCs/>
          <w:szCs w:val="14"/>
        </w:rPr>
      </w:pPr>
      <w:r w:rsidRPr="003A10D6">
        <w:rPr>
          <w:sz w:val="36"/>
          <w:szCs w:val="36"/>
        </w:rPr>
        <w:t xml:space="preserve">Activity </w:t>
      </w:r>
      <w:r>
        <w:rPr>
          <w:sz w:val="36"/>
          <w:szCs w:val="36"/>
        </w:rPr>
        <w:t>2</w:t>
      </w:r>
      <w:r>
        <w:rPr>
          <w:sz w:val="36"/>
          <w:szCs w:val="36"/>
        </w:rPr>
        <w:br/>
      </w:r>
      <w:r>
        <w:rPr>
          <w:noProof/>
          <w:lang w:eastAsia="ko-KR"/>
        </w:rPr>
        <w:drawing>
          <wp:inline distT="0" distB="0" distL="0" distR="0" wp14:anchorId="69ED2580" wp14:editId="3DE44E18">
            <wp:extent cx="1362456" cy="4572000"/>
            <wp:effectExtent l="0" t="0" r="9525" b="0"/>
            <wp:docPr id="34" name="Picture 34" descr="Activity &amp; Outputs Progres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362456" cy="4572000"/>
                    </a:xfrm>
                    <a:prstGeom prst="rect">
                      <a:avLst/>
                    </a:prstGeom>
                  </pic:spPr>
                </pic:pic>
              </a:graphicData>
            </a:graphic>
          </wp:inline>
        </w:drawing>
      </w:r>
      <w:r>
        <w:rPr>
          <w:sz w:val="36"/>
          <w:szCs w:val="36"/>
        </w:rPr>
        <w:br/>
      </w:r>
      <w:r>
        <w:rPr>
          <w:noProof/>
          <w:lang w:eastAsia="ko-KR"/>
        </w:rPr>
        <w:drawing>
          <wp:inline distT="0" distB="0" distL="0" distR="0" wp14:anchorId="13BD15C5" wp14:editId="07FAC567">
            <wp:extent cx="2090057" cy="370114"/>
            <wp:effectExtent l="0" t="0" r="5715" b="0"/>
            <wp:docPr id="35" name="Picture 35"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79DBA2D1" w14:textId="77777777" w:rsidR="00FC51B7" w:rsidRPr="00B7111B" w:rsidRDefault="00FC51B7" w:rsidP="00C71DBA">
      <w:pPr>
        <w:ind w:firstLine="0"/>
        <w:rPr>
          <w:rFonts w:cstheme="minorHAnsi"/>
        </w:rPr>
      </w:pPr>
      <w:r w:rsidRPr="00B7111B">
        <w:rPr>
          <w:rFonts w:cstheme="minorHAnsi"/>
          <w:b/>
          <w:bCs/>
        </w:rPr>
        <w:t>Activity 2:</w:t>
      </w:r>
      <w:r w:rsidRPr="00B7111B">
        <w:rPr>
          <w:rFonts w:cstheme="minorHAnsi"/>
        </w:rPr>
        <w:t xml:space="preserve"> Review and/or develop/revise as needed policies and procedures for the tracking and reporting of 911 data elements and CPMs.</w:t>
      </w:r>
      <w:r w:rsidRPr="00B7111B">
        <w:rPr>
          <w:rFonts w:cstheme="minorHAnsi"/>
        </w:rPr>
        <w:tab/>
      </w:r>
    </w:p>
    <w:p w14:paraId="7A021F3D" w14:textId="77777777" w:rsidR="00FC51B7" w:rsidRPr="00B7111B" w:rsidRDefault="00FC51B7" w:rsidP="00C71DBA">
      <w:pPr>
        <w:ind w:firstLine="0"/>
        <w:rPr>
          <w:rFonts w:cstheme="minorHAnsi"/>
        </w:rPr>
      </w:pPr>
      <w:r w:rsidRPr="00B7111B">
        <w:rPr>
          <w:rFonts w:cstheme="minorHAnsi"/>
          <w:b/>
          <w:bCs/>
        </w:rPr>
        <w:t>Output B:</w:t>
      </w:r>
      <w:r w:rsidRPr="00B7111B">
        <w:rPr>
          <w:rFonts w:cstheme="minorHAnsi"/>
        </w:rPr>
        <w:t xml:space="preserve"> Completed draft policies and procedures for tracking and report.</w:t>
      </w:r>
    </w:p>
    <w:p w14:paraId="3E7555FB" w14:textId="77777777" w:rsidR="00FC51B7" w:rsidRPr="00B7111B" w:rsidRDefault="00FC51B7" w:rsidP="00C71DBA">
      <w:pPr>
        <w:ind w:firstLine="0"/>
        <w:jc w:val="center"/>
        <w:rPr>
          <w:rFonts w:cstheme="minorHAnsi"/>
        </w:rPr>
      </w:pPr>
      <w:r w:rsidRPr="003A10D6">
        <w:rPr>
          <w:sz w:val="36"/>
          <w:szCs w:val="36"/>
        </w:rPr>
        <w:lastRenderedPageBreak/>
        <w:t xml:space="preserve">Activity </w:t>
      </w:r>
      <w:r>
        <w:rPr>
          <w:sz w:val="36"/>
          <w:szCs w:val="36"/>
        </w:rPr>
        <w:t>3</w:t>
      </w:r>
      <w:r>
        <w:rPr>
          <w:sz w:val="36"/>
          <w:szCs w:val="36"/>
        </w:rPr>
        <w:br/>
      </w:r>
      <w:r>
        <w:rPr>
          <w:noProof/>
          <w:lang w:eastAsia="ko-KR"/>
        </w:rPr>
        <w:drawing>
          <wp:inline distT="0" distB="0" distL="0" distR="0" wp14:anchorId="00A0CBDF" wp14:editId="0F6ECEFC">
            <wp:extent cx="1325880" cy="4572000"/>
            <wp:effectExtent l="0" t="0" r="7620" b="0"/>
            <wp:docPr id="15" name="Picture 15" descr="Activity &amp; Outputs Progres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325880" cy="4572000"/>
                    </a:xfrm>
                    <a:prstGeom prst="rect">
                      <a:avLst/>
                    </a:prstGeom>
                  </pic:spPr>
                </pic:pic>
              </a:graphicData>
            </a:graphic>
          </wp:inline>
        </w:drawing>
      </w:r>
      <w:r>
        <w:rPr>
          <w:rFonts w:cstheme="minorHAnsi"/>
        </w:rPr>
        <w:br/>
      </w:r>
      <w:r>
        <w:rPr>
          <w:noProof/>
          <w:lang w:eastAsia="ko-KR"/>
        </w:rPr>
        <w:drawing>
          <wp:inline distT="0" distB="0" distL="0" distR="0" wp14:anchorId="7B61C25E" wp14:editId="67F14C92">
            <wp:extent cx="2090057" cy="370114"/>
            <wp:effectExtent l="0" t="0" r="5715" b="0"/>
            <wp:docPr id="36" name="Picture 36"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36704A89" w14:textId="77777777" w:rsidR="00FC51B7" w:rsidRPr="00B7111B" w:rsidRDefault="00FC51B7" w:rsidP="00FC51B7">
      <w:pPr>
        <w:rPr>
          <w:rFonts w:cstheme="minorHAnsi"/>
        </w:rPr>
      </w:pPr>
      <w:r w:rsidRPr="00B7111B">
        <w:rPr>
          <w:rFonts w:cstheme="minorHAnsi"/>
          <w:b/>
          <w:bCs/>
        </w:rPr>
        <w:t>Activity 3:</w:t>
      </w:r>
      <w:r w:rsidRPr="00B7111B">
        <w:rPr>
          <w:rFonts w:cstheme="minorHAnsi"/>
        </w:rPr>
        <w:t xml:space="preserve"> Review, develop and/or revise, as needed, internal controls necessary for WIOA, RSA-911, and CPMs. </w:t>
      </w:r>
    </w:p>
    <w:p w14:paraId="0CE84722" w14:textId="77777777" w:rsidR="00FC51B7" w:rsidRPr="00B7111B" w:rsidRDefault="00FC51B7" w:rsidP="00FC51B7">
      <w:pPr>
        <w:rPr>
          <w:rFonts w:cstheme="minorHAnsi"/>
        </w:rPr>
      </w:pPr>
      <w:r w:rsidRPr="00B7111B">
        <w:rPr>
          <w:rFonts w:cstheme="minorHAnsi"/>
          <w:b/>
          <w:bCs/>
        </w:rPr>
        <w:t xml:space="preserve">Output C: </w:t>
      </w:r>
      <w:r w:rsidRPr="00B7111B">
        <w:rPr>
          <w:rFonts w:cstheme="minorHAnsi"/>
        </w:rPr>
        <w:t>Completed draft internal controls written procedures.</w:t>
      </w:r>
    </w:p>
    <w:p w14:paraId="45FDA344" w14:textId="77777777" w:rsidR="00FC51B7" w:rsidRPr="00B7111B" w:rsidRDefault="00FC51B7" w:rsidP="00C71DBA">
      <w:pPr>
        <w:ind w:firstLine="0"/>
        <w:jc w:val="center"/>
        <w:rPr>
          <w:rFonts w:cstheme="minorHAnsi"/>
        </w:rPr>
      </w:pPr>
      <w:r w:rsidRPr="003A10D6">
        <w:rPr>
          <w:sz w:val="36"/>
          <w:szCs w:val="36"/>
        </w:rPr>
        <w:t xml:space="preserve">Activity </w:t>
      </w:r>
      <w:r>
        <w:rPr>
          <w:sz w:val="36"/>
          <w:szCs w:val="36"/>
        </w:rPr>
        <w:t>4</w:t>
      </w:r>
      <w:r>
        <w:rPr>
          <w:sz w:val="36"/>
          <w:szCs w:val="36"/>
        </w:rPr>
        <w:br/>
      </w:r>
      <w:r>
        <w:rPr>
          <w:noProof/>
          <w:lang w:eastAsia="ko-KR"/>
        </w:rPr>
        <w:drawing>
          <wp:inline distT="0" distB="0" distL="0" distR="0" wp14:anchorId="4046AFF7" wp14:editId="173A70BC">
            <wp:extent cx="1344168" cy="4572000"/>
            <wp:effectExtent l="0" t="0" r="8890" b="0"/>
            <wp:docPr id="19" name="Picture 19" descr="Activity &amp; Outputs Progres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344168" cy="4572000"/>
                    </a:xfrm>
                    <a:prstGeom prst="rect">
                      <a:avLst/>
                    </a:prstGeom>
                  </pic:spPr>
                </pic:pic>
              </a:graphicData>
            </a:graphic>
          </wp:inline>
        </w:drawing>
      </w:r>
      <w:r>
        <w:rPr>
          <w:rFonts w:cstheme="minorHAnsi"/>
        </w:rPr>
        <w:br/>
      </w:r>
      <w:r>
        <w:rPr>
          <w:noProof/>
          <w:lang w:eastAsia="ko-KR"/>
        </w:rPr>
        <w:drawing>
          <wp:inline distT="0" distB="0" distL="0" distR="0" wp14:anchorId="1A81258F" wp14:editId="51100932">
            <wp:extent cx="2090057" cy="370114"/>
            <wp:effectExtent l="0" t="0" r="5715" b="0"/>
            <wp:docPr id="18" name="Picture 18"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2E6D3F39" w14:textId="77777777" w:rsidR="00FC51B7" w:rsidRPr="00B7111B" w:rsidRDefault="00FC51B7" w:rsidP="00FC51B7">
      <w:pPr>
        <w:rPr>
          <w:rFonts w:cstheme="minorHAnsi"/>
        </w:rPr>
      </w:pPr>
      <w:r w:rsidRPr="00B7111B">
        <w:rPr>
          <w:rFonts w:cstheme="minorHAnsi"/>
          <w:b/>
          <w:bCs/>
        </w:rPr>
        <w:t>Activity 4:</w:t>
      </w:r>
      <w:r w:rsidRPr="00B7111B">
        <w:rPr>
          <w:rFonts w:cstheme="minorHAnsi"/>
        </w:rPr>
        <w:t xml:space="preserve"> Review and/or develop/revise as needed work performance standards for staff evaluation reflecting CPMs. </w:t>
      </w:r>
      <w:r w:rsidRPr="00B7111B">
        <w:rPr>
          <w:rFonts w:cstheme="minorHAnsi"/>
        </w:rPr>
        <w:tab/>
      </w:r>
    </w:p>
    <w:p w14:paraId="301F272E" w14:textId="77777777" w:rsidR="00FC51B7" w:rsidRPr="00B7111B" w:rsidRDefault="00FC51B7" w:rsidP="00FC51B7">
      <w:pPr>
        <w:rPr>
          <w:rFonts w:cstheme="minorHAnsi"/>
        </w:rPr>
      </w:pPr>
      <w:r w:rsidRPr="00B7111B">
        <w:rPr>
          <w:rFonts w:cstheme="minorHAnsi"/>
          <w:b/>
          <w:bCs/>
        </w:rPr>
        <w:t>Output D:</w:t>
      </w:r>
      <w:r w:rsidRPr="00B7111B">
        <w:rPr>
          <w:rFonts w:cstheme="minorHAnsi"/>
        </w:rPr>
        <w:t xml:space="preserve"> Completed draft policies and procedures for staff evaluations.</w:t>
      </w:r>
    </w:p>
    <w:p w14:paraId="362ECF67" w14:textId="77777777" w:rsidR="00FC51B7" w:rsidRPr="00B7111B" w:rsidRDefault="00FC51B7" w:rsidP="00C71DBA">
      <w:pPr>
        <w:ind w:firstLine="0"/>
        <w:jc w:val="center"/>
        <w:rPr>
          <w:rFonts w:cstheme="minorHAnsi"/>
        </w:rPr>
      </w:pPr>
      <w:r w:rsidRPr="003A10D6">
        <w:rPr>
          <w:sz w:val="36"/>
          <w:szCs w:val="36"/>
        </w:rPr>
        <w:lastRenderedPageBreak/>
        <w:t xml:space="preserve">Activity </w:t>
      </w:r>
      <w:r>
        <w:rPr>
          <w:sz w:val="36"/>
          <w:szCs w:val="36"/>
        </w:rPr>
        <w:t>5</w:t>
      </w:r>
      <w:r>
        <w:rPr>
          <w:sz w:val="36"/>
          <w:szCs w:val="36"/>
        </w:rPr>
        <w:br/>
      </w:r>
      <w:r>
        <w:rPr>
          <w:noProof/>
          <w:lang w:eastAsia="ko-KR"/>
        </w:rPr>
        <w:drawing>
          <wp:inline distT="0" distB="0" distL="0" distR="0" wp14:anchorId="4C2599FE" wp14:editId="653142CB">
            <wp:extent cx="1618488" cy="4572000"/>
            <wp:effectExtent l="0" t="0" r="1270" b="0"/>
            <wp:docPr id="32" name="Picture 32" descr="Activity &amp; Outputs Progres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618488" cy="4572000"/>
                    </a:xfrm>
                    <a:prstGeom prst="rect">
                      <a:avLst/>
                    </a:prstGeom>
                  </pic:spPr>
                </pic:pic>
              </a:graphicData>
            </a:graphic>
          </wp:inline>
        </w:drawing>
      </w:r>
      <w:r>
        <w:rPr>
          <w:rFonts w:cstheme="minorHAnsi"/>
        </w:rPr>
        <w:br/>
      </w:r>
      <w:r>
        <w:rPr>
          <w:noProof/>
          <w:lang w:eastAsia="ko-KR"/>
        </w:rPr>
        <w:drawing>
          <wp:inline distT="0" distB="0" distL="0" distR="0" wp14:anchorId="3BC6A43A" wp14:editId="39ACE267">
            <wp:extent cx="2090057" cy="370114"/>
            <wp:effectExtent l="0" t="0" r="5715" b="0"/>
            <wp:docPr id="21" name="Picture 21"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3CD76508" w14:textId="77777777" w:rsidR="00FC51B7" w:rsidRPr="00B7111B" w:rsidRDefault="00FC51B7" w:rsidP="00C71DBA">
      <w:pPr>
        <w:ind w:firstLine="0"/>
        <w:rPr>
          <w:rFonts w:cstheme="minorHAnsi"/>
        </w:rPr>
      </w:pPr>
      <w:r w:rsidRPr="00B7111B">
        <w:rPr>
          <w:rFonts w:cstheme="minorHAnsi"/>
          <w:b/>
          <w:bCs/>
        </w:rPr>
        <w:t>Activity 5:</w:t>
      </w:r>
      <w:r w:rsidRPr="00B7111B">
        <w:rPr>
          <w:rFonts w:cstheme="minorHAnsi"/>
        </w:rPr>
        <w:t xml:space="preserve"> Assist VR leadership in the development of a program improvement plan in response to the transition to the CPMs.</w:t>
      </w:r>
      <w:r w:rsidRPr="00B7111B">
        <w:rPr>
          <w:rFonts w:cstheme="minorHAnsi"/>
        </w:rPr>
        <w:tab/>
      </w:r>
    </w:p>
    <w:p w14:paraId="2E4BA9BE" w14:textId="77777777" w:rsidR="00FC51B7" w:rsidRPr="00B7111B" w:rsidRDefault="00FC51B7" w:rsidP="00C71DBA">
      <w:pPr>
        <w:ind w:firstLine="0"/>
        <w:rPr>
          <w:rFonts w:cstheme="minorHAnsi"/>
        </w:rPr>
      </w:pPr>
      <w:r w:rsidRPr="00B7111B">
        <w:rPr>
          <w:rFonts w:cstheme="minorHAnsi"/>
          <w:b/>
          <w:bCs/>
        </w:rPr>
        <w:t>Output E:</w:t>
      </w:r>
      <w:r w:rsidRPr="00B7111B">
        <w:rPr>
          <w:rFonts w:cstheme="minorHAnsi"/>
        </w:rPr>
        <w:t>Completed plan with identified future implementation needs, as they relate to Common Performance Measures.</w:t>
      </w:r>
    </w:p>
    <w:p w14:paraId="27BB9C97" w14:textId="77777777" w:rsidR="00FC51B7" w:rsidRPr="00B7111B" w:rsidRDefault="00FC51B7" w:rsidP="00C71DBA">
      <w:pPr>
        <w:ind w:firstLine="0"/>
        <w:jc w:val="center"/>
        <w:rPr>
          <w:rFonts w:cstheme="minorHAnsi"/>
        </w:rPr>
      </w:pPr>
      <w:r w:rsidRPr="003A10D6">
        <w:rPr>
          <w:sz w:val="36"/>
          <w:szCs w:val="36"/>
        </w:rPr>
        <w:t xml:space="preserve">Activity </w:t>
      </w:r>
      <w:r>
        <w:rPr>
          <w:sz w:val="36"/>
          <w:szCs w:val="36"/>
        </w:rPr>
        <w:t>6</w:t>
      </w:r>
      <w:r>
        <w:rPr>
          <w:sz w:val="36"/>
          <w:szCs w:val="36"/>
        </w:rPr>
        <w:br/>
      </w:r>
      <w:r>
        <w:rPr>
          <w:noProof/>
          <w:lang w:eastAsia="ko-KR"/>
        </w:rPr>
        <w:drawing>
          <wp:inline distT="0" distB="0" distL="0" distR="0" wp14:anchorId="172A9B14" wp14:editId="6190C2E4">
            <wp:extent cx="1508760" cy="4572000"/>
            <wp:effectExtent l="0" t="0" r="0" b="0"/>
            <wp:docPr id="31" name="Picture 31" descr="Activity &amp; Outputs Progres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08760" cy="4572000"/>
                    </a:xfrm>
                    <a:prstGeom prst="rect">
                      <a:avLst/>
                    </a:prstGeom>
                  </pic:spPr>
                </pic:pic>
              </a:graphicData>
            </a:graphic>
          </wp:inline>
        </w:drawing>
      </w:r>
      <w:r>
        <w:rPr>
          <w:rFonts w:cstheme="minorHAnsi"/>
        </w:rPr>
        <w:br/>
      </w:r>
      <w:r>
        <w:rPr>
          <w:noProof/>
          <w:lang w:eastAsia="ko-KR"/>
        </w:rPr>
        <w:drawing>
          <wp:inline distT="0" distB="0" distL="0" distR="0" wp14:anchorId="0E036982" wp14:editId="17ADA427">
            <wp:extent cx="2090057" cy="370114"/>
            <wp:effectExtent l="0" t="0" r="5715" b="0"/>
            <wp:docPr id="39" name="Picture 39"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63731A08" w14:textId="77777777" w:rsidR="00FC51B7" w:rsidRPr="00B7111B" w:rsidRDefault="00FC51B7" w:rsidP="00C71DBA">
      <w:pPr>
        <w:ind w:firstLine="0"/>
        <w:rPr>
          <w:rFonts w:cstheme="minorHAnsi"/>
        </w:rPr>
      </w:pPr>
      <w:r w:rsidRPr="00B7111B">
        <w:rPr>
          <w:rFonts w:cstheme="minorHAnsi"/>
          <w:b/>
          <w:bCs/>
        </w:rPr>
        <w:t>Activity 6:</w:t>
      </w:r>
      <w:r w:rsidRPr="00B7111B">
        <w:rPr>
          <w:rFonts w:cstheme="minorHAnsi"/>
        </w:rPr>
        <w:t xml:space="preserve"> Provide training to agency staff, with regard to CPM and 911 definitions and connections between 911 quarterly reports, CPM requirements, and impacts on the rehabilitation process and systems.</w:t>
      </w:r>
      <w:r w:rsidRPr="00B7111B">
        <w:rPr>
          <w:rFonts w:cstheme="minorHAnsi"/>
        </w:rPr>
        <w:tab/>
      </w:r>
    </w:p>
    <w:p w14:paraId="51BA8231" w14:textId="77777777" w:rsidR="00FC51B7" w:rsidRPr="00B7111B" w:rsidRDefault="00FC51B7" w:rsidP="00C71DBA">
      <w:pPr>
        <w:ind w:firstLine="0"/>
        <w:rPr>
          <w:rFonts w:cstheme="minorHAnsi"/>
        </w:rPr>
      </w:pPr>
      <w:r w:rsidRPr="00B7111B">
        <w:rPr>
          <w:rFonts w:cstheme="minorHAnsi"/>
          <w:b/>
          <w:bCs/>
        </w:rPr>
        <w:t>Output F:</w:t>
      </w:r>
      <w:r w:rsidRPr="00B7111B">
        <w:rPr>
          <w:rFonts w:cstheme="minorHAnsi"/>
        </w:rPr>
        <w:t xml:space="preserve"> Number of people trained.</w:t>
      </w:r>
    </w:p>
    <w:p w14:paraId="7B21711B" w14:textId="09918723" w:rsidR="00FC51B7" w:rsidRPr="00B7111B" w:rsidRDefault="00FC51B7" w:rsidP="00C71DBA">
      <w:pPr>
        <w:ind w:firstLine="0"/>
        <w:jc w:val="center"/>
        <w:rPr>
          <w:rFonts w:cstheme="minorHAnsi"/>
        </w:rPr>
      </w:pPr>
      <w:r w:rsidRPr="003A10D6">
        <w:rPr>
          <w:sz w:val="36"/>
          <w:szCs w:val="36"/>
        </w:rPr>
        <w:lastRenderedPageBreak/>
        <w:t xml:space="preserve">Activity </w:t>
      </w:r>
      <w:r>
        <w:rPr>
          <w:sz w:val="36"/>
          <w:szCs w:val="36"/>
        </w:rPr>
        <w:t>Unique</w:t>
      </w:r>
      <w:r>
        <w:rPr>
          <w:sz w:val="36"/>
          <w:szCs w:val="36"/>
        </w:rPr>
        <w:br/>
      </w:r>
      <w:r>
        <w:rPr>
          <w:noProof/>
          <w:lang w:eastAsia="ko-KR"/>
        </w:rPr>
        <w:drawing>
          <wp:inline distT="0" distB="0" distL="0" distR="0" wp14:anchorId="1BB3517A" wp14:editId="585AEA68">
            <wp:extent cx="1444752" cy="4572000"/>
            <wp:effectExtent l="0" t="0" r="3175" b="0"/>
            <wp:docPr id="27" name="Picture 27" descr="Activity &amp; Outputs Progress Un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444752" cy="4572000"/>
                    </a:xfrm>
                    <a:prstGeom prst="rect">
                      <a:avLst/>
                    </a:prstGeom>
                  </pic:spPr>
                </pic:pic>
              </a:graphicData>
            </a:graphic>
          </wp:inline>
        </w:drawing>
      </w:r>
      <w:r>
        <w:rPr>
          <w:rFonts w:cstheme="minorHAnsi"/>
        </w:rPr>
        <w:br/>
      </w:r>
      <w:r>
        <w:rPr>
          <w:noProof/>
          <w:lang w:eastAsia="ko-KR"/>
        </w:rPr>
        <w:drawing>
          <wp:inline distT="0" distB="0" distL="0" distR="0" wp14:anchorId="1FCD7137" wp14:editId="1D1068B7">
            <wp:extent cx="2090057" cy="370114"/>
            <wp:effectExtent l="0" t="0" r="5715" b="0"/>
            <wp:docPr id="43" name="Picture 43"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4CFD1ACF" w14:textId="77777777" w:rsidR="00FC51B7" w:rsidRDefault="00FC51B7" w:rsidP="00FC51B7">
      <w:pPr>
        <w:jc w:val="center"/>
        <w:rPr>
          <w:szCs w:val="14"/>
        </w:rPr>
      </w:pPr>
    </w:p>
    <w:p w14:paraId="24FA56BC" w14:textId="77777777" w:rsidR="00FC51B7" w:rsidRDefault="00FC51B7" w:rsidP="00FC51B7">
      <w:pPr>
        <w:jc w:val="center"/>
        <w:rPr>
          <w:szCs w:val="14"/>
        </w:rPr>
      </w:pPr>
    </w:p>
    <w:p w14:paraId="32DE347A" w14:textId="77777777" w:rsidR="00FC51B7" w:rsidRDefault="00FC51B7" w:rsidP="00FC51B7">
      <w:pPr>
        <w:jc w:val="center"/>
        <w:rPr>
          <w:szCs w:val="14"/>
        </w:rPr>
        <w:sectPr w:rsidR="00FC51B7" w:rsidSect="0042504C">
          <w:headerReference w:type="even" r:id="rId144"/>
          <w:headerReference w:type="default" r:id="rId145"/>
          <w:footerReference w:type="even" r:id="rId146"/>
          <w:footerReference w:type="default" r:id="rId147"/>
          <w:headerReference w:type="first" r:id="rId148"/>
          <w:footerReference w:type="first" r:id="rId149"/>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num="2" w:space="720"/>
          <w:docGrid w:linePitch="360"/>
        </w:sectPr>
      </w:pPr>
    </w:p>
    <w:p w14:paraId="118FFF6B" w14:textId="77777777" w:rsidR="00FC51B7" w:rsidRDefault="00FC51B7" w:rsidP="00FC51B7">
      <w:pPr>
        <w:pBdr>
          <w:bottom w:val="single" w:sz="24" w:space="1" w:color="auto"/>
        </w:pBdr>
        <w:tabs>
          <w:tab w:val="center" w:pos="4680"/>
          <w:tab w:val="right" w:pos="9360"/>
        </w:tabs>
        <w:spacing w:after="0" w:line="240" w:lineRule="auto"/>
        <w:rPr>
          <w:b/>
          <w:sz w:val="36"/>
        </w:rPr>
      </w:pPr>
      <w:r>
        <w:rPr>
          <w:b/>
          <w:sz w:val="36"/>
        </w:rPr>
        <w:lastRenderedPageBreak/>
        <w:tab/>
        <w:t>CPMS: OUTCOMES PROGRESS DASHBOARDS</w:t>
      </w:r>
      <w:r>
        <w:rPr>
          <w:b/>
          <w:sz w:val="36"/>
        </w:rPr>
        <w:tab/>
      </w:r>
    </w:p>
    <w:p w14:paraId="5C467034" w14:textId="77777777" w:rsidR="00FC51B7" w:rsidRDefault="00FC51B7" w:rsidP="00FC51B7">
      <w:pPr>
        <w:jc w:val="center"/>
        <w:rPr>
          <w:sz w:val="24"/>
          <w:szCs w:val="24"/>
        </w:rPr>
      </w:pPr>
    </w:p>
    <w:p w14:paraId="154B6DE9" w14:textId="77777777" w:rsidR="00FC51B7" w:rsidRPr="00E47117" w:rsidRDefault="00FC51B7" w:rsidP="00FC51B7">
      <w:pPr>
        <w:jc w:val="center"/>
        <w:rPr>
          <w:sz w:val="24"/>
          <w:szCs w:val="24"/>
        </w:rPr>
      </w:pPr>
      <w:r>
        <w:rPr>
          <w:noProof/>
          <w:lang w:eastAsia="ko-KR"/>
        </w:rPr>
        <w:drawing>
          <wp:inline distT="0" distB="0" distL="0" distR="0" wp14:anchorId="041A7F13" wp14:editId="07899BC0">
            <wp:extent cx="4657725" cy="2590800"/>
            <wp:effectExtent l="0" t="0" r="9525" b="0"/>
            <wp:docPr id="49" name="Picture 49" descr="CPMS: OUTCOMES PROGRESS DASHBOARD showing outcomes are 89%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657725" cy="2590800"/>
                    </a:xfrm>
                    <a:prstGeom prst="rect">
                      <a:avLst/>
                    </a:prstGeom>
                  </pic:spPr>
                </pic:pic>
              </a:graphicData>
            </a:graphic>
          </wp:inline>
        </w:drawing>
      </w:r>
    </w:p>
    <w:p w14:paraId="46781DF6" w14:textId="3EE6EFDA" w:rsidR="00FC51B7" w:rsidRDefault="00FC51B7" w:rsidP="00FC51B7">
      <w:pPr>
        <w:spacing w:line="240" w:lineRule="auto"/>
        <w:rPr>
          <w:noProof/>
        </w:rPr>
      </w:pPr>
      <w:r w:rsidRPr="00445388">
        <w:t xml:space="preserve">This </w:t>
      </w:r>
      <w:r>
        <w:t>speedometer</w:t>
      </w:r>
      <w:r w:rsidRPr="00445388">
        <w:t xml:space="preserve"> shows </w:t>
      </w:r>
      <w:r>
        <w:t>that the vast majority</w:t>
      </w:r>
      <w:r w:rsidRPr="00445388">
        <w:t xml:space="preserve"> (</w:t>
      </w:r>
      <w:r>
        <w:t>88</w:t>
      </w:r>
      <w:r w:rsidRPr="00445388">
        <w:t xml:space="preserve">%) of outcomes </w:t>
      </w:r>
      <w:r>
        <w:t>ar</w:t>
      </w:r>
      <w:r w:rsidRPr="00445388">
        <w:t xml:space="preserve">e complete </w:t>
      </w:r>
      <w:r>
        <w:t>and</w:t>
      </w:r>
      <w:r w:rsidRPr="00445388">
        <w:t xml:space="preserve"> </w:t>
      </w:r>
      <w:r>
        <w:t xml:space="preserve">just </w:t>
      </w:r>
      <w:r w:rsidRPr="00445388">
        <w:t>10% not yet started.</w:t>
      </w:r>
      <w:r>
        <w:t xml:space="preserve">  As discussed further below in the progress narrative, this relates to the short-term outcome of performance reporting being completed.  All agencies but one have reached this milestone.</w:t>
      </w:r>
      <w:r w:rsidR="0048500F">
        <w:rPr>
          <w:noProof/>
        </w:rPr>
        <w:t xml:space="preserve"> </w:t>
      </w:r>
    </w:p>
    <w:p w14:paraId="09223F63" w14:textId="77777777" w:rsidR="00FC51B7" w:rsidRPr="00AE5851" w:rsidRDefault="00FC51B7" w:rsidP="00FC51B7">
      <w:pPr>
        <w:spacing w:after="0" w:line="240" w:lineRule="auto"/>
        <w:jc w:val="center"/>
        <w:rPr>
          <w:rFonts w:cstheme="minorHAnsi"/>
          <w:b/>
          <w:sz w:val="36"/>
          <w:szCs w:val="36"/>
        </w:rPr>
      </w:pPr>
      <w:r w:rsidRPr="00AE5851">
        <w:rPr>
          <w:rFonts w:cstheme="minorHAnsi"/>
          <w:b/>
          <w:sz w:val="36"/>
          <w:szCs w:val="36"/>
        </w:rPr>
        <w:br w:type="page"/>
      </w:r>
    </w:p>
    <w:p w14:paraId="01E6645A" w14:textId="74609DC3" w:rsidR="00FC51B7" w:rsidRPr="004B327C" w:rsidRDefault="00FC51B7" w:rsidP="00FC51B7">
      <w:pPr>
        <w:pStyle w:val="Heading2"/>
        <w:rPr>
          <w:szCs w:val="36"/>
        </w:rPr>
      </w:pPr>
      <w:bookmarkStart w:id="82" w:name="_Toc41940226"/>
      <w:r>
        <w:rPr>
          <w:szCs w:val="36"/>
        </w:rPr>
        <w:lastRenderedPageBreak/>
        <w:t>CPMs</w:t>
      </w:r>
      <w:r w:rsidRPr="004B327C">
        <w:rPr>
          <w:szCs w:val="36"/>
        </w:rPr>
        <w:t xml:space="preserve"> ITAs: </w:t>
      </w:r>
      <w:r w:rsidR="006169BB" w:rsidRPr="004B327C">
        <w:rPr>
          <w:szCs w:val="36"/>
        </w:rPr>
        <w:t>Resources</w:t>
      </w:r>
      <w:bookmarkEnd w:id="82"/>
    </w:p>
    <w:p w14:paraId="7EA48AB0" w14:textId="77777777" w:rsidR="00FC51B7" w:rsidRDefault="00FC51B7" w:rsidP="00FC51B7">
      <w:pPr>
        <w:spacing w:before="240" w:after="0" w:line="240" w:lineRule="auto"/>
        <w:rPr>
          <w:rFonts w:eastAsia="Times New Roman" w:cstheme="minorHAnsi"/>
        </w:rPr>
      </w:pPr>
      <w:r>
        <w:rPr>
          <w:rFonts w:eastAsia="Times New Roman" w:cstheme="minorHAnsi"/>
          <w:sz w:val="24"/>
          <w:szCs w:val="24"/>
        </w:rPr>
        <w:t xml:space="preserve">Available on the WINTAC website, the Pre-ETS team has developed a number of resources to </w:t>
      </w:r>
      <w:r w:rsidRPr="00C00AD8">
        <w:rPr>
          <w:rFonts w:eastAsia="Times New Roman" w:cstheme="minorHAnsi"/>
        </w:rPr>
        <w:t>Available on the WINTAC website, the CPMs team has developed a number of resources to support TA and training and provide guidance to SVRAs as they meet their requirements for CPMs under WIOA.  Resources have been updated since the end of Year 4, with the same addition at the top of all topic areas’ resources pages of an immediately visible section linking visitors to COVID-19 relevant resources (each resource page of WINTAC’s website has this section and link).  Resources are organized according to whether they are: (1) COVID19 resources, (2) ReThink VR Performance, (3) WINTAC Reporting Resources &amp; Tools, (4) RSA Reporting and CPM Resources, (5) Joint Guidance on CPM for Core Partners, (6) CSAVR &amp; NCSAB Presentations Related to CPM, (7) Department of Labor CPM Resources.</w:t>
      </w:r>
    </w:p>
    <w:p w14:paraId="09697269" w14:textId="77777777" w:rsidR="00FC51B7" w:rsidRPr="0022183F" w:rsidRDefault="00FC51B7" w:rsidP="00FC51B7">
      <w:pPr>
        <w:spacing w:before="240" w:after="0" w:line="240" w:lineRule="auto"/>
      </w:pPr>
      <w:r w:rsidRPr="0022183F">
        <w:rPr>
          <w:rFonts w:eastAsia="Times New Roman" w:cstheme="minorHAnsi"/>
        </w:rPr>
        <w:t xml:space="preserve">Examining traffic to the CPMs’ Resources page, we see </w:t>
      </w:r>
      <w:r w:rsidRPr="0022183F">
        <w:t xml:space="preserve">2,521 Page Views &amp; 441 Entrances for Year 5 thus far.  </w:t>
      </w:r>
      <w:r>
        <w:t>Unlike some other resource pages which saw spikes in March when the pandemic led to shutdowns around the country, traffic to this page has stayed fairly steady and demonstrated robust usage</w:t>
      </w:r>
      <w:r w:rsidRPr="0022183F">
        <w:t>:</w:t>
      </w:r>
    </w:p>
    <w:p w14:paraId="2D56E2EA" w14:textId="77777777" w:rsidR="00FC51B7" w:rsidRPr="00BF43AE" w:rsidRDefault="00FC51B7" w:rsidP="00FC51B7"/>
    <w:p w14:paraId="794BEA65" w14:textId="77777777" w:rsidR="00FC51B7" w:rsidRPr="00A23C46" w:rsidRDefault="00FC51B7" w:rsidP="00C71DBA">
      <w:pPr>
        <w:ind w:firstLine="0"/>
      </w:pPr>
      <w:r>
        <w:rPr>
          <w:noProof/>
          <w:lang w:eastAsia="ko-KR"/>
        </w:rPr>
        <w:drawing>
          <wp:inline distT="0" distB="0" distL="0" distR="0" wp14:anchorId="4528CFCB" wp14:editId="49B87DAE">
            <wp:extent cx="5943600" cy="1256665"/>
            <wp:effectExtent l="0" t="0" r="0" b="635"/>
            <wp:docPr id="51" name="Picture 51" descr="web analytics chart showing page entrances and page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1256665"/>
                    </a:xfrm>
                    <a:prstGeom prst="rect">
                      <a:avLst/>
                    </a:prstGeom>
                  </pic:spPr>
                </pic:pic>
              </a:graphicData>
            </a:graphic>
          </wp:inline>
        </w:drawing>
      </w:r>
    </w:p>
    <w:p w14:paraId="706C1827" w14:textId="77777777" w:rsidR="00FC51B7" w:rsidRPr="00C741B9" w:rsidRDefault="00FC51B7" w:rsidP="00C575C8">
      <w:pPr>
        <w:pStyle w:val="NormalWeb"/>
        <w:numPr>
          <w:ilvl w:val="0"/>
          <w:numId w:val="31"/>
        </w:numPr>
        <w:rPr>
          <w:rFonts w:cstheme="minorHAnsi"/>
          <w:b/>
          <w:bCs/>
          <w:szCs w:val="22"/>
        </w:rPr>
      </w:pPr>
      <w:r w:rsidRPr="00C741B9">
        <w:rPr>
          <w:rFonts w:cstheme="minorHAnsi"/>
          <w:b/>
          <w:bCs/>
          <w:szCs w:val="22"/>
        </w:rPr>
        <w:t>ReThink VR Performance</w:t>
      </w:r>
    </w:p>
    <w:p w14:paraId="7DE78CEC" w14:textId="77777777" w:rsidR="00FC51B7" w:rsidRPr="00C741B9" w:rsidRDefault="00FC51B7" w:rsidP="00FC51B7">
      <w:pPr>
        <w:pStyle w:val="NormalWeb"/>
        <w:spacing w:after="240"/>
        <w:ind w:left="360"/>
        <w:rPr>
          <w:rFonts w:cstheme="minorHAnsi"/>
          <w:szCs w:val="22"/>
        </w:rPr>
      </w:pPr>
      <w:r w:rsidRPr="00C741B9">
        <w:rPr>
          <w:rFonts w:cstheme="minorHAnsi"/>
          <w:szCs w:val="22"/>
        </w:rPr>
        <w:t>The Rehabilitation Services Administration (RSA) has established the RehabData Workgroup consisting of Federal and State representatives with data or program expertise to identify how to use data to best tell the story of the success of the VR program and identify areas for continued evaluation. The Workgroup is also charged with developing and distributing tools and information that State VR agencies may use to help assess VR program performance using data that is already being collected. The tools will be posted here, as they are developed.</w:t>
      </w:r>
    </w:p>
    <w:p w14:paraId="37162435" w14:textId="77777777" w:rsidR="00FC51B7" w:rsidRPr="00044D69" w:rsidRDefault="00FC51B7" w:rsidP="00C575C8">
      <w:pPr>
        <w:pStyle w:val="NormalWeb"/>
        <w:numPr>
          <w:ilvl w:val="0"/>
          <w:numId w:val="23"/>
        </w:numPr>
        <w:spacing w:after="240"/>
        <w:ind w:left="360"/>
        <w:rPr>
          <w:rFonts w:cstheme="minorHAnsi"/>
          <w:b/>
          <w:bCs/>
          <w:szCs w:val="22"/>
        </w:rPr>
      </w:pPr>
      <w:r w:rsidRPr="00044D69">
        <w:rPr>
          <w:rFonts w:cstheme="minorHAnsi"/>
          <w:b/>
          <w:bCs/>
          <w:szCs w:val="22"/>
        </w:rPr>
        <w:t>Measurable Skill Gains (MSG) – Tool</w:t>
      </w:r>
      <w:r>
        <w:rPr>
          <w:rFonts w:cstheme="minorHAnsi"/>
          <w:b/>
          <w:bCs/>
          <w:szCs w:val="22"/>
        </w:rPr>
        <w:br/>
      </w:r>
      <w:hyperlink r:id="rId152" w:history="1">
        <w:r w:rsidRPr="00044D69">
          <w:rPr>
            <w:rStyle w:val="Hyperlink"/>
            <w:rFonts w:cstheme="minorHAnsi"/>
            <w:szCs w:val="22"/>
          </w:rPr>
          <w:t>This MSG - tool</w:t>
        </w:r>
      </w:hyperlink>
      <w:r w:rsidRPr="00044D69">
        <w:rPr>
          <w:rFonts w:cstheme="minorHAnsi"/>
          <w:szCs w:val="22"/>
        </w:rPr>
        <w:t xml:space="preserve"> showcases data reported by VR agencies for Program Years 2017 and 2018. The tool provides National and State-level MSG data to all VR programs while being a resource for State VR agencies to analyze their MSG data, compared to National rates, similar States and/or agencies, and a variety of additional ways.</w:t>
      </w:r>
    </w:p>
    <w:p w14:paraId="6777E370" w14:textId="77777777" w:rsidR="00FC51B7" w:rsidRPr="00044D69" w:rsidRDefault="00FC51B7" w:rsidP="00C575C8">
      <w:pPr>
        <w:pStyle w:val="NormalWeb"/>
        <w:numPr>
          <w:ilvl w:val="0"/>
          <w:numId w:val="23"/>
        </w:numPr>
        <w:spacing w:after="240"/>
        <w:ind w:left="360"/>
        <w:rPr>
          <w:rFonts w:cstheme="minorHAnsi"/>
          <w:b/>
          <w:bCs/>
          <w:szCs w:val="22"/>
        </w:rPr>
      </w:pPr>
      <w:r w:rsidRPr="00044D69">
        <w:rPr>
          <w:rFonts w:cstheme="minorHAnsi"/>
          <w:b/>
          <w:bCs/>
          <w:szCs w:val="22"/>
        </w:rPr>
        <w:t>Reasons for Exit Tool - PD 19-03</w:t>
      </w:r>
      <w:r>
        <w:rPr>
          <w:rFonts w:cstheme="minorHAnsi"/>
          <w:b/>
          <w:bCs/>
          <w:szCs w:val="22"/>
        </w:rPr>
        <w:br/>
      </w:r>
      <w:r w:rsidRPr="00044D69">
        <w:rPr>
          <w:rFonts w:cstheme="minorHAnsi"/>
          <w:szCs w:val="22"/>
        </w:rPr>
        <w:t xml:space="preserve">The WINTAC developed this </w:t>
      </w:r>
      <w:hyperlink r:id="rId153" w:history="1">
        <w:r w:rsidRPr="00044D69">
          <w:rPr>
            <w:rStyle w:val="Hyperlink"/>
            <w:rFonts w:cstheme="minorHAnsi"/>
            <w:szCs w:val="22"/>
          </w:rPr>
          <w:t>Reasons for Exit Tool</w:t>
        </w:r>
      </w:hyperlink>
      <w:r w:rsidRPr="00044D69">
        <w:rPr>
          <w:rFonts w:cstheme="minorHAnsi"/>
          <w:szCs w:val="22"/>
        </w:rPr>
        <w:t xml:space="preserve"> to assist VR agencies in understanding the reporting requirements when an individual exits the VR Program. This tool includes information related to inclusion or exclusion from the performance measures and examples of when the 'Reasons for Exit' may be used.</w:t>
      </w:r>
    </w:p>
    <w:p w14:paraId="7D5D25E3" w14:textId="77777777" w:rsidR="00FC51B7" w:rsidRPr="005B301A" w:rsidRDefault="00FC51B7" w:rsidP="00C575C8">
      <w:pPr>
        <w:pStyle w:val="NormalWeb"/>
        <w:numPr>
          <w:ilvl w:val="0"/>
          <w:numId w:val="23"/>
        </w:numPr>
        <w:spacing w:after="240"/>
        <w:ind w:left="360"/>
        <w:rPr>
          <w:rFonts w:cstheme="minorHAnsi"/>
          <w:b/>
          <w:bCs/>
          <w:szCs w:val="22"/>
        </w:rPr>
      </w:pPr>
      <w:r w:rsidRPr="00044D69">
        <w:rPr>
          <w:rFonts w:cstheme="minorHAnsi"/>
          <w:b/>
          <w:bCs/>
          <w:szCs w:val="22"/>
        </w:rPr>
        <w:t>Calculating VR Performance for MSG Tool - Program Years 2020-2021</w:t>
      </w:r>
      <w:r>
        <w:rPr>
          <w:rFonts w:cstheme="minorHAnsi"/>
          <w:b/>
          <w:bCs/>
          <w:szCs w:val="22"/>
        </w:rPr>
        <w:br/>
      </w:r>
      <w:r w:rsidRPr="005B301A">
        <w:rPr>
          <w:rFonts w:cstheme="minorHAnsi"/>
          <w:szCs w:val="22"/>
        </w:rPr>
        <w:t xml:space="preserve">The WINTAC, in partnership with RSA, developed this </w:t>
      </w:r>
      <w:hyperlink r:id="rId154" w:history="1">
        <w:r w:rsidRPr="005B301A">
          <w:rPr>
            <w:rStyle w:val="Hyperlink"/>
            <w:rFonts w:cstheme="minorHAnsi"/>
            <w:szCs w:val="22"/>
          </w:rPr>
          <w:t xml:space="preserve">Calculating VR Performance for Measurable </w:t>
        </w:r>
        <w:r w:rsidRPr="005B301A">
          <w:rPr>
            <w:rStyle w:val="Hyperlink"/>
            <w:rFonts w:cstheme="minorHAnsi"/>
            <w:szCs w:val="22"/>
          </w:rPr>
          <w:lastRenderedPageBreak/>
          <w:t>Skill Gains (MSG) Tool</w:t>
        </w:r>
      </w:hyperlink>
      <w:r w:rsidRPr="005B301A">
        <w:rPr>
          <w:rFonts w:cstheme="minorHAnsi"/>
          <w:szCs w:val="22"/>
        </w:rPr>
        <w:t xml:space="preserve"> to demonstrate how RSA will calculate performance after each Program Year ends. The tool includes two examples that show how RSA will use negotiated levels of performance, the Statistical Adjustment Model’s (SAM) estimated levels of performance, and the State VR program’s actual level of performance to calculate the Individual Indicator Score for MSG. This Excel file includes the SAM’s estimated levels of performance and MSG performance for Program Years 2017 and 2018 for each State VR program.</w:t>
      </w:r>
    </w:p>
    <w:p w14:paraId="79836C5F" w14:textId="77777777" w:rsidR="00FC51B7" w:rsidRPr="005B301A" w:rsidRDefault="00FC51B7" w:rsidP="00C575C8">
      <w:pPr>
        <w:pStyle w:val="NormalWeb"/>
        <w:numPr>
          <w:ilvl w:val="1"/>
          <w:numId w:val="23"/>
        </w:numPr>
        <w:spacing w:after="240"/>
        <w:ind w:left="360"/>
        <w:rPr>
          <w:rFonts w:cstheme="minorHAnsi"/>
          <w:b/>
          <w:bCs/>
          <w:szCs w:val="22"/>
        </w:rPr>
      </w:pPr>
      <w:r w:rsidRPr="00562FE9">
        <w:rPr>
          <w:rFonts w:cstheme="minorHAnsi"/>
          <w:b/>
          <w:bCs/>
          <w:szCs w:val="22"/>
        </w:rPr>
        <w:t>CPM Checklist for State VR Agencies</w:t>
      </w:r>
      <w:r>
        <w:rPr>
          <w:rFonts w:cstheme="minorHAnsi"/>
          <w:b/>
          <w:bCs/>
          <w:szCs w:val="22"/>
        </w:rPr>
        <w:br/>
      </w:r>
      <w:r w:rsidRPr="005B301A">
        <w:rPr>
          <w:rFonts w:cstheme="minorHAnsi"/>
          <w:szCs w:val="22"/>
        </w:rPr>
        <w:t xml:space="preserve">The WINTAC has developed a checklist for SVRA administrators to assess their progress on CPM implementation. The checklist, </w:t>
      </w:r>
      <w:hyperlink r:id="rId155" w:tgtFrame="_blank" w:history="1">
        <w:r w:rsidRPr="005B301A">
          <w:rPr>
            <w:rStyle w:val="Hyperlink"/>
            <w:rFonts w:cstheme="minorHAnsi"/>
            <w:i/>
            <w:iCs/>
            <w:szCs w:val="22"/>
          </w:rPr>
          <w:t>Are you ready for CPM implementation</w:t>
        </w:r>
      </w:hyperlink>
      <w:r w:rsidRPr="005B301A">
        <w:rPr>
          <w:rFonts w:cstheme="minorHAnsi"/>
          <w:i/>
          <w:iCs/>
          <w:szCs w:val="22"/>
        </w:rPr>
        <w:t>,</w:t>
      </w:r>
      <w:r w:rsidRPr="005B301A">
        <w:rPr>
          <w:rFonts w:cstheme="minorHAnsi"/>
          <w:szCs w:val="22"/>
        </w:rPr>
        <w:t xml:space="preserve"> is a guide outlining steps agencies may need to take for full implementation of the Common Performance Measures. Also available as a </w:t>
      </w:r>
      <w:hyperlink r:id="rId156" w:tgtFrame="_blank" w:history="1">
        <w:r w:rsidRPr="005B301A">
          <w:rPr>
            <w:rStyle w:val="Hyperlink"/>
            <w:rFonts w:cstheme="minorHAnsi"/>
            <w:szCs w:val="22"/>
          </w:rPr>
          <w:t>Word document</w:t>
        </w:r>
      </w:hyperlink>
      <w:r w:rsidRPr="005B301A">
        <w:rPr>
          <w:rFonts w:cstheme="minorHAnsi"/>
          <w:szCs w:val="22"/>
        </w:rPr>
        <w:t>.</w:t>
      </w:r>
    </w:p>
    <w:p w14:paraId="41E182E8" w14:textId="77777777" w:rsidR="00FC51B7" w:rsidRPr="005B301A" w:rsidRDefault="00FC51B7" w:rsidP="00C575C8">
      <w:pPr>
        <w:pStyle w:val="NormalWeb"/>
        <w:numPr>
          <w:ilvl w:val="1"/>
          <w:numId w:val="23"/>
        </w:numPr>
        <w:spacing w:after="240"/>
        <w:ind w:left="360"/>
        <w:rPr>
          <w:rFonts w:cstheme="minorHAnsi"/>
          <w:b/>
          <w:bCs/>
          <w:szCs w:val="22"/>
        </w:rPr>
      </w:pPr>
      <w:r w:rsidRPr="00844AC8">
        <w:rPr>
          <w:rFonts w:cstheme="minorHAnsi"/>
          <w:b/>
          <w:bCs/>
          <w:szCs w:val="22"/>
        </w:rPr>
        <w:t>SVRA Reporting Deadlines</w:t>
      </w:r>
      <w:r>
        <w:rPr>
          <w:rFonts w:cstheme="minorHAnsi"/>
          <w:b/>
          <w:bCs/>
          <w:szCs w:val="22"/>
        </w:rPr>
        <w:br/>
      </w:r>
      <w:r w:rsidRPr="005B301A">
        <w:rPr>
          <w:rFonts w:cstheme="minorHAnsi"/>
          <w:szCs w:val="22"/>
        </w:rPr>
        <w:t xml:space="preserve">The WINTAC has developed a resource table, </w:t>
      </w:r>
      <w:hyperlink r:id="rId157" w:tgtFrame="_blank" w:history="1">
        <w:r w:rsidRPr="005B301A">
          <w:rPr>
            <w:rStyle w:val="Hyperlink"/>
            <w:rFonts w:cstheme="minorHAnsi"/>
            <w:szCs w:val="22"/>
          </w:rPr>
          <w:t>SVRA Reporting Deadlines</w:t>
        </w:r>
      </w:hyperlink>
      <w:r w:rsidRPr="005B301A">
        <w:rPr>
          <w:rFonts w:cstheme="minorHAnsi"/>
          <w:szCs w:val="22"/>
        </w:rPr>
        <w:t xml:space="preserve">, listing the required reports for State VR Agencies. This table includes the report name, reporting frequency, and detailed description of the report. </w:t>
      </w:r>
      <w:hyperlink r:id="rId158" w:tgtFrame="_blank" w:history="1">
        <w:r w:rsidRPr="005B301A">
          <w:rPr>
            <w:rStyle w:val="Hyperlink"/>
            <w:rFonts w:cstheme="minorHAnsi"/>
            <w:szCs w:val="22"/>
          </w:rPr>
          <w:t>SVRA Reporting Deadlines is also available as a Word document</w:t>
        </w:r>
      </w:hyperlink>
      <w:r w:rsidRPr="005B301A">
        <w:rPr>
          <w:rFonts w:cstheme="minorHAnsi"/>
          <w:szCs w:val="22"/>
        </w:rPr>
        <w:t>.</w:t>
      </w:r>
    </w:p>
    <w:p w14:paraId="0367C4A5" w14:textId="77777777" w:rsidR="00FC51B7" w:rsidRPr="005B301A" w:rsidRDefault="00FC51B7" w:rsidP="00C575C8">
      <w:pPr>
        <w:pStyle w:val="NormalWeb"/>
        <w:numPr>
          <w:ilvl w:val="1"/>
          <w:numId w:val="23"/>
        </w:numPr>
        <w:spacing w:after="240"/>
        <w:ind w:left="360"/>
        <w:rPr>
          <w:rFonts w:cstheme="minorHAnsi"/>
          <w:b/>
          <w:bCs/>
          <w:szCs w:val="22"/>
        </w:rPr>
      </w:pPr>
      <w:r w:rsidRPr="00844AC8">
        <w:rPr>
          <w:rFonts w:cstheme="minorHAnsi"/>
          <w:b/>
          <w:bCs/>
          <w:szCs w:val="22"/>
        </w:rPr>
        <w:t xml:space="preserve">WIOA Performance Indicators - IDEA Part B Transition Performance Indicator Crosswalk </w:t>
      </w:r>
      <w:r>
        <w:rPr>
          <w:rFonts w:cstheme="minorHAnsi"/>
          <w:b/>
          <w:bCs/>
          <w:szCs w:val="22"/>
        </w:rPr>
        <w:br/>
      </w:r>
      <w:r w:rsidRPr="005B301A">
        <w:rPr>
          <w:rFonts w:cstheme="minorHAnsi"/>
          <w:szCs w:val="22"/>
        </w:rPr>
        <w:t xml:space="preserve">The WINTAC has developed a resource for VR and Education, </w:t>
      </w:r>
      <w:hyperlink r:id="rId159" w:tgtFrame="_blank" w:history="1">
        <w:r w:rsidRPr="005B301A">
          <w:rPr>
            <w:rStyle w:val="Hyperlink"/>
            <w:rFonts w:cstheme="minorHAnsi"/>
            <w:i/>
            <w:iCs/>
            <w:szCs w:val="22"/>
          </w:rPr>
          <w:t>WIOA Performance Indicators – IDEA Part B Transition Performance Indicator Crosswalk</w:t>
        </w:r>
      </w:hyperlink>
      <w:r w:rsidRPr="005B301A">
        <w:rPr>
          <w:rFonts w:cstheme="minorHAnsi"/>
          <w:szCs w:val="22"/>
        </w:rPr>
        <w:t xml:space="preserve">. </w:t>
      </w:r>
    </w:p>
    <w:p w14:paraId="3EEF908F" w14:textId="77777777" w:rsidR="00FC51B7" w:rsidRPr="005B301A" w:rsidRDefault="00FC51B7" w:rsidP="00C575C8">
      <w:pPr>
        <w:pStyle w:val="NormalWeb"/>
        <w:numPr>
          <w:ilvl w:val="1"/>
          <w:numId w:val="23"/>
        </w:numPr>
        <w:spacing w:after="240"/>
        <w:ind w:left="360"/>
        <w:rPr>
          <w:rFonts w:cstheme="minorHAnsi"/>
          <w:b/>
          <w:bCs/>
          <w:szCs w:val="22"/>
        </w:rPr>
      </w:pPr>
      <w:r w:rsidRPr="00230250">
        <w:rPr>
          <w:rFonts w:cstheme="minorHAnsi"/>
          <w:b/>
          <w:bCs/>
          <w:szCs w:val="22"/>
        </w:rPr>
        <w:t>Credential Attainment and Measurable Skill Gains Indicator Guides</w:t>
      </w:r>
      <w:r>
        <w:rPr>
          <w:rFonts w:cstheme="minorHAnsi"/>
          <w:b/>
          <w:bCs/>
          <w:szCs w:val="22"/>
        </w:rPr>
        <w:br/>
      </w:r>
      <w:r w:rsidRPr="005B301A">
        <w:rPr>
          <w:rFonts w:cstheme="minorHAnsi"/>
          <w:szCs w:val="22"/>
        </w:rPr>
        <w:t xml:space="preserve">The WINTAC, in partnership with RSA, has developed a </w:t>
      </w:r>
      <w:hyperlink r:id="rId160" w:tgtFrame="_blank" w:history="1">
        <w:r w:rsidRPr="005B301A">
          <w:rPr>
            <w:rStyle w:val="Hyperlink"/>
            <w:rFonts w:cstheme="minorHAnsi"/>
            <w:szCs w:val="22"/>
          </w:rPr>
          <w:t>Credential Attainment Guide</w:t>
        </w:r>
      </w:hyperlink>
      <w:r w:rsidRPr="005B301A">
        <w:rPr>
          <w:rFonts w:cstheme="minorHAnsi"/>
          <w:szCs w:val="22"/>
        </w:rPr>
        <w:t xml:space="preserve"> and a </w:t>
      </w:r>
      <w:hyperlink r:id="rId161" w:tgtFrame="_blank" w:history="1">
        <w:r w:rsidRPr="005B301A">
          <w:rPr>
            <w:rStyle w:val="Hyperlink"/>
            <w:rFonts w:cstheme="minorHAnsi"/>
            <w:szCs w:val="22"/>
          </w:rPr>
          <w:t>Measurable Skill Gains (MSG) Guide</w:t>
        </w:r>
      </w:hyperlink>
      <w:r w:rsidRPr="005B301A">
        <w:rPr>
          <w:rFonts w:cstheme="minorHAnsi"/>
          <w:szCs w:val="22"/>
        </w:rPr>
        <w:t xml:space="preserve">. </w:t>
      </w:r>
    </w:p>
    <w:p w14:paraId="078994A5" w14:textId="77777777" w:rsidR="00FC51B7" w:rsidRPr="005B301A" w:rsidRDefault="00FC51B7" w:rsidP="00C575C8">
      <w:pPr>
        <w:pStyle w:val="NormalWeb"/>
        <w:numPr>
          <w:ilvl w:val="1"/>
          <w:numId w:val="23"/>
        </w:numPr>
        <w:spacing w:after="240"/>
        <w:ind w:left="360"/>
        <w:rPr>
          <w:rFonts w:cstheme="minorHAnsi"/>
          <w:b/>
          <w:bCs/>
          <w:szCs w:val="22"/>
        </w:rPr>
      </w:pPr>
      <w:r w:rsidRPr="00230250">
        <w:rPr>
          <w:rFonts w:cstheme="minorHAnsi"/>
          <w:b/>
          <w:bCs/>
          <w:szCs w:val="22"/>
        </w:rPr>
        <w:t>Effectiveness in Serving Employers: A Crosswalk for WIOA Title IV Employer Services</w:t>
      </w:r>
      <w:r>
        <w:rPr>
          <w:rFonts w:cstheme="minorHAnsi"/>
          <w:b/>
          <w:bCs/>
          <w:szCs w:val="22"/>
        </w:rPr>
        <w:br/>
      </w:r>
      <w:r w:rsidRPr="005B301A">
        <w:rPr>
          <w:rFonts w:cstheme="minorHAnsi"/>
          <w:szCs w:val="22"/>
        </w:rPr>
        <w:t xml:space="preserve">The WINTAC, in partnership with The U.S. Department of Education’s Rehabilitation Services Administration (RSA), has developed an </w:t>
      </w:r>
      <w:hyperlink r:id="rId162" w:tgtFrame="_blank" w:history="1">
        <w:r w:rsidRPr="005B301A">
          <w:rPr>
            <w:rStyle w:val="Hyperlink"/>
            <w:rFonts w:cstheme="minorHAnsi"/>
            <w:szCs w:val="22"/>
          </w:rPr>
          <w:t>Effectiveness in Serving Employers for WIOA Title IV Employer Services</w:t>
        </w:r>
      </w:hyperlink>
      <w:r w:rsidRPr="005B301A">
        <w:rPr>
          <w:rFonts w:cstheme="minorHAnsi"/>
          <w:szCs w:val="22"/>
        </w:rPr>
        <w:t xml:space="preserve"> crosswalk. </w:t>
      </w:r>
    </w:p>
    <w:p w14:paraId="4418377D" w14:textId="77777777" w:rsidR="00FC51B7" w:rsidRPr="005B301A" w:rsidRDefault="00FC51B7" w:rsidP="00C575C8">
      <w:pPr>
        <w:pStyle w:val="NormalWeb"/>
        <w:numPr>
          <w:ilvl w:val="1"/>
          <w:numId w:val="23"/>
        </w:numPr>
        <w:spacing w:after="240"/>
        <w:ind w:left="360"/>
        <w:rPr>
          <w:rFonts w:cstheme="minorHAnsi"/>
          <w:b/>
          <w:bCs/>
          <w:szCs w:val="22"/>
        </w:rPr>
      </w:pPr>
      <w:r w:rsidRPr="00230250">
        <w:rPr>
          <w:rFonts w:cstheme="minorHAnsi"/>
          <w:b/>
          <w:bCs/>
          <w:szCs w:val="22"/>
        </w:rPr>
        <w:t>Registered Apprenticeship Training RSA-911 Reporting </w:t>
      </w:r>
      <w:r>
        <w:rPr>
          <w:rFonts w:cstheme="minorHAnsi"/>
          <w:b/>
          <w:bCs/>
          <w:szCs w:val="22"/>
        </w:rPr>
        <w:br/>
      </w:r>
      <w:r w:rsidRPr="005B301A">
        <w:rPr>
          <w:rFonts w:cstheme="minorHAnsi"/>
          <w:szCs w:val="22"/>
        </w:rPr>
        <w:t xml:space="preserve">The WINTAC has developed a resource, </w:t>
      </w:r>
      <w:hyperlink r:id="rId163" w:tgtFrame="_blank" w:history="1">
        <w:r w:rsidRPr="005B301A">
          <w:rPr>
            <w:rStyle w:val="Hyperlink"/>
            <w:rFonts w:cstheme="minorHAnsi"/>
            <w:szCs w:val="22"/>
          </w:rPr>
          <w:t>Registered Apprenticeship Training</w:t>
        </w:r>
      </w:hyperlink>
      <w:r w:rsidRPr="005B301A">
        <w:rPr>
          <w:rFonts w:cstheme="minorHAnsi"/>
          <w:szCs w:val="22"/>
        </w:rPr>
        <w:t xml:space="preserve">, to assist State VR Agencies in accurately reporting Registered Apprenticeship Trainings in the RSA-911. </w:t>
      </w:r>
    </w:p>
    <w:p w14:paraId="70157D11" w14:textId="77777777" w:rsidR="00FC51B7" w:rsidRPr="008A1560" w:rsidRDefault="00FC51B7" w:rsidP="00C575C8">
      <w:pPr>
        <w:pStyle w:val="NormalWeb"/>
        <w:numPr>
          <w:ilvl w:val="0"/>
          <w:numId w:val="23"/>
        </w:numPr>
        <w:spacing w:after="80"/>
        <w:ind w:left="360"/>
        <w:rPr>
          <w:rFonts w:cstheme="minorHAnsi"/>
          <w:b/>
          <w:bCs/>
          <w:szCs w:val="22"/>
        </w:rPr>
      </w:pPr>
      <w:bookmarkStart w:id="83" w:name="rsa911"/>
      <w:bookmarkEnd w:id="83"/>
      <w:r w:rsidRPr="008A1560">
        <w:rPr>
          <w:rFonts w:cstheme="minorHAnsi"/>
          <w:b/>
          <w:bCs/>
          <w:szCs w:val="22"/>
        </w:rPr>
        <w:t>RSA-911 Reporting and CPM Resources</w:t>
      </w:r>
    </w:p>
    <w:p w14:paraId="036BDA09" w14:textId="77777777" w:rsidR="00FC51B7" w:rsidRPr="00044D69" w:rsidRDefault="00FC51B7" w:rsidP="00C575C8">
      <w:pPr>
        <w:pStyle w:val="NormalWeb"/>
        <w:numPr>
          <w:ilvl w:val="0"/>
          <w:numId w:val="23"/>
        </w:numPr>
        <w:spacing w:after="240"/>
        <w:rPr>
          <w:rFonts w:cstheme="minorHAnsi"/>
          <w:color w:val="000000"/>
          <w:szCs w:val="22"/>
        </w:rPr>
      </w:pPr>
      <w:r w:rsidRPr="00044D69">
        <w:rPr>
          <w:rStyle w:val="Strong"/>
          <w:rFonts w:cstheme="minorHAnsi"/>
          <w:color w:val="000000"/>
          <w:szCs w:val="22"/>
        </w:rPr>
        <w:t>MSG Rate Performance Levels for PYs 20 &amp; 21</w:t>
      </w:r>
      <w:r w:rsidRPr="00044D69">
        <w:rPr>
          <w:rFonts w:cstheme="minorHAnsi"/>
          <w:b/>
          <w:bCs/>
          <w:color w:val="000000"/>
          <w:szCs w:val="22"/>
        </w:rPr>
        <w:br/>
      </w:r>
      <w:r w:rsidRPr="00044D69">
        <w:rPr>
          <w:rFonts w:cstheme="minorHAnsi"/>
          <w:color w:val="000000"/>
          <w:szCs w:val="22"/>
        </w:rPr>
        <w:t>The Rehabilitation Services Administration (RSA) completed performance negotiations with State VR programs for Measurable Skill Gains (MSG) Rate for Program Years (PYs) 2020 and 2021. In this </w:t>
      </w:r>
      <w:hyperlink r:id="rId164" w:tgtFrame="_blank" w:history="1">
        <w:r w:rsidRPr="00044D69">
          <w:rPr>
            <w:rStyle w:val="Hyperlink"/>
            <w:rFonts w:cstheme="minorHAnsi"/>
            <w:szCs w:val="22"/>
          </w:rPr>
          <w:t>MSG Rate Performance Excel file</w:t>
        </w:r>
      </w:hyperlink>
      <w:r w:rsidRPr="00044D69">
        <w:rPr>
          <w:rFonts w:cstheme="minorHAnsi"/>
          <w:color w:val="000000"/>
          <w:szCs w:val="22"/>
        </w:rPr>
        <w:t>, RSA is providing the following MSG Rate performance levels for the 50 States, the District of Columbia, and Puerto Rico. This file will be updated as additional data becomes available.</w:t>
      </w:r>
    </w:p>
    <w:p w14:paraId="5B982B43" w14:textId="77777777" w:rsidR="00FC51B7" w:rsidRPr="0063743F" w:rsidRDefault="00FC51B7" w:rsidP="00C71DBA">
      <w:pPr>
        <w:pStyle w:val="NormalWeb"/>
        <w:numPr>
          <w:ilvl w:val="0"/>
          <w:numId w:val="23"/>
        </w:numPr>
        <w:spacing w:before="240"/>
        <w:rPr>
          <w:rFonts w:cstheme="minorHAnsi"/>
          <w:color w:val="000000"/>
          <w:szCs w:val="22"/>
        </w:rPr>
      </w:pPr>
      <w:r w:rsidRPr="00044D69">
        <w:rPr>
          <w:rStyle w:val="Strong"/>
          <w:rFonts w:cstheme="minorHAnsi"/>
          <w:color w:val="000000"/>
          <w:szCs w:val="22"/>
        </w:rPr>
        <w:t>Negotiations and Sanctions Guidance for the WIOA Core Programs (RSA-TAC-20-02)</w:t>
      </w:r>
      <w:r w:rsidRPr="00044D69">
        <w:rPr>
          <w:rFonts w:cstheme="minorHAnsi"/>
          <w:b/>
          <w:bCs/>
          <w:color w:val="000000"/>
          <w:szCs w:val="22"/>
        </w:rPr>
        <w:br/>
      </w:r>
      <w:r w:rsidRPr="00044D69">
        <w:rPr>
          <w:rFonts w:cstheme="minorHAnsi"/>
          <w:color w:val="000000"/>
          <w:szCs w:val="22"/>
        </w:rPr>
        <w:t>The Rehabilitation Services Administration (RSA), in collaboration with its Federal partners, issued </w:t>
      </w:r>
      <w:hyperlink r:id="rId165" w:tgtFrame="_blank" w:history="1">
        <w:r w:rsidRPr="00044D69">
          <w:rPr>
            <w:rStyle w:val="Hyperlink"/>
            <w:rFonts w:cstheme="minorHAnsi"/>
            <w:szCs w:val="22"/>
          </w:rPr>
          <w:t>RSA-TAC-20-02</w:t>
        </w:r>
      </w:hyperlink>
      <w:r w:rsidRPr="00044D69">
        <w:rPr>
          <w:rFonts w:cstheme="minorHAnsi"/>
          <w:color w:val="000000"/>
          <w:szCs w:val="22"/>
        </w:rPr>
        <w:t> titled </w:t>
      </w:r>
      <w:r w:rsidRPr="00044D69">
        <w:rPr>
          <w:rStyle w:val="Emphasis"/>
          <w:rFonts w:cstheme="minorHAnsi"/>
          <w:color w:val="000000"/>
          <w:szCs w:val="22"/>
        </w:rPr>
        <w:t>Negotiations and Sanctions Guidance for the Workforce Innovation and Opportunity Act (WIOA) Core Programs</w:t>
      </w:r>
      <w:r w:rsidRPr="00044D69">
        <w:rPr>
          <w:rFonts w:cstheme="minorHAnsi"/>
          <w:color w:val="000000"/>
          <w:szCs w:val="22"/>
        </w:rPr>
        <w:t xml:space="preserve">. This joint policy guidance outlines the process for negotiating levels of performance; and explains the two instances in which a State may be </w:t>
      </w:r>
      <w:r w:rsidRPr="00044D69">
        <w:rPr>
          <w:rFonts w:cstheme="minorHAnsi"/>
          <w:color w:val="000000"/>
          <w:szCs w:val="22"/>
        </w:rPr>
        <w:lastRenderedPageBreak/>
        <w:t>sanctioned—for performance failure or for failure to report. The U.S. Departments of Labor and Education posted a </w:t>
      </w:r>
      <w:hyperlink r:id="rId166" w:tgtFrame="_blank" w:history="1">
        <w:r w:rsidRPr="00044D69">
          <w:rPr>
            <w:rStyle w:val="Hyperlink"/>
            <w:rFonts w:cstheme="minorHAnsi"/>
            <w:szCs w:val="22"/>
          </w:rPr>
          <w:t>webcast</w:t>
        </w:r>
      </w:hyperlink>
      <w:r w:rsidRPr="00044D69">
        <w:rPr>
          <w:rFonts w:cstheme="minorHAnsi"/>
          <w:color w:val="000000"/>
          <w:szCs w:val="22"/>
        </w:rPr>
        <w:t> reviewing important details of this guidance on </w:t>
      </w:r>
      <w:hyperlink r:id="rId167" w:tgtFrame="_blank" w:history="1">
        <w:r w:rsidRPr="00044D69">
          <w:rPr>
            <w:rStyle w:val="Hyperlink"/>
            <w:rFonts w:cstheme="minorHAnsi"/>
            <w:szCs w:val="22"/>
          </w:rPr>
          <w:t>Workforcegps</w:t>
        </w:r>
      </w:hyperlink>
      <w:r w:rsidRPr="00044D69">
        <w:rPr>
          <w:rFonts w:cstheme="minorHAnsi"/>
          <w:color w:val="000000"/>
          <w:szCs w:val="22"/>
        </w:rPr>
        <w:t>.</w:t>
      </w:r>
      <w:r w:rsidRPr="00044D69">
        <w:rPr>
          <w:rFonts w:cstheme="minorHAnsi"/>
          <w:color w:val="000000"/>
          <w:szCs w:val="22"/>
        </w:rPr>
        <w:br/>
      </w:r>
      <w:r>
        <w:rPr>
          <w:rFonts w:cstheme="minorHAnsi"/>
          <w:color w:val="000000"/>
          <w:szCs w:val="22"/>
        </w:rPr>
        <w:br/>
      </w:r>
      <w:r w:rsidRPr="00044D69">
        <w:rPr>
          <w:rFonts w:cstheme="minorHAnsi"/>
          <w:color w:val="000000"/>
          <w:szCs w:val="22"/>
        </w:rPr>
        <w:t>As discussed in </w:t>
      </w:r>
      <w:hyperlink r:id="rId168" w:tgtFrame="_blank" w:history="1">
        <w:r w:rsidRPr="00044D69">
          <w:rPr>
            <w:rStyle w:val="Hyperlink"/>
            <w:rFonts w:cstheme="minorHAnsi"/>
            <w:szCs w:val="22"/>
          </w:rPr>
          <w:t>RSA-TAC-20-02</w:t>
        </w:r>
      </w:hyperlink>
      <w:r w:rsidRPr="00044D69">
        <w:rPr>
          <w:rFonts w:cstheme="minorHAnsi"/>
          <w:color w:val="000000"/>
          <w:szCs w:val="22"/>
        </w:rPr>
        <w:t>, WIOA requires that RSA use a statistical adjustment model (SAM) to ensure participant characteristics and economic conditions are accounted for in determining </w:t>
      </w:r>
      <w:r w:rsidRPr="00044D69">
        <w:rPr>
          <w:rStyle w:val="Emphasis"/>
          <w:rFonts w:cstheme="minorHAnsi"/>
          <w:color w:val="000000"/>
          <w:szCs w:val="22"/>
        </w:rPr>
        <w:t>negotiated levels of performance</w:t>
      </w:r>
      <w:r w:rsidRPr="00044D69">
        <w:rPr>
          <w:rFonts w:cstheme="minorHAnsi"/>
          <w:color w:val="000000"/>
          <w:szCs w:val="22"/>
        </w:rPr>
        <w:t>. State performance will be assessed using the iteration of the SAM used to negotiate the levels of performance for that Program Year. RSA provided the Measurable Skill Gains (MSG) </w:t>
      </w:r>
      <w:r w:rsidRPr="00044D69">
        <w:rPr>
          <w:rStyle w:val="Emphasis"/>
          <w:rFonts w:cstheme="minorHAnsi"/>
          <w:color w:val="000000"/>
          <w:szCs w:val="22"/>
        </w:rPr>
        <w:t>estimated levels of performance</w:t>
      </w:r>
      <w:r w:rsidRPr="00044D69">
        <w:rPr>
          <w:rFonts w:cstheme="minorHAnsi"/>
          <w:color w:val="000000"/>
          <w:szCs w:val="22"/>
        </w:rPr>
        <w:t> predicted by the SAM, including the coefficients and state specific values for each variable, in this </w:t>
      </w:r>
      <w:hyperlink r:id="rId169" w:history="1">
        <w:r w:rsidRPr="00044D69">
          <w:rPr>
            <w:rStyle w:val="Hyperlink"/>
            <w:rFonts w:cstheme="minorHAnsi"/>
            <w:szCs w:val="22"/>
          </w:rPr>
          <w:t>Excel file</w:t>
        </w:r>
      </w:hyperlink>
      <w:r w:rsidRPr="00044D69">
        <w:rPr>
          <w:rFonts w:cstheme="minorHAnsi"/>
          <w:color w:val="000000"/>
          <w:szCs w:val="22"/>
        </w:rPr>
        <w:t>. These estimated levels may not be altered for the purposes of negotiations, including any changes in participant characteristics or economic conditions anticipated by the state that would result in changes to the levels predicted by the SAM. Any changes in participant characteristics or economic conditions will be reflected in the SAM by using the actual participant characteristics and economic conditions after the close of each Program Year and they will not be factored into the negotiations process. The </w:t>
      </w:r>
      <w:hyperlink r:id="rId170" w:tgtFrame="_blank" w:history="1">
        <w:r w:rsidRPr="00044D69">
          <w:rPr>
            <w:rStyle w:val="Hyperlink"/>
            <w:rFonts w:cstheme="minorHAnsi"/>
            <w:szCs w:val="22"/>
          </w:rPr>
          <w:t>Excel file</w:t>
        </w:r>
      </w:hyperlink>
      <w:r w:rsidRPr="00044D69">
        <w:rPr>
          <w:rFonts w:cstheme="minorHAnsi"/>
          <w:color w:val="000000"/>
          <w:szCs w:val="22"/>
        </w:rPr>
        <w:t> also includes MSG performance for Program Years 2017 and 2018 for each State VR program.</w:t>
      </w:r>
      <w:r w:rsidRPr="00044D69">
        <w:rPr>
          <w:rFonts w:cstheme="minorHAnsi"/>
          <w:color w:val="000000"/>
          <w:szCs w:val="22"/>
        </w:rPr>
        <w:br/>
      </w:r>
      <w:r>
        <w:rPr>
          <w:rFonts w:cstheme="minorHAnsi"/>
          <w:color w:val="000000"/>
          <w:szCs w:val="22"/>
        </w:rPr>
        <w:br/>
      </w:r>
      <w:r w:rsidRPr="00044D69">
        <w:rPr>
          <w:rFonts w:cstheme="minorHAnsi"/>
          <w:color w:val="000000"/>
          <w:szCs w:val="22"/>
        </w:rPr>
        <w:t>The WINTAC, in partnership with RSA, developed this </w:t>
      </w:r>
      <w:hyperlink r:id="rId171" w:tgtFrame="_blank" w:history="1">
        <w:r w:rsidRPr="00044D69">
          <w:rPr>
            <w:rStyle w:val="Hyperlink"/>
            <w:rFonts w:cstheme="minorHAnsi"/>
            <w:szCs w:val="22"/>
          </w:rPr>
          <w:t>Calculating VR Performance Tool</w:t>
        </w:r>
      </w:hyperlink>
      <w:r w:rsidRPr="00044D69">
        <w:rPr>
          <w:rFonts w:cstheme="minorHAnsi"/>
          <w:color w:val="000000"/>
          <w:szCs w:val="22"/>
        </w:rPr>
        <w:t> to demonstrate how RSA will calculate performance after each Program Year ends. The tool includes two examples that show how RSA will use negotiated levels of performance, the SAM’s estimated levels of performance, and the State VR program’s actual level of performance to calculate the Individual Indicator Score for MSG.</w:t>
      </w:r>
    </w:p>
    <w:p w14:paraId="77C098AE" w14:textId="77777777" w:rsidR="00FC51B7" w:rsidRPr="008A1560" w:rsidRDefault="00FC51B7" w:rsidP="00C575C8">
      <w:pPr>
        <w:pStyle w:val="NormalWeb"/>
        <w:numPr>
          <w:ilvl w:val="1"/>
          <w:numId w:val="23"/>
        </w:numPr>
        <w:spacing w:after="80"/>
        <w:ind w:left="720"/>
        <w:rPr>
          <w:rFonts w:cstheme="minorHAnsi"/>
          <w:b/>
          <w:bCs/>
          <w:szCs w:val="22"/>
        </w:rPr>
      </w:pPr>
      <w:r w:rsidRPr="008A1560">
        <w:rPr>
          <w:rFonts w:cstheme="minorHAnsi"/>
          <w:b/>
          <w:bCs/>
          <w:szCs w:val="22"/>
        </w:rPr>
        <w:t>PD 19-03 Case Service Report (RSA-911)</w:t>
      </w:r>
    </w:p>
    <w:p w14:paraId="32AE4844" w14:textId="77777777" w:rsidR="00FC51B7" w:rsidRPr="00893463" w:rsidRDefault="00FC51B7" w:rsidP="00C575C8">
      <w:pPr>
        <w:pStyle w:val="NormalWeb"/>
        <w:numPr>
          <w:ilvl w:val="2"/>
          <w:numId w:val="23"/>
        </w:numPr>
        <w:spacing w:after="80"/>
        <w:ind w:left="1170"/>
        <w:rPr>
          <w:rFonts w:cstheme="minorHAnsi"/>
          <w:szCs w:val="22"/>
        </w:rPr>
      </w:pPr>
      <w:r w:rsidRPr="00893463">
        <w:rPr>
          <w:rFonts w:cstheme="minorHAnsi"/>
          <w:szCs w:val="22"/>
        </w:rPr>
        <w:t xml:space="preserve">The Rehabilitation Services Administration (RSA) issued </w:t>
      </w:r>
      <w:hyperlink r:id="rId172" w:tgtFrame="_blank" w:history="1">
        <w:r w:rsidRPr="00893463">
          <w:rPr>
            <w:rStyle w:val="Hyperlink"/>
            <w:rFonts w:cstheme="minorHAnsi"/>
            <w:szCs w:val="22"/>
          </w:rPr>
          <w:t>PD-19-03</w:t>
        </w:r>
      </w:hyperlink>
      <w:r w:rsidRPr="00893463">
        <w:rPr>
          <w:rFonts w:cstheme="minorHAnsi"/>
          <w:szCs w:val="22"/>
        </w:rPr>
        <w:t xml:space="preserve"> including the revised Case Service Report (RSA-911) for implementation beginning in Program Year (PY) 2020, beginning July 1, 2020. The </w:t>
      </w:r>
      <w:hyperlink r:id="rId173" w:tgtFrame="_blank" w:history="1">
        <w:r w:rsidRPr="00893463">
          <w:rPr>
            <w:rStyle w:val="Hyperlink"/>
            <w:rFonts w:cstheme="minorHAnsi"/>
            <w:szCs w:val="22"/>
          </w:rPr>
          <w:t>PD-19-03</w:t>
        </w:r>
      </w:hyperlink>
      <w:r w:rsidRPr="00893463">
        <w:rPr>
          <w:rFonts w:cstheme="minorHAnsi"/>
          <w:szCs w:val="22"/>
        </w:rPr>
        <w:t xml:space="preserve"> is posted on the </w:t>
      </w:r>
      <w:hyperlink r:id="rId174" w:tgtFrame="_blank" w:history="1">
        <w:r w:rsidRPr="00893463">
          <w:rPr>
            <w:rStyle w:val="Hyperlink"/>
            <w:rFonts w:cstheme="minorHAnsi"/>
            <w:szCs w:val="22"/>
          </w:rPr>
          <w:t>RSA-911 Webpage</w:t>
        </w:r>
      </w:hyperlink>
      <w:r w:rsidRPr="00893463">
        <w:rPr>
          <w:rFonts w:cstheme="minorHAnsi"/>
          <w:szCs w:val="22"/>
        </w:rPr>
        <w:t xml:space="preserve"> along with </w:t>
      </w:r>
      <w:hyperlink r:id="rId175" w:tgtFrame="_blank" w:history="1">
        <w:r w:rsidRPr="00893463">
          <w:rPr>
            <w:rStyle w:val="Hyperlink"/>
            <w:rFonts w:cstheme="minorHAnsi"/>
            <w:szCs w:val="22"/>
          </w:rPr>
          <w:t>PD-16-04</w:t>
        </w:r>
      </w:hyperlink>
      <w:r w:rsidRPr="00893463">
        <w:rPr>
          <w:rFonts w:cstheme="minorHAnsi"/>
          <w:szCs w:val="22"/>
        </w:rPr>
        <w:t xml:space="preserve"> that remains in effect for PY 2018 and PY 2019. In addition, RSA has released the Case Service Report (RSA-911) in </w:t>
      </w:r>
      <w:hyperlink r:id="rId176" w:tgtFrame="_blank" w:history="1">
        <w:r w:rsidRPr="00893463">
          <w:rPr>
            <w:rStyle w:val="Hyperlink"/>
            <w:rFonts w:cstheme="minorHAnsi"/>
            <w:szCs w:val="22"/>
          </w:rPr>
          <w:t>Excel file format</w:t>
        </w:r>
      </w:hyperlink>
      <w:r w:rsidRPr="00893463">
        <w:rPr>
          <w:rFonts w:cstheme="minorHAnsi"/>
          <w:szCs w:val="22"/>
        </w:rPr>
        <w:t xml:space="preserve">. Please note that this file corrects some typographical errors in the RSA-911 issued in </w:t>
      </w:r>
      <w:hyperlink r:id="rId177" w:tgtFrame="_blank" w:history="1">
        <w:r w:rsidRPr="00893463">
          <w:rPr>
            <w:rStyle w:val="Hyperlink"/>
            <w:rFonts w:cstheme="minorHAnsi"/>
            <w:szCs w:val="22"/>
          </w:rPr>
          <w:t>PD 19-03</w:t>
        </w:r>
      </w:hyperlink>
      <w:r w:rsidRPr="00893463">
        <w:rPr>
          <w:rFonts w:cstheme="minorHAnsi"/>
          <w:szCs w:val="22"/>
        </w:rPr>
        <w:t xml:space="preserve"> (May 6, 2019); these errors are outlined in the final tab of the Excel file.</w:t>
      </w:r>
    </w:p>
    <w:p w14:paraId="631738AF" w14:textId="77777777" w:rsidR="00FC51B7" w:rsidRPr="00893463" w:rsidRDefault="00FC51B7" w:rsidP="00C575C8">
      <w:pPr>
        <w:pStyle w:val="NormalWeb"/>
        <w:numPr>
          <w:ilvl w:val="2"/>
          <w:numId w:val="23"/>
        </w:numPr>
        <w:spacing w:after="80"/>
        <w:ind w:left="1170"/>
        <w:rPr>
          <w:rFonts w:cstheme="minorHAnsi"/>
          <w:szCs w:val="22"/>
        </w:rPr>
      </w:pPr>
      <w:r w:rsidRPr="00893463">
        <w:rPr>
          <w:rFonts w:cstheme="minorHAnsi"/>
          <w:szCs w:val="22"/>
        </w:rPr>
        <w:t xml:space="preserve">RSA also published the </w:t>
      </w:r>
      <w:hyperlink r:id="rId178" w:tgtFrame="_blank" w:history="1">
        <w:r w:rsidRPr="00893463">
          <w:rPr>
            <w:rStyle w:val="Hyperlink"/>
            <w:rFonts w:cstheme="minorHAnsi"/>
            <w:szCs w:val="22"/>
          </w:rPr>
          <w:t>Case Service Report (RSA-911) Correction Procedures.</w:t>
        </w:r>
      </w:hyperlink>
      <w:r w:rsidRPr="00893463">
        <w:rPr>
          <w:rFonts w:cstheme="minorHAnsi"/>
          <w:szCs w:val="22"/>
        </w:rPr>
        <w:t xml:space="preserve"> This technical assistance resource outlines the options available to State Vocational Rehabilitation agencies to correct information reported on the RSA-911 when errors in data collection or reporting are identified. Please email </w:t>
      </w:r>
      <w:hyperlink r:id="rId179" w:history="1">
        <w:r w:rsidRPr="00893463">
          <w:rPr>
            <w:rStyle w:val="Hyperlink"/>
            <w:rFonts w:cstheme="minorHAnsi"/>
            <w:szCs w:val="22"/>
          </w:rPr>
          <w:t>RSAData@ed.gov</w:t>
        </w:r>
      </w:hyperlink>
      <w:r w:rsidRPr="00893463">
        <w:rPr>
          <w:rFonts w:cstheme="minorHAnsi"/>
          <w:szCs w:val="22"/>
        </w:rPr>
        <w:t xml:space="preserve"> or contact your </w:t>
      </w:r>
      <w:hyperlink r:id="rId180" w:tgtFrame="_blank" w:history="1">
        <w:r w:rsidRPr="00893463">
          <w:rPr>
            <w:rStyle w:val="Hyperlink"/>
            <w:rFonts w:cstheme="minorHAnsi"/>
            <w:szCs w:val="22"/>
          </w:rPr>
          <w:t>RSA State Liaison</w:t>
        </w:r>
      </w:hyperlink>
      <w:r w:rsidRPr="00893463">
        <w:rPr>
          <w:rFonts w:cstheme="minorHAnsi"/>
          <w:szCs w:val="22"/>
        </w:rPr>
        <w:t xml:space="preserve"> with any questions.</w:t>
      </w:r>
    </w:p>
    <w:p w14:paraId="0CE68591" w14:textId="77777777" w:rsidR="00FC51B7" w:rsidRPr="005B301A" w:rsidRDefault="00FC51B7" w:rsidP="00C575C8">
      <w:pPr>
        <w:pStyle w:val="NormalWeb"/>
        <w:numPr>
          <w:ilvl w:val="1"/>
          <w:numId w:val="23"/>
        </w:numPr>
        <w:spacing w:after="240"/>
        <w:ind w:left="720"/>
        <w:rPr>
          <w:rFonts w:cstheme="minorHAnsi"/>
          <w:b/>
          <w:bCs/>
          <w:szCs w:val="22"/>
        </w:rPr>
      </w:pPr>
      <w:r w:rsidRPr="00DE175B">
        <w:rPr>
          <w:rFonts w:cstheme="minorHAnsi"/>
          <w:b/>
          <w:bCs/>
          <w:szCs w:val="22"/>
        </w:rPr>
        <w:t>Guidance for Validating Jointly Required Performance Data </w:t>
      </w:r>
      <w:r>
        <w:rPr>
          <w:rFonts w:cstheme="minorHAnsi"/>
          <w:b/>
          <w:bCs/>
          <w:szCs w:val="22"/>
        </w:rPr>
        <w:br/>
      </w:r>
      <w:r w:rsidRPr="005B301A">
        <w:rPr>
          <w:rFonts w:cstheme="minorHAnsi"/>
          <w:szCs w:val="22"/>
        </w:rPr>
        <w:t xml:space="preserve">The Rehabilitation Services Administration (RSA) released the </w:t>
      </w:r>
      <w:hyperlink r:id="rId181" w:tgtFrame="_blank" w:history="1">
        <w:r w:rsidRPr="005B301A">
          <w:rPr>
            <w:rStyle w:val="Hyperlink"/>
            <w:rFonts w:cstheme="minorHAnsi"/>
            <w:szCs w:val="22"/>
          </w:rPr>
          <w:t>Technical Assistance Circular 19-01: Guidance for Validating Jointly Required Performance Data Submitted under the Workforce Innovation and Opportunity Act.</w:t>
        </w:r>
      </w:hyperlink>
      <w:r w:rsidRPr="005B301A">
        <w:rPr>
          <w:rFonts w:cstheme="minorHAnsi"/>
          <w:szCs w:val="22"/>
        </w:rPr>
        <w:t xml:space="preserve"> </w:t>
      </w:r>
    </w:p>
    <w:p w14:paraId="029EC60D" w14:textId="77777777" w:rsidR="00FC51B7" w:rsidRPr="005B301A" w:rsidRDefault="00FC51B7" w:rsidP="00C575C8">
      <w:pPr>
        <w:pStyle w:val="NormalWeb"/>
        <w:numPr>
          <w:ilvl w:val="1"/>
          <w:numId w:val="23"/>
        </w:numPr>
        <w:spacing w:after="240"/>
        <w:ind w:left="720"/>
        <w:rPr>
          <w:rFonts w:cstheme="minorHAnsi"/>
          <w:b/>
          <w:bCs/>
          <w:szCs w:val="22"/>
        </w:rPr>
      </w:pPr>
      <w:r w:rsidRPr="00DE175B">
        <w:rPr>
          <w:rFonts w:cstheme="minorHAnsi"/>
          <w:b/>
          <w:bCs/>
          <w:szCs w:val="22"/>
        </w:rPr>
        <w:t>RSA - WIOA Annual Report Demo - 7/25/2018</w:t>
      </w:r>
      <w:r>
        <w:rPr>
          <w:rFonts w:cstheme="minorHAnsi"/>
          <w:b/>
          <w:bCs/>
          <w:szCs w:val="22"/>
        </w:rPr>
        <w:br/>
      </w:r>
      <w:r w:rsidRPr="005B301A">
        <w:rPr>
          <w:rFonts w:cstheme="minorHAnsi"/>
          <w:szCs w:val="22"/>
        </w:rPr>
        <w:t>This Rehabilitation Services Administration technical assistance program will provide an overview of the Workforce Innovation and Opportunity Act (WIOA) annual report submission timeline, state requirements and a demonstration of the submission portal located at </w:t>
      </w:r>
      <w:hyperlink r:id="rId182" w:tgtFrame="_blank" w:history="1">
        <w:r w:rsidRPr="005B301A">
          <w:rPr>
            <w:rStyle w:val="Hyperlink"/>
            <w:rFonts w:cstheme="minorHAnsi"/>
            <w:szCs w:val="22"/>
          </w:rPr>
          <w:t>WIOA Statewide and local performance refport template (June 2016)</w:t>
        </w:r>
      </w:hyperlink>
      <w:r w:rsidRPr="005B301A">
        <w:rPr>
          <w:rFonts w:cstheme="minorHAnsi"/>
          <w:szCs w:val="22"/>
        </w:rPr>
        <w:t>. The transcript and accessible presentation slides can be accessed in the </w:t>
      </w:r>
      <w:hyperlink r:id="rId183" w:tgtFrame="_blank" w:history="1">
        <w:r w:rsidRPr="005B301A">
          <w:rPr>
            <w:rStyle w:val="Hyperlink"/>
            <w:rFonts w:cstheme="minorHAnsi"/>
            <w:szCs w:val="22"/>
          </w:rPr>
          <w:t>NCRTM library</w:t>
        </w:r>
      </w:hyperlink>
      <w:r w:rsidRPr="005B301A">
        <w:rPr>
          <w:rFonts w:cstheme="minorHAnsi"/>
          <w:szCs w:val="22"/>
        </w:rPr>
        <w:t xml:space="preserve">. You can view the presentation on YouTube by visiting </w:t>
      </w:r>
      <w:hyperlink r:id="rId184" w:tgtFrame="_blank" w:history="1">
        <w:r w:rsidRPr="005B301A">
          <w:rPr>
            <w:rStyle w:val="Hyperlink"/>
            <w:rFonts w:cstheme="minorHAnsi"/>
            <w:szCs w:val="22"/>
          </w:rPr>
          <w:t>https://youtu.be/mzvXTsSKhL4</w:t>
        </w:r>
      </w:hyperlink>
      <w:r w:rsidRPr="005B301A">
        <w:rPr>
          <w:rFonts w:cstheme="minorHAnsi"/>
          <w:szCs w:val="22"/>
        </w:rPr>
        <w:t>.</w:t>
      </w:r>
    </w:p>
    <w:p w14:paraId="202080F2" w14:textId="77777777" w:rsidR="00FC51B7" w:rsidRPr="005B301A" w:rsidRDefault="00FC51B7" w:rsidP="00C575C8">
      <w:pPr>
        <w:pStyle w:val="NormalWeb"/>
        <w:numPr>
          <w:ilvl w:val="1"/>
          <w:numId w:val="23"/>
        </w:numPr>
        <w:spacing w:after="240"/>
        <w:ind w:left="720"/>
        <w:rPr>
          <w:rFonts w:cstheme="minorHAnsi"/>
          <w:szCs w:val="22"/>
        </w:rPr>
      </w:pPr>
      <w:r w:rsidRPr="00BE4AEA">
        <w:rPr>
          <w:rFonts w:cstheme="minorHAnsi"/>
          <w:b/>
          <w:bCs/>
          <w:szCs w:val="22"/>
        </w:rPr>
        <w:lastRenderedPageBreak/>
        <w:t>TAC 17-01: Performance Accountability Guidance for Workforce Innovation and Opportunity Act Title I, Title II, Title III and Title IV Core Programs</w:t>
      </w:r>
      <w:r>
        <w:rPr>
          <w:rFonts w:cstheme="minorHAnsi"/>
          <w:szCs w:val="22"/>
        </w:rPr>
        <w:br/>
      </w:r>
      <w:r w:rsidRPr="005B301A">
        <w:rPr>
          <w:rFonts w:cstheme="minorHAnsi"/>
          <w:szCs w:val="22"/>
        </w:rPr>
        <w:t xml:space="preserve">The Rehabilitation Services Administration (RSA) published updated revisions dated August 17, 2017 to the </w:t>
      </w:r>
      <w:hyperlink r:id="rId185" w:tgtFrame="_blank" w:history="1">
        <w:r w:rsidRPr="005B301A">
          <w:rPr>
            <w:rStyle w:val="Hyperlink"/>
            <w:rFonts w:cstheme="minorHAnsi"/>
            <w:szCs w:val="22"/>
          </w:rPr>
          <w:t>Technical Assistance Circular (TAC) 17-01: Performance Accountability Guidance for Workforce Innovation and Opportunity Act (WIOA) Title I, Title II, Title III and Title IV Core Programs</w:t>
        </w:r>
      </w:hyperlink>
      <w:r w:rsidRPr="005B301A">
        <w:rPr>
          <w:rFonts w:cstheme="minorHAnsi"/>
          <w:szCs w:val="22"/>
        </w:rPr>
        <w:t xml:space="preserve"> that was originally published on December 19, 2016. </w:t>
      </w:r>
    </w:p>
    <w:p w14:paraId="19FF7B71" w14:textId="77777777" w:rsidR="00FC51B7" w:rsidRPr="005B301A" w:rsidRDefault="00FC51B7" w:rsidP="00C575C8">
      <w:pPr>
        <w:pStyle w:val="NormalWeb"/>
        <w:numPr>
          <w:ilvl w:val="1"/>
          <w:numId w:val="23"/>
        </w:numPr>
        <w:spacing w:after="240"/>
        <w:ind w:left="720"/>
        <w:rPr>
          <w:rFonts w:cstheme="minorHAnsi"/>
          <w:b/>
          <w:bCs/>
          <w:szCs w:val="22"/>
        </w:rPr>
      </w:pPr>
      <w:r w:rsidRPr="00546A4E">
        <w:rPr>
          <w:rFonts w:cstheme="minorHAnsi"/>
          <w:b/>
          <w:bCs/>
          <w:szCs w:val="22"/>
        </w:rPr>
        <w:t>TAC 17-04 Joint Guidance on the Use of Supplemental Wage Information to Implement the Performance Accountability Requirements under the Workforce Innovation and Opportunity Act</w:t>
      </w:r>
      <w:r>
        <w:rPr>
          <w:rFonts w:cstheme="minorHAnsi"/>
          <w:b/>
          <w:bCs/>
          <w:szCs w:val="22"/>
        </w:rPr>
        <w:br/>
      </w:r>
      <w:r w:rsidRPr="005B301A">
        <w:rPr>
          <w:rFonts w:cstheme="minorHAnsi"/>
          <w:szCs w:val="22"/>
        </w:rPr>
        <w:t xml:space="preserve">The U.S Departments of Labor and Education have issued joint guidance on the </w:t>
      </w:r>
      <w:hyperlink r:id="rId186" w:tgtFrame="_blank" w:history="1">
        <w:r w:rsidRPr="005B301A">
          <w:rPr>
            <w:rStyle w:val="Hyperlink"/>
            <w:rFonts w:cstheme="minorHAnsi"/>
            <w:szCs w:val="22"/>
          </w:rPr>
          <w:t>Use of Supplemental Wage Information to Implement the Performance Accountability Requirements under the Workforce Innovation and Opportunity Act.</w:t>
        </w:r>
      </w:hyperlink>
      <w:r w:rsidRPr="005B301A">
        <w:rPr>
          <w:rFonts w:cstheme="minorHAnsi"/>
          <w:szCs w:val="22"/>
        </w:rPr>
        <w:t xml:space="preserve"> </w:t>
      </w:r>
    </w:p>
    <w:p w14:paraId="792F5904" w14:textId="77777777" w:rsidR="00FC51B7" w:rsidRPr="005B301A" w:rsidRDefault="00FC51B7" w:rsidP="00C575C8">
      <w:pPr>
        <w:pStyle w:val="NormalWeb"/>
        <w:numPr>
          <w:ilvl w:val="1"/>
          <w:numId w:val="23"/>
        </w:numPr>
        <w:spacing w:after="240"/>
        <w:ind w:left="720"/>
        <w:rPr>
          <w:rFonts w:cstheme="minorHAnsi"/>
          <w:b/>
          <w:bCs/>
          <w:szCs w:val="22"/>
        </w:rPr>
      </w:pPr>
      <w:r w:rsidRPr="00546A4E">
        <w:rPr>
          <w:rFonts w:cstheme="minorHAnsi"/>
          <w:b/>
          <w:bCs/>
          <w:szCs w:val="22"/>
        </w:rPr>
        <w:t>911 - Introduction to Data Collection and Reporting Requirements</w:t>
      </w:r>
      <w:r>
        <w:rPr>
          <w:rFonts w:cstheme="minorHAnsi"/>
          <w:b/>
          <w:bCs/>
          <w:szCs w:val="22"/>
        </w:rPr>
        <w:br/>
      </w:r>
      <w:r w:rsidRPr="005B301A">
        <w:rPr>
          <w:rFonts w:cstheme="minorHAnsi"/>
          <w:szCs w:val="22"/>
        </w:rPr>
        <w:t xml:space="preserve">The training curriculum provides an overview of the joint guidance issued in Technical Assistance Circulars (TAC) </w:t>
      </w:r>
      <w:hyperlink r:id="rId187" w:tgtFrame="_blank" w:history="1">
        <w:r w:rsidRPr="005B301A">
          <w:rPr>
            <w:rStyle w:val="Hyperlink"/>
            <w:rFonts w:cstheme="minorHAnsi"/>
            <w:szCs w:val="22"/>
          </w:rPr>
          <w:t>17-01</w:t>
        </w:r>
      </w:hyperlink>
      <w:r w:rsidRPr="005B301A">
        <w:rPr>
          <w:rFonts w:cstheme="minorHAnsi"/>
          <w:szCs w:val="22"/>
        </w:rPr>
        <w:t xml:space="preserve"> and </w:t>
      </w:r>
      <w:hyperlink r:id="rId188" w:tgtFrame="_blank" w:history="1">
        <w:r w:rsidRPr="005B301A">
          <w:rPr>
            <w:rStyle w:val="Hyperlink"/>
            <w:rFonts w:cstheme="minorHAnsi"/>
            <w:szCs w:val="22"/>
          </w:rPr>
          <w:t>17-04.</w:t>
        </w:r>
      </w:hyperlink>
      <w:r w:rsidRPr="005B301A">
        <w:rPr>
          <w:rFonts w:cstheme="minorHAnsi"/>
          <w:szCs w:val="22"/>
        </w:rPr>
        <w:t xml:space="preserve"> The TA materials, including the self-guided seven-module training, are posted and archived on the National Clearinghouse of Rehabilitation Training Materials (NCRTM) website: </w:t>
      </w:r>
      <w:hyperlink r:id="rId189" w:tgtFrame="_blank" w:history="1">
        <w:r w:rsidRPr="005B301A">
          <w:rPr>
            <w:rStyle w:val="Hyperlink"/>
            <w:rFonts w:cstheme="minorHAnsi"/>
            <w:szCs w:val="22"/>
          </w:rPr>
          <w:t>www.ncrtm.ed.gov</w:t>
        </w:r>
      </w:hyperlink>
      <w:r w:rsidRPr="005B301A">
        <w:rPr>
          <w:rFonts w:cstheme="minorHAnsi"/>
          <w:szCs w:val="22"/>
        </w:rPr>
        <w:t>.</w:t>
      </w:r>
    </w:p>
    <w:p w14:paraId="2876ECC9" w14:textId="77777777" w:rsidR="00FC51B7" w:rsidRPr="005B301A" w:rsidRDefault="00FC51B7" w:rsidP="00C575C8">
      <w:pPr>
        <w:pStyle w:val="NormalWeb"/>
        <w:numPr>
          <w:ilvl w:val="1"/>
          <w:numId w:val="23"/>
        </w:numPr>
        <w:spacing w:after="240"/>
        <w:ind w:left="720"/>
        <w:rPr>
          <w:rFonts w:cstheme="minorHAnsi"/>
          <w:b/>
          <w:bCs/>
          <w:szCs w:val="22"/>
        </w:rPr>
      </w:pPr>
      <w:r w:rsidRPr="00FC5616">
        <w:rPr>
          <w:rFonts w:cstheme="minorHAnsi"/>
          <w:b/>
          <w:bCs/>
          <w:szCs w:val="22"/>
        </w:rPr>
        <w:t>911 - Reporting FAQ</w:t>
      </w:r>
      <w:r>
        <w:rPr>
          <w:rFonts w:cstheme="minorHAnsi"/>
          <w:b/>
          <w:bCs/>
          <w:szCs w:val="22"/>
        </w:rPr>
        <w:br/>
      </w:r>
      <w:r w:rsidRPr="005B301A">
        <w:rPr>
          <w:rFonts w:cstheme="minorHAnsi"/>
          <w:szCs w:val="22"/>
        </w:rPr>
        <w:t>The Rehabilitation Services Administration (RSA) issued a reporting manual for the Case Service Report RSA-911 in June 2016. This manual provides guidance for State Vocational Rehabilitation Agencies (SVRA) in collecting and reporting additional required data elements needed to be consistent with the performance accountability measures for the core programs of the workforce development system. As of June 14, 2017, a revised version of the </w:t>
      </w:r>
      <w:hyperlink r:id="rId190" w:tgtFrame="_blank" w:history="1">
        <w:r w:rsidRPr="005B301A">
          <w:rPr>
            <w:rStyle w:val="Hyperlink"/>
            <w:rFonts w:cstheme="minorHAnsi"/>
            <w:szCs w:val="22"/>
          </w:rPr>
          <w:t>Case Service Report RSA-911 manual and Policy Directive (RSA-PD-16-04) </w:t>
        </w:r>
      </w:hyperlink>
      <w:r w:rsidRPr="005B301A">
        <w:rPr>
          <w:rFonts w:cstheme="minorHAnsi"/>
          <w:szCs w:val="22"/>
        </w:rPr>
        <w:t>was published.</w:t>
      </w:r>
    </w:p>
    <w:p w14:paraId="75669815" w14:textId="77777777" w:rsidR="00FC51B7" w:rsidRPr="005B301A" w:rsidRDefault="00FC51B7" w:rsidP="00C575C8">
      <w:pPr>
        <w:pStyle w:val="NormalWeb"/>
        <w:numPr>
          <w:ilvl w:val="1"/>
          <w:numId w:val="23"/>
        </w:numPr>
        <w:spacing w:after="240"/>
        <w:ind w:left="720"/>
        <w:rPr>
          <w:rFonts w:cstheme="minorHAnsi"/>
          <w:b/>
          <w:bCs/>
          <w:szCs w:val="22"/>
        </w:rPr>
      </w:pPr>
      <w:r w:rsidRPr="00FC5616">
        <w:rPr>
          <w:rFonts w:cstheme="minorHAnsi"/>
          <w:b/>
          <w:bCs/>
          <w:szCs w:val="22"/>
        </w:rPr>
        <w:t>RSA 2017 Monitoring and Technical Assistance Visits: Supporting Documentation Guidance</w:t>
      </w:r>
      <w:r>
        <w:rPr>
          <w:rFonts w:cstheme="minorHAnsi"/>
          <w:b/>
          <w:bCs/>
          <w:szCs w:val="22"/>
        </w:rPr>
        <w:br/>
      </w:r>
      <w:r w:rsidRPr="005B301A">
        <w:rPr>
          <w:rFonts w:cstheme="minorHAnsi"/>
          <w:szCs w:val="22"/>
        </w:rPr>
        <w:t xml:space="preserve">The supporting documentation described in </w:t>
      </w:r>
      <w:hyperlink r:id="rId191" w:tgtFrame="_blank" w:history="1">
        <w:r w:rsidRPr="005B301A">
          <w:rPr>
            <w:rStyle w:val="Hyperlink"/>
            <w:rFonts w:cstheme="minorHAnsi"/>
            <w:szCs w:val="22"/>
          </w:rPr>
          <w:t>this guidance</w:t>
        </w:r>
      </w:hyperlink>
      <w:r w:rsidRPr="005B301A">
        <w:rPr>
          <w:rFonts w:cstheme="minorHAnsi"/>
          <w:szCs w:val="22"/>
        </w:rPr>
        <w:t xml:space="preserve"> pertains to certain key data elements in the Case Service Report (RSA-911) that Rehabilitation Services Administration (RSA) staff will review during Federal fiscal year (FFY) 2017 monitoring and technical assistance visits. </w:t>
      </w:r>
    </w:p>
    <w:p w14:paraId="7BE55F40" w14:textId="77777777" w:rsidR="00FC51B7" w:rsidRPr="005B301A" w:rsidRDefault="00FC51B7" w:rsidP="00C575C8">
      <w:pPr>
        <w:pStyle w:val="NormalWeb"/>
        <w:numPr>
          <w:ilvl w:val="1"/>
          <w:numId w:val="23"/>
        </w:numPr>
        <w:spacing w:after="240"/>
        <w:ind w:left="720"/>
        <w:rPr>
          <w:rFonts w:cstheme="minorHAnsi"/>
          <w:b/>
          <w:bCs/>
          <w:szCs w:val="22"/>
        </w:rPr>
      </w:pPr>
      <w:bookmarkStart w:id="84" w:name="guidance"/>
      <w:bookmarkEnd w:id="84"/>
      <w:r w:rsidRPr="008A1B81">
        <w:rPr>
          <w:rFonts w:cstheme="minorHAnsi"/>
          <w:b/>
          <w:bCs/>
          <w:szCs w:val="22"/>
        </w:rPr>
        <w:t>State Wage Interchange System (SWIS)</w:t>
      </w:r>
      <w:r>
        <w:rPr>
          <w:rFonts w:cstheme="minorHAnsi"/>
          <w:b/>
          <w:bCs/>
          <w:szCs w:val="22"/>
        </w:rPr>
        <w:br/>
      </w:r>
      <w:r w:rsidRPr="005B301A">
        <w:rPr>
          <w:rFonts w:cstheme="minorHAnsi"/>
          <w:szCs w:val="22"/>
        </w:rPr>
        <w:t xml:space="preserve">The U.S. Departments of Labor and Education, has developed for your review and execution, the new State Wage Interchange System (SWIS) Data Sharing Agreement (Agreement). To aid your review of the SWIS Agreement, please listen to the SWIS Agreement webcast published on the WorkforceGPS website. </w:t>
      </w:r>
      <w:hyperlink r:id="rId192" w:tgtFrame="_blank" w:history="1">
        <w:r w:rsidRPr="005B301A">
          <w:rPr>
            <w:rStyle w:val="Hyperlink"/>
            <w:rFonts w:cstheme="minorHAnsi"/>
            <w:szCs w:val="22"/>
          </w:rPr>
          <w:t>Click to access the SWIS Agreement webcast.</w:t>
        </w:r>
      </w:hyperlink>
    </w:p>
    <w:p w14:paraId="298423BF" w14:textId="77777777" w:rsidR="00FC51B7" w:rsidRPr="005B301A" w:rsidRDefault="00FC51B7" w:rsidP="00C575C8">
      <w:pPr>
        <w:pStyle w:val="NormalWeb"/>
        <w:numPr>
          <w:ilvl w:val="0"/>
          <w:numId w:val="27"/>
        </w:numPr>
        <w:spacing w:after="80"/>
        <w:ind w:left="720"/>
        <w:rPr>
          <w:rFonts w:cstheme="minorHAnsi"/>
          <w:b/>
          <w:bCs/>
          <w:szCs w:val="22"/>
        </w:rPr>
      </w:pPr>
      <w:r w:rsidRPr="0063743F">
        <w:rPr>
          <w:rFonts w:cstheme="minorHAnsi"/>
          <w:b/>
          <w:bCs/>
          <w:szCs w:val="22"/>
        </w:rPr>
        <w:t>Joint Guidance on Data Matching to Facilitate WIOA Performance Reporting and Evaluation</w:t>
      </w:r>
      <w:r>
        <w:rPr>
          <w:rFonts w:cstheme="minorHAnsi"/>
          <w:b/>
          <w:bCs/>
          <w:szCs w:val="22"/>
        </w:rPr>
        <w:br/>
      </w:r>
      <w:r w:rsidRPr="005B301A">
        <w:rPr>
          <w:rFonts w:cstheme="minorHAnsi"/>
          <w:szCs w:val="22"/>
        </w:rPr>
        <w:t>The U.S. Departments of Labor and Education (DOL and ED, or, collectively, Departments) provided this </w:t>
      </w:r>
      <w:hyperlink r:id="rId193" w:tgtFrame="_blank" w:history="1">
        <w:r w:rsidRPr="005B301A">
          <w:rPr>
            <w:rStyle w:val="Hyperlink"/>
            <w:rFonts w:cstheme="minorHAnsi"/>
            <w:szCs w:val="22"/>
          </w:rPr>
          <w:t>Joint Guidance on Data Matching to Facilitate WIOA Performance Reporting and Evaluation</w:t>
        </w:r>
      </w:hyperlink>
      <w:r w:rsidRPr="005B301A">
        <w:rPr>
          <w:rFonts w:cstheme="minorHAnsi"/>
          <w:szCs w:val="22"/>
        </w:rPr>
        <w:t> as a resource to provide information to assist State agencies (including Vocational Rehabilitation (VR) agencies and workforce development agencies), educational agencies and institutions, and service providers in performance reporting and evaluation requirements under the Workforce Innovation and Opportunity Act (WIOA) (Pub. L. 113-128).</w:t>
      </w:r>
    </w:p>
    <w:p w14:paraId="4D5C15DA" w14:textId="77777777" w:rsidR="00FC51B7" w:rsidRPr="00893463" w:rsidRDefault="0084664F" w:rsidP="00C575C8">
      <w:pPr>
        <w:pStyle w:val="NormalWeb"/>
        <w:numPr>
          <w:ilvl w:val="0"/>
          <w:numId w:val="23"/>
        </w:numPr>
        <w:spacing w:after="80"/>
        <w:ind w:left="1260"/>
        <w:rPr>
          <w:rFonts w:cstheme="minorHAnsi"/>
          <w:szCs w:val="22"/>
        </w:rPr>
      </w:pPr>
      <w:hyperlink r:id="rId194" w:tgtFrame="_blank" w:history="1">
        <w:r w:rsidR="00FC51B7" w:rsidRPr="00893463">
          <w:rPr>
            <w:rStyle w:val="Hyperlink"/>
            <w:rFonts w:cstheme="minorHAnsi"/>
            <w:szCs w:val="22"/>
          </w:rPr>
          <w:t>WIOA Wednesday: Data Matching for WIOA Reporting/ the Family Educational Right to Privacy Act</w:t>
        </w:r>
      </w:hyperlink>
    </w:p>
    <w:p w14:paraId="60BF2043" w14:textId="77777777" w:rsidR="00FC51B7" w:rsidRPr="00855E02" w:rsidRDefault="00FC51B7" w:rsidP="00C575C8">
      <w:pPr>
        <w:pStyle w:val="NormalWeb"/>
        <w:numPr>
          <w:ilvl w:val="0"/>
          <w:numId w:val="28"/>
        </w:numPr>
        <w:spacing w:after="80"/>
        <w:ind w:left="720"/>
        <w:rPr>
          <w:rFonts w:cstheme="minorHAnsi"/>
          <w:b/>
          <w:bCs/>
          <w:szCs w:val="22"/>
        </w:rPr>
      </w:pPr>
      <w:r w:rsidRPr="00855E02">
        <w:rPr>
          <w:rFonts w:cstheme="minorHAnsi"/>
          <w:b/>
          <w:bCs/>
          <w:szCs w:val="22"/>
        </w:rPr>
        <w:lastRenderedPageBreak/>
        <w:t>Workforce GPS Webinars on CPM</w:t>
      </w:r>
    </w:p>
    <w:p w14:paraId="1F45A2E7" w14:textId="77777777" w:rsidR="00FC51B7" w:rsidRPr="00893463" w:rsidRDefault="0084664F" w:rsidP="00C575C8">
      <w:pPr>
        <w:pStyle w:val="NormalWeb"/>
        <w:numPr>
          <w:ilvl w:val="0"/>
          <w:numId w:val="23"/>
        </w:numPr>
        <w:spacing w:after="80"/>
        <w:ind w:left="1260"/>
        <w:rPr>
          <w:rFonts w:cstheme="minorHAnsi"/>
          <w:szCs w:val="22"/>
        </w:rPr>
      </w:pPr>
      <w:hyperlink r:id="rId195" w:tgtFrame="_blank" w:history="1">
        <w:r w:rsidR="00FC51B7" w:rsidRPr="00893463">
          <w:rPr>
            <w:rStyle w:val="Hyperlink"/>
            <w:rFonts w:cstheme="minorHAnsi"/>
            <w:szCs w:val="22"/>
          </w:rPr>
          <w:t>WIOA Wednesday: Performance Accountability, Part 1</w:t>
        </w:r>
      </w:hyperlink>
    </w:p>
    <w:p w14:paraId="4D87355C" w14:textId="77777777" w:rsidR="00FC51B7" w:rsidRPr="00893463" w:rsidRDefault="0084664F" w:rsidP="00C575C8">
      <w:pPr>
        <w:pStyle w:val="NormalWeb"/>
        <w:numPr>
          <w:ilvl w:val="0"/>
          <w:numId w:val="23"/>
        </w:numPr>
        <w:spacing w:after="80"/>
        <w:ind w:left="1260"/>
        <w:rPr>
          <w:rFonts w:cstheme="minorHAnsi"/>
          <w:szCs w:val="22"/>
        </w:rPr>
      </w:pPr>
      <w:hyperlink r:id="rId196" w:tgtFrame="_blank" w:history="1">
        <w:r w:rsidR="00FC51B7" w:rsidRPr="00893463">
          <w:rPr>
            <w:rStyle w:val="Hyperlink"/>
            <w:rFonts w:cstheme="minorHAnsi"/>
            <w:szCs w:val="22"/>
          </w:rPr>
          <w:t>WIOA Wednesday: Performance Accountability, Part 2</w:t>
        </w:r>
      </w:hyperlink>
    </w:p>
    <w:p w14:paraId="5716E229" w14:textId="77777777" w:rsidR="00FC51B7" w:rsidRDefault="00FC51B7" w:rsidP="00C575C8">
      <w:pPr>
        <w:pStyle w:val="NormalWeb"/>
        <w:numPr>
          <w:ilvl w:val="0"/>
          <w:numId w:val="29"/>
        </w:numPr>
        <w:spacing w:after="80"/>
        <w:ind w:left="720"/>
        <w:rPr>
          <w:rFonts w:cstheme="minorHAnsi"/>
          <w:b/>
          <w:bCs/>
          <w:szCs w:val="22"/>
        </w:rPr>
      </w:pPr>
      <w:bookmarkStart w:id="85" w:name="csavr"/>
      <w:bookmarkEnd w:id="85"/>
      <w:r w:rsidRPr="00855E02">
        <w:rPr>
          <w:rFonts w:cstheme="minorHAnsi"/>
          <w:b/>
          <w:bCs/>
          <w:szCs w:val="22"/>
        </w:rPr>
        <w:t>CSAVR &amp; NCSAB Presentations Related to CPM</w:t>
      </w:r>
    </w:p>
    <w:p w14:paraId="23EF33A3" w14:textId="77777777" w:rsidR="00FC51B7" w:rsidRPr="00855E02" w:rsidRDefault="00FC51B7" w:rsidP="00C575C8">
      <w:pPr>
        <w:pStyle w:val="NormalWeb"/>
        <w:numPr>
          <w:ilvl w:val="1"/>
          <w:numId w:val="30"/>
        </w:numPr>
        <w:spacing w:after="80"/>
        <w:ind w:left="1440"/>
        <w:rPr>
          <w:rFonts w:cstheme="minorHAnsi"/>
          <w:szCs w:val="22"/>
        </w:rPr>
      </w:pPr>
      <w:r w:rsidRPr="00855E02">
        <w:rPr>
          <w:rFonts w:cstheme="minorHAnsi"/>
          <w:szCs w:val="22"/>
        </w:rPr>
        <w:t xml:space="preserve">Spring 2019 CSAVR &amp; NCSAB </w:t>
      </w:r>
      <w:r w:rsidRPr="00893463">
        <w:rPr>
          <w:rFonts w:cstheme="minorHAnsi"/>
          <w:szCs w:val="22"/>
        </w:rPr>
        <w:t>Conference</w:t>
      </w:r>
    </w:p>
    <w:p w14:paraId="2A9CA78B" w14:textId="77777777" w:rsidR="00FC51B7" w:rsidRPr="00893463" w:rsidRDefault="0084664F" w:rsidP="00C575C8">
      <w:pPr>
        <w:pStyle w:val="NormalWeb"/>
        <w:numPr>
          <w:ilvl w:val="2"/>
          <w:numId w:val="24"/>
        </w:numPr>
        <w:spacing w:after="80"/>
        <w:ind w:left="1800"/>
        <w:rPr>
          <w:rFonts w:cstheme="minorHAnsi"/>
          <w:szCs w:val="22"/>
        </w:rPr>
      </w:pPr>
      <w:hyperlink r:id="rId197" w:tgtFrame="_blank" w:history="1">
        <w:r w:rsidR="00FC51B7" w:rsidRPr="00893463">
          <w:rPr>
            <w:rStyle w:val="Hyperlink"/>
            <w:rFonts w:cstheme="minorHAnsi"/>
            <w:szCs w:val="22"/>
          </w:rPr>
          <w:t>Data Validation Presentation (NCSAB 4-11-2019)</w:t>
        </w:r>
      </w:hyperlink>
    </w:p>
    <w:p w14:paraId="56D4433B" w14:textId="77777777" w:rsidR="00FC51B7" w:rsidRPr="00893463" w:rsidRDefault="0084664F" w:rsidP="00C575C8">
      <w:pPr>
        <w:pStyle w:val="NormalWeb"/>
        <w:numPr>
          <w:ilvl w:val="2"/>
          <w:numId w:val="24"/>
        </w:numPr>
        <w:spacing w:after="80"/>
        <w:ind w:left="1800"/>
        <w:rPr>
          <w:rFonts w:cstheme="minorHAnsi"/>
          <w:szCs w:val="22"/>
        </w:rPr>
      </w:pPr>
      <w:hyperlink r:id="rId198" w:tgtFrame="_blank" w:history="1">
        <w:r w:rsidR="00FC51B7" w:rsidRPr="00893463">
          <w:rPr>
            <w:rStyle w:val="Hyperlink"/>
            <w:rFonts w:cstheme="minorHAnsi"/>
            <w:szCs w:val="22"/>
          </w:rPr>
          <w:t>Internal Control Presentation (NCSAB 4-11-2019)</w:t>
        </w:r>
      </w:hyperlink>
    </w:p>
    <w:p w14:paraId="28241011" w14:textId="77777777" w:rsidR="00FC51B7" w:rsidRPr="00893463" w:rsidRDefault="0084664F" w:rsidP="00C575C8">
      <w:pPr>
        <w:pStyle w:val="NormalWeb"/>
        <w:numPr>
          <w:ilvl w:val="2"/>
          <w:numId w:val="24"/>
        </w:numPr>
        <w:spacing w:after="80"/>
        <w:ind w:left="1800"/>
        <w:rPr>
          <w:rFonts w:cstheme="minorHAnsi"/>
          <w:szCs w:val="22"/>
        </w:rPr>
      </w:pPr>
      <w:hyperlink r:id="rId199" w:tgtFrame="_blank" w:history="1">
        <w:r w:rsidR="00FC51B7" w:rsidRPr="00893463">
          <w:rPr>
            <w:rStyle w:val="Hyperlink"/>
            <w:rFonts w:cstheme="minorHAnsi"/>
            <w:szCs w:val="22"/>
          </w:rPr>
          <w:t>Trends in the VR Program, Post-WIOA (CSAVR 4-10-2019)</w:t>
        </w:r>
      </w:hyperlink>
      <w:r w:rsidR="00FC51B7" w:rsidRPr="00893463">
        <w:rPr>
          <w:rFonts w:cstheme="minorHAnsi"/>
          <w:szCs w:val="22"/>
        </w:rPr>
        <w:t> - (Please contact RSA for any questions or accessible version.)</w:t>
      </w:r>
    </w:p>
    <w:p w14:paraId="0A8929A8" w14:textId="77777777" w:rsidR="00FC51B7" w:rsidRPr="00893463" w:rsidRDefault="00FC51B7" w:rsidP="00C575C8">
      <w:pPr>
        <w:pStyle w:val="NormalWeb"/>
        <w:numPr>
          <w:ilvl w:val="0"/>
          <w:numId w:val="23"/>
        </w:numPr>
        <w:spacing w:after="80"/>
        <w:ind w:left="1350"/>
        <w:rPr>
          <w:rFonts w:cstheme="minorHAnsi"/>
          <w:szCs w:val="22"/>
        </w:rPr>
      </w:pPr>
      <w:r w:rsidRPr="00893463">
        <w:rPr>
          <w:rFonts w:cstheme="minorHAnsi"/>
          <w:szCs w:val="22"/>
        </w:rPr>
        <w:t>Fall 2018 CSAVR &amp; NCSAB Conference</w:t>
      </w:r>
    </w:p>
    <w:p w14:paraId="4B0FBE77" w14:textId="77777777" w:rsidR="00FC51B7" w:rsidRPr="00893463" w:rsidRDefault="0084664F" w:rsidP="00C575C8">
      <w:pPr>
        <w:pStyle w:val="NormalWeb"/>
        <w:numPr>
          <w:ilvl w:val="1"/>
          <w:numId w:val="25"/>
        </w:numPr>
        <w:spacing w:after="80"/>
        <w:ind w:left="1800"/>
        <w:rPr>
          <w:rFonts w:cstheme="minorHAnsi"/>
          <w:szCs w:val="22"/>
        </w:rPr>
      </w:pPr>
      <w:hyperlink r:id="rId200" w:tgtFrame="_blank" w:history="1">
        <w:r w:rsidR="00FC51B7" w:rsidRPr="00893463">
          <w:rPr>
            <w:rStyle w:val="Hyperlink"/>
            <w:rFonts w:cstheme="minorHAnsi"/>
            <w:szCs w:val="22"/>
          </w:rPr>
          <w:t>Proactive Methods for Using Data (NCSAB 10-31-2018) </w:t>
        </w:r>
      </w:hyperlink>
      <w:r w:rsidR="00FC51B7" w:rsidRPr="00893463">
        <w:rPr>
          <w:rFonts w:cstheme="minorHAnsi"/>
          <w:szCs w:val="22"/>
        </w:rPr>
        <w:t>- (Please contact RSA for any questions or accessible version.)</w:t>
      </w:r>
    </w:p>
    <w:p w14:paraId="360AAA0E" w14:textId="77777777" w:rsidR="00FC51B7" w:rsidRPr="00893463" w:rsidRDefault="0084664F" w:rsidP="00C575C8">
      <w:pPr>
        <w:pStyle w:val="NormalWeb"/>
        <w:numPr>
          <w:ilvl w:val="1"/>
          <w:numId w:val="25"/>
        </w:numPr>
        <w:spacing w:after="80"/>
        <w:ind w:left="1800"/>
        <w:rPr>
          <w:rFonts w:cstheme="minorHAnsi"/>
          <w:szCs w:val="22"/>
        </w:rPr>
      </w:pPr>
      <w:hyperlink r:id="rId201" w:tgtFrame="_blank" w:history="1">
        <w:r w:rsidR="00FC51B7" w:rsidRPr="00893463">
          <w:rPr>
            <w:rStyle w:val="Hyperlink"/>
            <w:rFonts w:cstheme="minorHAnsi"/>
            <w:szCs w:val="22"/>
          </w:rPr>
          <w:t>RSA-911 Data Program Year 2017 (CSAVR 10-31-2018)</w:t>
        </w:r>
      </w:hyperlink>
      <w:r w:rsidR="00FC51B7" w:rsidRPr="00893463">
        <w:rPr>
          <w:rFonts w:cstheme="minorHAnsi"/>
          <w:szCs w:val="22"/>
        </w:rPr>
        <w:t> - (Please contact RSA for any questions or accessible version.)</w:t>
      </w:r>
    </w:p>
    <w:p w14:paraId="522AB839" w14:textId="77777777" w:rsidR="00FC51B7" w:rsidRPr="00893463" w:rsidRDefault="00FC51B7" w:rsidP="00C575C8">
      <w:pPr>
        <w:pStyle w:val="NormalWeb"/>
        <w:numPr>
          <w:ilvl w:val="0"/>
          <w:numId w:val="23"/>
        </w:numPr>
        <w:spacing w:after="80"/>
        <w:ind w:left="1350"/>
        <w:rPr>
          <w:rFonts w:cstheme="minorHAnsi"/>
          <w:szCs w:val="22"/>
        </w:rPr>
      </w:pPr>
      <w:r w:rsidRPr="00893463">
        <w:rPr>
          <w:rFonts w:cstheme="minorHAnsi"/>
          <w:szCs w:val="22"/>
        </w:rPr>
        <w:t>Fall 2018 Fiscal Conference</w:t>
      </w:r>
    </w:p>
    <w:p w14:paraId="4BEA3414" w14:textId="77777777" w:rsidR="00FC51B7" w:rsidRPr="00893463" w:rsidRDefault="0084664F" w:rsidP="00C575C8">
      <w:pPr>
        <w:pStyle w:val="NormalWeb"/>
        <w:numPr>
          <w:ilvl w:val="0"/>
          <w:numId w:val="23"/>
        </w:numPr>
        <w:spacing w:after="80"/>
        <w:ind w:left="1800"/>
        <w:rPr>
          <w:rFonts w:cstheme="minorHAnsi"/>
          <w:szCs w:val="22"/>
        </w:rPr>
      </w:pPr>
      <w:hyperlink r:id="rId202" w:tgtFrame="_blank" w:history="1">
        <w:r w:rsidR="00FC51B7" w:rsidRPr="00893463">
          <w:rPr>
            <w:rStyle w:val="Hyperlink"/>
            <w:rFonts w:cstheme="minorHAnsi"/>
            <w:szCs w:val="22"/>
          </w:rPr>
          <w:t>Uniformed Guidance and Internal Controls (August 2018)</w:t>
        </w:r>
      </w:hyperlink>
      <w:r w:rsidR="00FC51B7" w:rsidRPr="00893463">
        <w:rPr>
          <w:rFonts w:cstheme="minorHAnsi"/>
          <w:szCs w:val="22"/>
        </w:rPr>
        <w:t> - (Please contact RSA for any questions or accessible version.)</w:t>
      </w:r>
    </w:p>
    <w:p w14:paraId="72DCC724" w14:textId="77777777" w:rsidR="00FC51B7" w:rsidRPr="00031AC7" w:rsidRDefault="00FC51B7" w:rsidP="00C575C8">
      <w:pPr>
        <w:pStyle w:val="NormalWeb"/>
        <w:numPr>
          <w:ilvl w:val="0"/>
          <w:numId w:val="26"/>
        </w:numPr>
        <w:spacing w:after="80"/>
        <w:rPr>
          <w:rFonts w:cstheme="minorHAnsi"/>
          <w:b/>
          <w:bCs/>
          <w:szCs w:val="22"/>
        </w:rPr>
      </w:pPr>
      <w:bookmarkStart w:id="86" w:name="labor"/>
      <w:bookmarkEnd w:id="86"/>
      <w:r w:rsidRPr="00031AC7">
        <w:rPr>
          <w:rFonts w:cstheme="minorHAnsi"/>
          <w:b/>
          <w:bCs/>
          <w:szCs w:val="22"/>
        </w:rPr>
        <w:t>Department of Labor CPM Resources</w:t>
      </w:r>
    </w:p>
    <w:p w14:paraId="1AD0B527" w14:textId="77777777" w:rsidR="00FC51B7" w:rsidRPr="00855E02" w:rsidRDefault="00FC51B7" w:rsidP="00C575C8">
      <w:pPr>
        <w:pStyle w:val="NormalWeb"/>
        <w:numPr>
          <w:ilvl w:val="1"/>
          <w:numId w:val="26"/>
        </w:numPr>
        <w:spacing w:after="240"/>
        <w:rPr>
          <w:rFonts w:cstheme="minorHAnsi"/>
          <w:szCs w:val="22"/>
        </w:rPr>
      </w:pPr>
      <w:r w:rsidRPr="00855E02">
        <w:rPr>
          <w:rFonts w:cstheme="minorHAnsi"/>
          <w:b/>
          <w:bCs/>
          <w:szCs w:val="22"/>
        </w:rPr>
        <w:t>Performance Accountability System</w:t>
      </w:r>
      <w:r w:rsidRPr="00AC6E19">
        <w:rPr>
          <w:rFonts w:cstheme="minorHAnsi"/>
          <w:szCs w:val="22"/>
        </w:rPr>
        <w:t xml:space="preserve"> - </w:t>
      </w:r>
      <w:r>
        <w:rPr>
          <w:rFonts w:cstheme="minorHAnsi"/>
          <w:szCs w:val="22"/>
        </w:rPr>
        <w:br/>
      </w:r>
      <w:r w:rsidRPr="00AC6E19">
        <w:rPr>
          <w:rFonts w:cstheme="minorHAnsi"/>
          <w:szCs w:val="22"/>
        </w:rPr>
        <w:t>The U.S. Departments of Labor and Education have collaboratively issued Workforce Innovation and Opportunity Act (WIOA) provisions related to performance accountability. Through the Employment and Training Administration (ETA), </w:t>
      </w:r>
      <w:hyperlink r:id="rId203" w:tgtFrame="_blank" w:history="1">
        <w:r w:rsidRPr="00AC6E19">
          <w:rPr>
            <w:rStyle w:val="Hyperlink"/>
            <w:rFonts w:cstheme="minorHAnsi"/>
            <w:szCs w:val="22"/>
          </w:rPr>
          <w:t>Common Performance Reporting</w:t>
        </w:r>
      </w:hyperlink>
      <w:r w:rsidRPr="00AC6E19">
        <w:rPr>
          <w:rFonts w:cstheme="minorHAnsi"/>
          <w:szCs w:val="22"/>
        </w:rPr>
        <w:t xml:space="preserve"> guidance has been posted. </w:t>
      </w:r>
      <w:r>
        <w:rPr>
          <w:rFonts w:cstheme="minorHAnsi"/>
          <w:szCs w:val="22"/>
        </w:rPr>
        <w:br/>
      </w:r>
      <w:r w:rsidRPr="00855E02">
        <w:rPr>
          <w:rFonts w:cstheme="minorHAnsi"/>
          <w:szCs w:val="22"/>
        </w:rPr>
        <w:t>Additional resources to assist in the understanding of how performance is measured, reported, and evaluated may be found at </w:t>
      </w:r>
      <w:hyperlink r:id="rId204" w:tgtFrame="_blank" w:history="1">
        <w:r w:rsidRPr="00855E02">
          <w:rPr>
            <w:rStyle w:val="Hyperlink"/>
            <w:rFonts w:cstheme="minorHAnsi"/>
            <w:szCs w:val="22"/>
          </w:rPr>
          <w:t>ETA's Performance and Results Website</w:t>
        </w:r>
      </w:hyperlink>
      <w:r w:rsidRPr="00855E02">
        <w:rPr>
          <w:rFonts w:cstheme="minorHAnsi"/>
          <w:szCs w:val="22"/>
        </w:rPr>
        <w:t>.</w:t>
      </w:r>
    </w:p>
    <w:p w14:paraId="53C2636C" w14:textId="77777777" w:rsidR="00FC51B7" w:rsidRPr="00893463" w:rsidRDefault="00FC51B7" w:rsidP="00C575C8">
      <w:pPr>
        <w:pStyle w:val="NormalWeb"/>
        <w:numPr>
          <w:ilvl w:val="1"/>
          <w:numId w:val="26"/>
        </w:numPr>
        <w:spacing w:after="240"/>
        <w:rPr>
          <w:rFonts w:cstheme="minorHAnsi"/>
          <w:szCs w:val="22"/>
        </w:rPr>
      </w:pPr>
      <w:r w:rsidRPr="00855E02">
        <w:rPr>
          <w:rFonts w:cstheme="minorHAnsi"/>
          <w:b/>
          <w:bCs/>
          <w:szCs w:val="22"/>
        </w:rPr>
        <w:t>2017 WIOA National Labor Convenings' Performance Accountability Track Presentations</w:t>
      </w:r>
      <w:r>
        <w:rPr>
          <w:rFonts w:cstheme="minorHAnsi"/>
          <w:szCs w:val="22"/>
        </w:rPr>
        <w:br/>
      </w:r>
      <w:r w:rsidRPr="00893463">
        <w:rPr>
          <w:rFonts w:cstheme="minorHAnsi"/>
          <w:szCs w:val="22"/>
        </w:rPr>
        <w:t xml:space="preserve">Workforce GPS has posted the presentations from the 2017 WIOA National Convenings. One of the tracks for the three convening meetings is Performance Accountability. RSA participated jointly in many presentations during the convenings. The </w:t>
      </w:r>
      <w:hyperlink r:id="rId205" w:tgtFrame="_blank" w:history="1">
        <w:r w:rsidRPr="00893463">
          <w:rPr>
            <w:rStyle w:val="Hyperlink"/>
            <w:rFonts w:cstheme="minorHAnsi"/>
            <w:szCs w:val="22"/>
          </w:rPr>
          <w:t>Performance Accountability Track Presentations</w:t>
        </w:r>
      </w:hyperlink>
      <w:r w:rsidRPr="00893463">
        <w:rPr>
          <w:rFonts w:cstheme="minorHAnsi"/>
          <w:szCs w:val="22"/>
        </w:rPr>
        <w:t xml:space="preserve"> include six sessions that may be of interest to State VR Agencies:</w:t>
      </w:r>
    </w:p>
    <w:p w14:paraId="636D004C" w14:textId="77777777" w:rsidR="00FC51B7" w:rsidRDefault="00FC51B7" w:rsidP="00C575C8">
      <w:pPr>
        <w:pStyle w:val="NormalWeb"/>
        <w:numPr>
          <w:ilvl w:val="1"/>
          <w:numId w:val="26"/>
        </w:numPr>
        <w:spacing w:after="240"/>
        <w:rPr>
          <w:rFonts w:cstheme="minorHAnsi"/>
          <w:szCs w:val="22"/>
        </w:rPr>
      </w:pPr>
      <w:r w:rsidRPr="00855E02">
        <w:rPr>
          <w:rFonts w:cstheme="minorHAnsi"/>
          <w:b/>
          <w:bCs/>
          <w:szCs w:val="22"/>
        </w:rPr>
        <w:t>Statistical Adjustment Model</w:t>
      </w:r>
      <w:r>
        <w:rPr>
          <w:rFonts w:cstheme="minorHAnsi"/>
          <w:szCs w:val="22"/>
        </w:rPr>
        <w:br/>
      </w:r>
      <w:r w:rsidRPr="00AC6E19">
        <w:rPr>
          <w:rFonts w:cstheme="minorHAnsi"/>
          <w:szCs w:val="22"/>
        </w:rPr>
        <w:t xml:space="preserve">During the baseline reporting years for State Vocational Rehabilitation Agencies, guidance regarding the Statistical Adjustment Model will be published by RSA. Until that time, SAM information is located at </w:t>
      </w:r>
      <w:hyperlink r:id="rId206" w:tgtFrame="_blank" w:history="1">
        <w:r w:rsidRPr="00AC6E19">
          <w:rPr>
            <w:rStyle w:val="Hyperlink"/>
            <w:rFonts w:cstheme="minorHAnsi"/>
            <w:szCs w:val="22"/>
          </w:rPr>
          <w:t>Department of Labor’s Employment and Training &amp; Administration website</w:t>
        </w:r>
      </w:hyperlink>
      <w:r w:rsidRPr="00AC6E19">
        <w:rPr>
          <w:rFonts w:cstheme="minorHAnsi"/>
          <w:szCs w:val="22"/>
        </w:rPr>
        <w:t xml:space="preserve">. </w:t>
      </w:r>
    </w:p>
    <w:p w14:paraId="67B14A2F" w14:textId="77777777" w:rsidR="00FC51B7" w:rsidRDefault="00FC51B7" w:rsidP="00FC51B7">
      <w:pPr>
        <w:rPr>
          <w:rFonts w:eastAsia="Times New Roman" w:cstheme="minorHAnsi"/>
          <w:b/>
          <w:bCs/>
        </w:rPr>
      </w:pPr>
      <w:r>
        <w:rPr>
          <w:rFonts w:cstheme="minorHAnsi"/>
          <w:b/>
          <w:bCs/>
        </w:rPr>
        <w:br w:type="page"/>
      </w:r>
    </w:p>
    <w:p w14:paraId="1777E077" w14:textId="51774D4F" w:rsidR="00FC51B7" w:rsidRPr="004B327C" w:rsidRDefault="00FC51B7" w:rsidP="00FC51B7">
      <w:pPr>
        <w:pStyle w:val="Heading2"/>
        <w:rPr>
          <w:szCs w:val="36"/>
        </w:rPr>
      </w:pPr>
      <w:bookmarkStart w:id="87" w:name="_Toc41940227"/>
      <w:r>
        <w:rPr>
          <w:szCs w:val="36"/>
        </w:rPr>
        <w:lastRenderedPageBreak/>
        <w:t>CPMs</w:t>
      </w:r>
      <w:r w:rsidRPr="004B327C">
        <w:rPr>
          <w:szCs w:val="36"/>
        </w:rPr>
        <w:t xml:space="preserve"> ITAs: </w:t>
      </w:r>
      <w:r w:rsidR="006169BB" w:rsidRPr="004B327C">
        <w:rPr>
          <w:szCs w:val="36"/>
        </w:rPr>
        <w:t>Progress Narrative</w:t>
      </w:r>
      <w:bookmarkEnd w:id="87"/>
    </w:p>
    <w:p w14:paraId="6CEB0494" w14:textId="77777777" w:rsidR="00FC51B7" w:rsidRPr="00A23C46" w:rsidRDefault="00FC51B7" w:rsidP="0067196C">
      <w:pPr>
        <w:pStyle w:val="Heading3"/>
      </w:pPr>
      <w:bookmarkStart w:id="88" w:name="_Toc41940228"/>
      <w:r w:rsidRPr="00FC51B7">
        <w:t>National</w:t>
      </w:r>
      <w:r w:rsidRPr="00A23C46">
        <w:t xml:space="preserve"> Lens</w:t>
      </w:r>
      <w:bookmarkEnd w:id="88"/>
    </w:p>
    <w:p w14:paraId="0F1B8952" w14:textId="77777777" w:rsidR="00FC51B7" w:rsidRPr="00E362BC" w:rsidRDefault="00FC51B7" w:rsidP="00FC51B7">
      <w:r>
        <w:t>Effective data reporting is key to determining program outcomes and impacts, as has been recognized and noted by federal agencies when discussing examination of new federal programs and mandates (USDOL OIG, 2017), allowing for more specific analyses of program elements’ efficacy and concomitantly improving how performance incentive systems are designed and implemented (Heinrich, 2018</w:t>
      </w:r>
      <w:r w:rsidRPr="00EA515A">
        <w:t>).  Reviews of performance reporting provide insight into the state of data exchange, the early experiences of SVRAs and partners and how they shaped WINTAC’s TA approach.  Shortly after the passage of WIOA, the GAO submitted</w:t>
      </w:r>
      <w:r>
        <w:t xml:space="preserve"> a report to Congress examining then current levels of performance reporting for core programs, data systems in place, and the status of federal interagency agreements for data exchange (GAO, 2015).  This “audit” covered February 2015 to September 2015 and involved interviews with federal staff in the Departments of Labor, Education, Inspector General, and state agencies, as well as document and data reviews.  They reviewed the federal data exchange systems that are available, and in which some states participate to facilitate data gathering, but note that staff turnover and resource constraints still serve as barriers to full or consistent participation (GAO).  In addition, previously reported challenges to performance reporting leading to inconsistent or invalid data were expected to continue as long as federal agency guidance for definitions of data elements maintained flexibility.  </w:t>
      </w:r>
      <w:r w:rsidRPr="00E362BC">
        <w:t xml:space="preserve">Resource intensity was also noted as a challenge to collecting credential attainment data </w:t>
      </w:r>
      <w:r w:rsidRPr="00E362BC">
        <w:rPr>
          <w:i/>
        </w:rPr>
        <w:t xml:space="preserve">(WINTAC’s SARA pilots are examining an innovative and effective solution to this challenge.  </w:t>
      </w:r>
      <w:r w:rsidRPr="00FC51B7">
        <w:rPr>
          <w:i/>
        </w:rPr>
        <w:t>See Chapter G</w:t>
      </w:r>
      <w:r w:rsidRPr="00E362BC">
        <w:rPr>
          <w:i/>
        </w:rPr>
        <w:t>).</w:t>
      </w:r>
      <w:r w:rsidRPr="00E362BC">
        <w:t xml:space="preserve">  </w:t>
      </w:r>
    </w:p>
    <w:p w14:paraId="2E6FC377" w14:textId="77777777" w:rsidR="00FC51B7" w:rsidRDefault="00FC51B7" w:rsidP="00FC51B7">
      <w:r w:rsidRPr="00E362BC">
        <w:t>Also noted were challenges related</w:t>
      </w:r>
      <w:r>
        <w:t xml:space="preserve"> to data sharing agreements and matching processes between agencies due to WIOA’s new requirements for all core </w:t>
      </w:r>
      <w:r w:rsidRPr="00EA515A">
        <w:t>programs to report post</w:t>
      </w:r>
      <w:r w:rsidRPr="000A1D46">
        <w:t xml:space="preserve">-exit employment and earnings.  The report points out that WINTAC VR clients did not previously have as many challenges due to ongoing contact with clients and employers until employment outcomes were reached, thus new post-exit data requirements would be a new challenge for them. </w:t>
      </w:r>
      <w:r>
        <w:rPr>
          <w:i/>
        </w:rPr>
        <w:t>(S</w:t>
      </w:r>
      <w:r w:rsidRPr="00A75344">
        <w:rPr>
          <w:i/>
        </w:rPr>
        <w:t xml:space="preserve">ee </w:t>
      </w:r>
      <w:r>
        <w:rPr>
          <w:i/>
        </w:rPr>
        <w:t xml:space="preserve">below </w:t>
      </w:r>
      <w:r w:rsidRPr="00A75344">
        <w:rPr>
          <w:i/>
        </w:rPr>
        <w:t>for discussion of WINTAC TA meeting VR needs in this area.)</w:t>
      </w:r>
      <w:r>
        <w:t xml:space="preserve">  A lack of relationships between core programs at the state level, as well as legacy privacy laws and aging data systems, were also reported and anticipated to provide challenges with data sharing – particularly given the resource constraints agencies have </w:t>
      </w:r>
      <w:r w:rsidRPr="00BF7CD9">
        <w:t xml:space="preserve">and the short time between issuance of final regulations and mandates going into effect.  </w:t>
      </w:r>
      <w:r w:rsidRPr="00BF7CD9">
        <w:rPr>
          <w:i/>
        </w:rPr>
        <w:t>(Again, see Chapter D on Integration-related TA from WINTAC that discusses WINTAC work addressing these issues</w:t>
      </w:r>
      <w:r w:rsidRPr="00A11B9D">
        <w:rPr>
          <w:i/>
        </w:rPr>
        <w:t xml:space="preserve"> faced by SVRAs as they work to comply with WIOA mandates.)</w:t>
      </w:r>
      <w:r>
        <w:t xml:space="preserve">  </w:t>
      </w:r>
    </w:p>
    <w:p w14:paraId="10AA7A4F" w14:textId="77777777" w:rsidR="00FC51B7" w:rsidRPr="00220867" w:rsidRDefault="00FC51B7" w:rsidP="0067196C">
      <w:pPr>
        <w:pStyle w:val="Heading3"/>
      </w:pPr>
      <w:bookmarkStart w:id="89" w:name="_Toc41940229"/>
      <w:r w:rsidRPr="00220867">
        <w:t xml:space="preserve">WINTAC </w:t>
      </w:r>
      <w:r w:rsidRPr="00FC51B7">
        <w:t>Lens</w:t>
      </w:r>
      <w:bookmarkEnd w:id="89"/>
    </w:p>
    <w:p w14:paraId="7722E683" w14:textId="77777777" w:rsidR="00FC51B7" w:rsidRDefault="00FC51B7" w:rsidP="00FC51B7">
      <w:r>
        <w:t xml:space="preserve">CPMs is WINTAC’s second most in-demand subject area in terms of ITAAs, as demonstrated by the high number (33, one more than at the end of Year 4) of formal intensive technical assistance agreements (ITAAs) in place.  These ITAAs draw from a menu of activities identified in the logic model, which each have an associated output and contribute to a set of defined short-term outcomes expected to be achieved within this funding cycle.  </w:t>
      </w:r>
    </w:p>
    <w:p w14:paraId="10F22A2D" w14:textId="3EFC070A" w:rsidR="00FC51B7" w:rsidRDefault="00FC51B7" w:rsidP="00FC51B7">
      <w:pPr>
        <w:rPr>
          <w:szCs w:val="14"/>
        </w:rPr>
      </w:pPr>
      <w:r w:rsidRPr="00533653">
        <w:rPr>
          <w:b/>
          <w:bCs/>
          <w:i/>
          <w:iCs/>
          <w:szCs w:val="14"/>
          <w:u w:val="single"/>
        </w:rPr>
        <w:t>TA Progress</w:t>
      </w:r>
      <w:r>
        <w:rPr>
          <w:b/>
          <w:bCs/>
          <w:i/>
          <w:iCs/>
          <w:szCs w:val="14"/>
          <w:u w:val="single"/>
        </w:rPr>
        <w:t>: Activities and Outputs</w:t>
      </w:r>
      <w:r w:rsidRPr="00533653">
        <w:rPr>
          <w:b/>
          <w:bCs/>
          <w:i/>
          <w:iCs/>
          <w:szCs w:val="14"/>
          <w:u w:val="single"/>
        </w:rPr>
        <w:t>.</w:t>
      </w:r>
      <w:r>
        <w:rPr>
          <w:szCs w:val="14"/>
        </w:rPr>
        <w:t xml:space="preserve">  Looking at the first dashboard (the rainbow activities progress chart) for the topic area of CPMs (first dashboard), we see that across 137 activities articulated in ITAAs, half (49%) are complete (compared to a third (33%) at the end of Year 4) with another 10% </w:t>
      </w:r>
      <w:r>
        <w:rPr>
          <w:szCs w:val="14"/>
        </w:rPr>
        <w:lastRenderedPageBreak/>
        <w:t xml:space="preserve">nearing or having reached completion (representing a completion rate of 75% or  more).  Less than a fifth have not yet started.  Below that activity progress bar, using “thermometer charts,” the progress rate is broken out by specific activity with the linked outputs’ progress rates provided side-by-side.  </w:t>
      </w:r>
    </w:p>
    <w:p w14:paraId="3548BA1E" w14:textId="70A682FD" w:rsidR="00FC51B7" w:rsidRDefault="00FC51B7" w:rsidP="00FC51B7">
      <w:pPr>
        <w:rPr>
          <w:szCs w:val="14"/>
        </w:rPr>
      </w:pPr>
      <w:r>
        <w:rPr>
          <w:szCs w:val="14"/>
        </w:rPr>
        <w:t>Although understanding the agencies capacity (or incapacity – see notes below from the Year 4 Annual Evaluation Report on challenges and recommendations) is an important first step and training the agency on CPM and 911 definitions and requirements (activity six – also largely complete) is critical, the remaining activities regarding policies, procedures, internal controls, and developing aligned work performance standards remaining mostly incomplete.  These differential p</w:t>
      </w:r>
      <w:r w:rsidRPr="005E199E">
        <w:t xml:space="preserve">rogress rates </w:t>
      </w:r>
      <w:r>
        <w:t>have been identified by the TA Team as being due to</w:t>
      </w:r>
      <w:r w:rsidRPr="005E199E">
        <w:t xml:space="preserve"> the SVRAs’ focus on meeting reporting requirements and expectations mandated under WIOA</w:t>
      </w:r>
      <w:r>
        <w:t xml:space="preserve"> to complete reports.  But, as noted below, though outcomes related to timely reporting are being met, accuracy remains a next step to be taken and addressing policies, practices, standards, and controls would facilitate this.</w:t>
      </w:r>
      <w:r>
        <w:rPr>
          <w:szCs w:val="14"/>
        </w:rPr>
        <w:t xml:space="preserve"> These systems changes, built to accommodate updated regulations, will ensure improve reporting accuracy and facilitate use of data to improve program performance, and thus, client outcomes.</w:t>
      </w:r>
    </w:p>
    <w:p w14:paraId="4218EC76" w14:textId="7BD9CC3C" w:rsidR="00FC51B7" w:rsidRPr="00E97FFD" w:rsidRDefault="00FC51B7" w:rsidP="00FC51B7">
      <w:pPr>
        <w:rPr>
          <w:szCs w:val="14"/>
        </w:rPr>
      </w:pPr>
      <w:r w:rsidRPr="003D0953">
        <w:rPr>
          <w:b/>
          <w:bCs/>
          <w:i/>
          <w:iCs/>
          <w:szCs w:val="14"/>
          <w:u w:val="single"/>
        </w:rPr>
        <w:t>TA Progress: Outcomes.</w:t>
      </w:r>
      <w:r>
        <w:rPr>
          <w:szCs w:val="14"/>
        </w:rPr>
        <w:t xml:space="preserve">  All ITAA agencies are successfully submitting their common performance measure reports, an important outcome and requirement for SVRAs.  The next set of steps with agencie will be to address accuracy of the data submitted.  Both intensive TA and targeted TA around CPMs requires more time and resources than the TA Team often has, but a Community of Practice developed for addressing issues around Internal Controls was developed (involving 15 ITAA states) and may be a strategy for other sub-topics.  As one of the areas of evolving implementation guidance, the CPM team has found (similar to the Pre-ETS Team) that one is never really “finished” providing TA as the shifting contours of regulations may mean that SVRAs have to retool their approaches to meeting mandates and need support doing so.  Fortunately, the CPM Team’s close working relationship with RSA facilitates rollouts of supportive resources and tools that meet SVRA needs.  Increased Targeted TA work, including weekly calls with many ITAA states and other SVRAs has also increased workload, but facilitated meeting needs.</w:t>
      </w:r>
    </w:p>
    <w:p w14:paraId="5D08E7C1" w14:textId="0D6BCE66" w:rsidR="00FC51B7" w:rsidRDefault="00FC51B7" w:rsidP="00FC51B7">
      <w:r w:rsidRPr="003D0953">
        <w:rPr>
          <w:b/>
          <w:bCs/>
          <w:i/>
          <w:iCs/>
          <w:szCs w:val="14"/>
          <w:u w:val="single"/>
        </w:rPr>
        <w:t>Covid-19 Impacts.</w:t>
      </w:r>
      <w:r>
        <w:rPr>
          <w:szCs w:val="14"/>
        </w:rPr>
        <w:t xml:space="preserve">  </w:t>
      </w:r>
      <w:r w:rsidRPr="0022183F">
        <w:rPr>
          <w:rFonts w:eastAsia="Times New Roman" w:cstheme="minorHAnsi"/>
        </w:rPr>
        <w:t xml:space="preserve">Examining traffic to the CPMs’ Resources page, we see </w:t>
      </w:r>
      <w:r w:rsidRPr="0022183F">
        <w:t xml:space="preserve">2,521 Page Views &amp; 441 Entrances for Year 5 thus far.  </w:t>
      </w:r>
      <w:r>
        <w:t>Unlike some other resource pages which saw spikes in March when the pandemic led to shutdowns around the country, traffic to this page has stayed fairly steady and demonstrated robust usage.</w:t>
      </w:r>
    </w:p>
    <w:p w14:paraId="39AFADF5" w14:textId="77777777" w:rsidR="00FC51B7" w:rsidRPr="005B301A" w:rsidRDefault="00FC51B7" w:rsidP="00FC51B7">
      <w:pPr>
        <w:rPr>
          <w:szCs w:val="14"/>
        </w:rPr>
      </w:pPr>
      <w:r w:rsidRPr="003D0953">
        <w:rPr>
          <w:b/>
          <w:bCs/>
          <w:i/>
          <w:iCs/>
          <w:szCs w:val="14"/>
          <w:u w:val="single"/>
        </w:rPr>
        <w:t>Sustainability.</w:t>
      </w:r>
      <w:r>
        <w:rPr>
          <w:szCs w:val="14"/>
        </w:rPr>
        <w:t xml:space="preserve">  A significant challenge to effective CPM reporting and use of performance measure data is the robustness of an agency’s case management system (CMS).  Some SVRAs are using “home-grown” systems and some do not have any and still maintain paper records.  In addition, as the contours of regulations become apparent and/or shift, a CMS often has to be updated, the data migration and reporting functions have to be updated, operational procedures need to be changed, and staff training has to be conducted to allow them to use the changed systems.  A discussion group has begun to discuss CMS issues and will continue quarterly and should facilitate learning between peers, supported by the TA Team, to improve processes and mitigate this barrier for agencies that cannot readily invest in an entirely new system.  </w:t>
      </w:r>
      <w:r w:rsidRPr="00A80A19">
        <w:rPr>
          <w:szCs w:val="14"/>
        </w:rPr>
        <w:t>RSA has begun its ReThink Initiative</w:t>
      </w:r>
      <w:r>
        <w:rPr>
          <w:szCs w:val="14"/>
        </w:rPr>
        <w:t xml:space="preserve">, a workgroup that includes representatives from SVRAs, RSA, CSAVR and NCSAB, as well as WINTAC’s CPM TA Team member.  The group has a goal of identifying how to use data to tell the success story of the VR program and identify areas needing ongoing evaluation.  They will do this in part through the provision of tools and </w:t>
      </w:r>
      <w:r>
        <w:rPr>
          <w:szCs w:val="14"/>
        </w:rPr>
        <w:lastRenderedPageBreak/>
        <w:t xml:space="preserve">information disseminated to SVRAs so they may use performance data being collected under the auspices of CPMs.  The WINTAC TA Team has worked with RSA to develop tools and resources that support SVRAs, for example as they undergo performance reviews. </w:t>
      </w:r>
    </w:p>
    <w:p w14:paraId="23B1577D" w14:textId="77777777" w:rsidR="00FC51B7" w:rsidRDefault="00FC51B7" w:rsidP="00FC51B7">
      <w:pPr>
        <w:rPr>
          <w:szCs w:val="14"/>
        </w:rPr>
      </w:pPr>
      <w:r w:rsidRPr="005B301A">
        <w:rPr>
          <w:rFonts w:cstheme="minorHAnsi"/>
          <w:b/>
          <w:bCs/>
          <w:i/>
          <w:iCs/>
          <w:color w:val="C00000"/>
        </w:rPr>
        <w:t>“Challenges Overcome,” “Changes Made,” and “Evaluation Recommendations” will be updated as part of the Year 5 Annual Evaluation Report.  But important findings presented in the Year 4 Annual Evaluation Report (2 quarters ago) are reproduced below for ease of reference and context as to the significant and valuable work that has been done by the CPM TA Team</w:t>
      </w:r>
      <w:r w:rsidRPr="0051522B">
        <w:rPr>
          <w:rFonts w:cstheme="minorHAnsi"/>
          <w:b/>
          <w:bCs/>
          <w:i/>
          <w:iCs/>
          <w:color w:val="C00000"/>
        </w:rPr>
        <w:t>.</w:t>
      </w:r>
    </w:p>
    <w:p w14:paraId="657614D3" w14:textId="0502CFA9" w:rsidR="00FC51B7" w:rsidRPr="00D43F44" w:rsidRDefault="00FC51B7" w:rsidP="00FC51B7">
      <w:pPr>
        <w:rPr>
          <w:rFonts w:cstheme="minorHAnsi"/>
        </w:rPr>
      </w:pPr>
      <w:r w:rsidRPr="00662F12">
        <w:rPr>
          <w:b/>
          <w:bCs/>
          <w:i/>
          <w:iCs/>
          <w:u w:val="single"/>
        </w:rPr>
        <w:t>Challenges Overcome.</w:t>
      </w:r>
      <w:r>
        <w:rPr>
          <w:i/>
          <w:iCs/>
        </w:rPr>
        <w:t xml:space="preserve"> </w:t>
      </w:r>
      <w:r w:rsidRPr="00662F12">
        <w:t xml:space="preserve"> </w:t>
      </w:r>
      <w:r>
        <w:t>Similar to the Pre-ETS area, the CPMs sections of WIOA require SVRAs to implement new internal systems for tracking and reporting data related to performance and to provide new types of services.  These requirements meant SVRAs had to implement all new processes, train  staff, establish targets, and originate or renegotiate partnerships with other state actors to support their activites.  The CPM team has been working with states on all of these activities and states are beginning to report performance measures more completely and accurately.  Many of the states report significant challenges in this effort stemming from a non-existent, antiquated, or difficult data and case management system not built for these purposes.</w:t>
      </w:r>
      <w:r w:rsidRPr="00D43F44">
        <w:rPr>
          <w:rFonts w:cstheme="minorHAnsi"/>
        </w:rPr>
        <w:t xml:space="preserve">  </w:t>
      </w:r>
      <w:r>
        <w:rPr>
          <w:rFonts w:cstheme="minorHAnsi"/>
        </w:rPr>
        <w:t>The CPM team has worked with states using paper-and-pencil systems, to contemporary computerized systems, to implement customized solutions that help them transition to meet reporting requirements.  Though these challenges have been dealt with to ensure reporting can take place, they remain an area that merits ongoing attention and long-term solutions.  Similarly, states have consistently been challenged by significant turnover at leadership and staff levels, impacting the CPM team’s work and requiring them to re-engage on the same issues repeatedly.  This requires a significantly high volume of work for the CPM team conducting question-and-answer style, virtual TA.  The team has noted a need for additional resources to support further work with the states.</w:t>
      </w:r>
    </w:p>
    <w:p w14:paraId="7E09C840" w14:textId="07C75489" w:rsidR="00FC51B7" w:rsidRDefault="00FC51B7" w:rsidP="00FC51B7">
      <w:pPr>
        <w:rPr>
          <w:rFonts w:cstheme="minorHAnsi"/>
        </w:rPr>
      </w:pPr>
      <w:r>
        <w:rPr>
          <w:rFonts w:cstheme="minorHAnsi"/>
          <w:b/>
          <w:bCs/>
          <w:i/>
          <w:iCs/>
          <w:u w:val="single"/>
        </w:rPr>
        <w:t>Changes Made</w:t>
      </w:r>
      <w:r w:rsidRPr="00D43F44">
        <w:rPr>
          <w:rFonts w:cstheme="minorHAnsi"/>
          <w:i/>
          <w:iCs/>
        </w:rPr>
        <w:t>.</w:t>
      </w:r>
      <w:r w:rsidRPr="00AD7B12">
        <w:rPr>
          <w:rFonts w:cstheme="minorHAnsi"/>
        </w:rPr>
        <w:t xml:space="preserve">  </w:t>
      </w:r>
      <w:r>
        <w:rPr>
          <w:rFonts w:cstheme="minorHAnsi"/>
        </w:rPr>
        <w:t xml:space="preserve">Outcomes as defined reflect completing quarterly and annual reporting and doing so accurately, collecting baselines, and comparing performance to targets that were set.  Though these are reported according to their relative state of completion (depending on the state and timeframe), actual performance measure data and numbers are lacking.  As states move towards reporting, capturing this data as part of the ITAA tracking will allow for an analysis of change over time successfully improving accuracy, meeting goals, and provide a snapshot of a considerable portion of the nation’s performance as reflected in the CPMs.  (See for example Pre-ETS quarter 4 snapshot infographic presenting national numbers on outcomes).  </w:t>
      </w:r>
    </w:p>
    <w:p w14:paraId="58544B24" w14:textId="50AFEA96" w:rsidR="00FC51B7" w:rsidRDefault="00FC51B7" w:rsidP="00FC51B7">
      <w:pPr>
        <w:rPr>
          <w:rFonts w:cstheme="minorHAnsi"/>
        </w:rPr>
      </w:pPr>
      <w:r>
        <w:rPr>
          <w:rFonts w:cstheme="minorHAnsi"/>
        </w:rPr>
        <w:t xml:space="preserve">As detailed in the state narratives, the transition to systematically gathering and reporting data according to the CPMs has allowed the states to examine the impacts of their services and use that information as they set policies, plan services, and manage their infrastructure and resources.  The CPM team has supported several agencies in analyzing their own data and understanding how to use the information.  Though the narratives describe this engagement with states, information about what that has looked like in each state is lacking, limiting the understanding of the impact and changes that have resulted in these agencies.  </w:t>
      </w:r>
    </w:p>
    <w:p w14:paraId="34D382B7" w14:textId="6C4FE924" w:rsidR="00FC51B7" w:rsidRDefault="00FC51B7" w:rsidP="00FC51B7">
      <w:pPr>
        <w:rPr>
          <w:rFonts w:cstheme="minorHAnsi"/>
        </w:rPr>
      </w:pPr>
      <w:r>
        <w:rPr>
          <w:rFonts w:cstheme="minorHAnsi"/>
        </w:rPr>
        <w:t xml:space="preserve">In other notable impacts, it is important to connect the work of this team to the successes of agencies in the area of Pre-ETS.  With teamwork involving agencies, the Pre-ETS TA Team, the CPM TA Team (and RSA), agencies have been able to access data regarding performance and understand their work better in multiple areas.  As noted in the Pre-ETS chapter, the </w:t>
      </w:r>
      <w:r w:rsidRPr="00D43F44">
        <w:rPr>
          <w:rFonts w:cstheme="minorHAnsi"/>
        </w:rPr>
        <w:t>requirements</w:t>
      </w:r>
      <w:r>
        <w:rPr>
          <w:rFonts w:cstheme="minorHAnsi"/>
        </w:rPr>
        <w:t xml:space="preserve"> to</w:t>
      </w:r>
      <w:r w:rsidRPr="00D43F44">
        <w:rPr>
          <w:rFonts w:cstheme="minorHAnsi"/>
        </w:rPr>
        <w:t xml:space="preserve"> track spending on </w:t>
      </w:r>
      <w:r w:rsidRPr="00D43F44">
        <w:rPr>
          <w:rFonts w:cstheme="minorHAnsi"/>
        </w:rPr>
        <w:lastRenderedPageBreak/>
        <w:t>new Pre-ETS services and</w:t>
      </w:r>
      <w:r>
        <w:rPr>
          <w:rFonts w:cstheme="minorHAnsi"/>
        </w:rPr>
        <w:t xml:space="preserve"> the numbers of</w:t>
      </w:r>
      <w:r w:rsidRPr="00D43F44">
        <w:rPr>
          <w:rFonts w:cstheme="minorHAnsi"/>
        </w:rPr>
        <w:t xml:space="preserve"> students served and potentially eligible for services</w:t>
      </w:r>
      <w:r>
        <w:rPr>
          <w:rFonts w:cstheme="minorHAnsi"/>
        </w:rPr>
        <w:t xml:space="preserve"> – as well as the requirements to track performance according to CPMs – will allow for a deeper look at effectiveness of services and </w:t>
      </w:r>
      <w:r w:rsidRPr="00D43F44">
        <w:rPr>
          <w:rFonts w:cstheme="minorHAnsi"/>
        </w:rPr>
        <w:t xml:space="preserve">fiscal analyses of cost for services or per student, and return-on-investment/cost-benefit analyses.  </w:t>
      </w:r>
    </w:p>
    <w:p w14:paraId="314A69C4" w14:textId="77777777" w:rsidR="00FC51B7" w:rsidRDefault="00FC51B7" w:rsidP="00FC51B7">
      <w:pPr>
        <w:rPr>
          <w:rFonts w:cstheme="minorHAnsi"/>
        </w:rPr>
      </w:pPr>
      <w:r>
        <w:rPr>
          <w:rFonts w:cstheme="minorHAnsi"/>
          <w:b/>
          <w:bCs/>
          <w:i/>
          <w:iCs/>
          <w:u w:val="single"/>
        </w:rPr>
        <w:t>Ev</w:t>
      </w:r>
      <w:r w:rsidRPr="00AD2F4E">
        <w:rPr>
          <w:rFonts w:cstheme="minorHAnsi"/>
          <w:b/>
          <w:bCs/>
          <w:i/>
          <w:iCs/>
          <w:u w:val="single"/>
        </w:rPr>
        <w:t>aluation Recommendations.</w:t>
      </w:r>
      <w:r w:rsidRPr="00AD2F4E">
        <w:rPr>
          <w:rFonts w:cstheme="minorHAnsi"/>
        </w:rPr>
        <w:t xml:space="preserve">  </w:t>
      </w:r>
      <w:r>
        <w:rPr>
          <w:rFonts w:cstheme="minorHAnsi"/>
        </w:rPr>
        <w:t>As seen in the dashboards, the CPM team has made considerable progress in initiating and completing two activities that (1) examine agencies’ capacity to meet CPM reporting as required and (2) train them on definitions and responsibilities related to the reporting.  Less advanced are the remaining activities to establish policies, procedures, controls, and staff training.  With one year remaining, the CPM team notes that it will be important to establish priority items for the agency to complete in the limited time.  From an evaluation perspective, this is critical.  Though the entirety of the ITAA can remain in place, a realistic plan and commitment to key activities can ensure key items will be completed to the benefit of the agencies and their clients.  An important challenge that was noted in the narratives for most of the states involved staff turnover and the need to re-review CPM requirements and definitions.  Therefore one possible set of priorities for the next year would be for states to establish the documented guidance through policies, procedures, and on-demand training (recorded webinars, written guides, PowerPoint presentations, etc.) captured by some of the activities in the ITAAs and begun but not yet complete.  As new staff get onboarded, these resources will be in place and available to build their capacity immediately.</w:t>
      </w:r>
    </w:p>
    <w:p w14:paraId="3873562B" w14:textId="1DB04C80" w:rsidR="00FC51B7" w:rsidRPr="0094648D" w:rsidRDefault="00FC51B7" w:rsidP="00FC51B7">
      <w:pPr>
        <w:rPr>
          <w:rFonts w:cstheme="minorHAnsi"/>
        </w:rPr>
      </w:pPr>
      <w:r>
        <w:rPr>
          <w:rFonts w:cstheme="minorHAnsi"/>
        </w:rPr>
        <w:t>In addition, as we move into Year 5, the outcomes being reported as complete will benefit from elaboration and context.  How complete and accurate is CPM reporting?  Are the targets being set conservative or ambitious?  How do the actual numbers on performance measures relate to the context of the agency (size of state, population served, budget) and compare to peers?  In what way are states using data to shift their infrastructure, resource allotment, or service provision?</w:t>
      </w:r>
      <w:r w:rsidR="0048500F" w:rsidRPr="0094648D">
        <w:rPr>
          <w:rFonts w:cstheme="minorHAnsi"/>
        </w:rPr>
        <w:t xml:space="preserve"> </w:t>
      </w:r>
    </w:p>
    <w:p w14:paraId="3310856D" w14:textId="77777777" w:rsidR="00FC51B7" w:rsidRDefault="00FC51B7" w:rsidP="005466F3">
      <w:pPr>
        <w:tabs>
          <w:tab w:val="left" w:pos="360"/>
        </w:tabs>
        <w:rPr>
          <w:rFonts w:cstheme="minorHAnsi"/>
        </w:rPr>
        <w:sectPr w:rsidR="00FC51B7" w:rsidSect="0042504C">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docGrid w:linePitch="360"/>
        </w:sectPr>
      </w:pPr>
    </w:p>
    <w:p w14:paraId="1BDB67DD" w14:textId="77777777" w:rsidR="00FC51B7" w:rsidRPr="00AE2C22" w:rsidRDefault="00FC51B7" w:rsidP="00FC51B7">
      <w:pPr>
        <w:pStyle w:val="Heading1"/>
        <w:ind w:firstLine="0"/>
      </w:pPr>
      <w:bookmarkStart w:id="90" w:name="_Toc41940230"/>
      <w:r>
        <w:lastRenderedPageBreak/>
        <w:t>D</w:t>
      </w:r>
      <w:r w:rsidRPr="009E708E">
        <w:t xml:space="preserve">. </w:t>
      </w:r>
      <w:r w:rsidRPr="00FC51B7">
        <w:t>WORKFORCE</w:t>
      </w:r>
      <w:r>
        <w:t xml:space="preserve"> INTEGRATION</w:t>
      </w:r>
      <w:bookmarkEnd w:id="90"/>
      <w:r>
        <w:t xml:space="preserve"> </w:t>
      </w:r>
    </w:p>
    <w:p w14:paraId="7FC9E0F8" w14:textId="77777777" w:rsidR="00FC51B7" w:rsidRDefault="00FC51B7" w:rsidP="00FC51B7">
      <w:pPr>
        <w:ind w:firstLine="0"/>
        <w:rPr>
          <w:noProof/>
        </w:rPr>
      </w:pPr>
    </w:p>
    <w:p w14:paraId="7EC877B6" w14:textId="77777777" w:rsidR="00FC51B7" w:rsidRDefault="00FC51B7" w:rsidP="00FC51B7">
      <w:pPr>
        <w:ind w:hanging="360"/>
      </w:pPr>
      <w:r>
        <w:rPr>
          <w:noProof/>
          <w:lang w:eastAsia="ko-KR"/>
        </w:rPr>
        <w:drawing>
          <wp:inline distT="0" distB="0" distL="0" distR="0" wp14:anchorId="7B210F4D" wp14:editId="3E550591">
            <wp:extent cx="5943600" cy="4320540"/>
            <wp:effectExtent l="304800" t="304800" r="323850" b="327660"/>
            <wp:docPr id="64" name="Picture 64" descr="Map of the United States depicting states with ITAAs covering workforce integrations, which include: AK, AR, CT, DE, FL, HI, IL,  IA,  LA, ME, MA, MI,  MS, NE, NC, Virg. I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tegration ITAAs Map Y5Q2.png"/>
                    <pic:cNvPicPr/>
                  </pic:nvPicPr>
                  <pic:blipFill>
                    <a:blip r:embed="rId207" cstate="print">
                      <a:extLst>
                        <a:ext uri="{28A0092B-C50C-407E-A947-70E740481C1C}">
                          <a14:useLocalDpi xmlns:a14="http://schemas.microsoft.com/office/drawing/2010/main"/>
                        </a:ext>
                      </a:extLst>
                    </a:blip>
                    <a:stretch>
                      <a:fillRect/>
                    </a:stretch>
                  </pic:blipFill>
                  <pic:spPr>
                    <a:xfrm>
                      <a:off x="0" y="0"/>
                      <a:ext cx="5943600" cy="43205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6BA5776D" w14:textId="77777777" w:rsidR="00FC51B7" w:rsidRDefault="00FC51B7" w:rsidP="00FC51B7"/>
    <w:p w14:paraId="45E3899B" w14:textId="77777777" w:rsidR="00FC51B7" w:rsidRDefault="00FC51B7" w:rsidP="00FC51B7">
      <w:pPr>
        <w:sectPr w:rsidR="00FC51B7" w:rsidSect="00EC24EB">
          <w:headerReference w:type="even" r:id="rId208"/>
          <w:headerReference w:type="default" r:id="rId209"/>
          <w:footerReference w:type="even" r:id="rId210"/>
          <w:footerReference w:type="default" r:id="rId211"/>
          <w:headerReference w:type="first" r:id="rId212"/>
          <w:footerReference w:type="first" r:id="rId213"/>
          <w:pgSz w:w="12240" w:h="15840" w:code="1"/>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cols w:space="720"/>
          <w:vAlign w:val="center"/>
          <w:docGrid w:linePitch="360"/>
        </w:sectPr>
      </w:pPr>
    </w:p>
    <w:p w14:paraId="4522E6A2" w14:textId="77777777" w:rsidR="00FC51B7" w:rsidRPr="00FC51B7" w:rsidRDefault="00FC51B7" w:rsidP="00FC51B7">
      <w:pPr>
        <w:pStyle w:val="Heading2"/>
        <w:shd w:val="clear" w:color="auto" w:fill="8EAADB" w:themeFill="accent1" w:themeFillTint="99"/>
      </w:pPr>
      <w:bookmarkStart w:id="91" w:name="_Toc41940231"/>
      <w:r w:rsidRPr="00FC51B7">
        <w:lastRenderedPageBreak/>
        <w:t>Workforce Integration – ITA Logic Model</w:t>
      </w:r>
      <w:bookmarkEnd w:id="91"/>
    </w:p>
    <w:tbl>
      <w:tblPr>
        <w:tblW w:w="5000" w:type="pct"/>
        <w:tblLook w:val="04A0" w:firstRow="1" w:lastRow="0" w:firstColumn="1" w:lastColumn="0" w:noHBand="0" w:noVBand="1"/>
      </w:tblPr>
      <w:tblGrid>
        <w:gridCol w:w="5395"/>
        <w:gridCol w:w="5395"/>
      </w:tblGrid>
      <w:tr w:rsidR="00FC51B7" w:rsidRPr="00206792" w14:paraId="7D7B8DD6" w14:textId="77777777" w:rsidTr="00C71DBA">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66F6C132" w14:textId="77777777" w:rsidR="00FC51B7" w:rsidRPr="00206792" w:rsidRDefault="00FC51B7" w:rsidP="00FC51B7">
            <w:pPr>
              <w:spacing w:after="0" w:line="240" w:lineRule="auto"/>
              <w:jc w:val="center"/>
              <w:rPr>
                <w:b/>
                <w:bCs/>
                <w:color w:val="000000"/>
              </w:rPr>
            </w:pPr>
            <w:r w:rsidRPr="00206792">
              <w:rPr>
                <w:b/>
                <w:bCs/>
                <w:color w:val="000000"/>
              </w:rPr>
              <w:t>Activity</w:t>
            </w:r>
          </w:p>
        </w:tc>
        <w:tc>
          <w:tcPr>
            <w:tcW w:w="2500"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235E8E08" w14:textId="77777777" w:rsidR="00FC51B7" w:rsidRPr="00206792" w:rsidRDefault="00FC51B7" w:rsidP="00FC51B7">
            <w:pPr>
              <w:spacing w:after="0" w:line="240" w:lineRule="auto"/>
              <w:jc w:val="center"/>
              <w:rPr>
                <w:b/>
                <w:bCs/>
                <w:color w:val="000000"/>
              </w:rPr>
            </w:pPr>
            <w:r w:rsidRPr="00206792">
              <w:rPr>
                <w:b/>
                <w:bCs/>
                <w:color w:val="000000"/>
              </w:rPr>
              <w:t>Output</w:t>
            </w:r>
          </w:p>
        </w:tc>
      </w:tr>
      <w:tr w:rsidR="00FC51B7" w:rsidRPr="00206792" w14:paraId="600118A1" w14:textId="77777777" w:rsidTr="00C71DBA">
        <w:trPr>
          <w:trHeight w:val="20"/>
        </w:trPr>
        <w:tc>
          <w:tcPr>
            <w:tcW w:w="2500" w:type="pct"/>
            <w:tcBorders>
              <w:top w:val="nil"/>
              <w:left w:val="single" w:sz="4" w:space="0" w:color="000000"/>
              <w:bottom w:val="single" w:sz="4" w:space="0" w:color="000000"/>
              <w:right w:val="single" w:sz="4" w:space="0" w:color="000000"/>
            </w:tcBorders>
            <w:shd w:val="clear" w:color="auto" w:fill="auto"/>
            <w:vAlign w:val="center"/>
            <w:hideMark/>
          </w:tcPr>
          <w:p w14:paraId="07FD4F25" w14:textId="77777777" w:rsidR="00FC51B7" w:rsidRPr="00206792" w:rsidRDefault="00FC51B7" w:rsidP="00C575C8">
            <w:pPr>
              <w:pStyle w:val="ListParagraph"/>
              <w:numPr>
                <w:ilvl w:val="0"/>
                <w:numId w:val="34"/>
              </w:numPr>
              <w:spacing w:after="0" w:line="240" w:lineRule="auto"/>
            </w:pPr>
            <w:r w:rsidRPr="00206792">
              <w:rPr>
                <w:color w:val="000000"/>
              </w:rPr>
              <w:t>Assist agency to analyze readiness and capacity to increase integration with the workforce development system</w:t>
            </w:r>
          </w:p>
        </w:tc>
        <w:tc>
          <w:tcPr>
            <w:tcW w:w="2500" w:type="pct"/>
            <w:tcBorders>
              <w:top w:val="nil"/>
              <w:left w:val="nil"/>
              <w:bottom w:val="single" w:sz="4" w:space="0" w:color="000000"/>
              <w:right w:val="single" w:sz="4" w:space="0" w:color="000000"/>
            </w:tcBorders>
            <w:shd w:val="clear" w:color="auto" w:fill="auto"/>
            <w:vAlign w:val="center"/>
            <w:hideMark/>
          </w:tcPr>
          <w:p w14:paraId="1BD1F06C" w14:textId="77777777" w:rsidR="00FC51B7" w:rsidRPr="00206792" w:rsidRDefault="00FC51B7" w:rsidP="00C575C8">
            <w:pPr>
              <w:pStyle w:val="ListParagraph"/>
              <w:numPr>
                <w:ilvl w:val="0"/>
                <w:numId w:val="35"/>
              </w:numPr>
              <w:spacing w:after="0" w:line="240" w:lineRule="auto"/>
              <w:ind w:left="331" w:hanging="331"/>
            </w:pPr>
            <w:r w:rsidRPr="00206792">
              <w:rPr>
                <w:color w:val="000000"/>
              </w:rPr>
              <w:t>A completed readiness and capacity assessment documenting implementation and role challenges and opportunities</w:t>
            </w:r>
          </w:p>
        </w:tc>
      </w:tr>
      <w:tr w:rsidR="00FC51B7" w:rsidRPr="00206792" w14:paraId="055F892D" w14:textId="77777777" w:rsidTr="00C71DBA">
        <w:trPr>
          <w:trHeight w:val="20"/>
        </w:trPr>
        <w:tc>
          <w:tcPr>
            <w:tcW w:w="2500" w:type="pct"/>
            <w:tcBorders>
              <w:top w:val="nil"/>
              <w:left w:val="single" w:sz="4" w:space="0" w:color="000000"/>
              <w:bottom w:val="single" w:sz="4" w:space="0" w:color="000000"/>
              <w:right w:val="single" w:sz="4" w:space="0" w:color="000000"/>
            </w:tcBorders>
            <w:shd w:val="clear" w:color="auto" w:fill="auto"/>
            <w:vAlign w:val="center"/>
            <w:hideMark/>
          </w:tcPr>
          <w:p w14:paraId="251AB793" w14:textId="77777777" w:rsidR="00FC51B7" w:rsidRPr="00206792" w:rsidRDefault="00FC51B7" w:rsidP="00C575C8">
            <w:pPr>
              <w:pStyle w:val="ListParagraph"/>
              <w:numPr>
                <w:ilvl w:val="0"/>
                <w:numId w:val="34"/>
              </w:numPr>
              <w:spacing w:after="0" w:line="240" w:lineRule="auto"/>
            </w:pPr>
            <w:r w:rsidRPr="00206792">
              <w:rPr>
                <w:color w:val="000000"/>
              </w:rPr>
              <w:t>Assist agency in completing WIOA “Are You Ready for Integration?” checklist</w:t>
            </w:r>
          </w:p>
        </w:tc>
        <w:tc>
          <w:tcPr>
            <w:tcW w:w="2500" w:type="pct"/>
            <w:tcBorders>
              <w:top w:val="nil"/>
              <w:left w:val="nil"/>
              <w:bottom w:val="single" w:sz="4" w:space="0" w:color="000000"/>
              <w:right w:val="single" w:sz="4" w:space="0" w:color="000000"/>
            </w:tcBorders>
            <w:shd w:val="clear" w:color="auto" w:fill="auto"/>
            <w:vAlign w:val="center"/>
            <w:hideMark/>
          </w:tcPr>
          <w:p w14:paraId="0D014923" w14:textId="77777777" w:rsidR="00FC51B7" w:rsidRPr="00206792" w:rsidRDefault="00FC51B7" w:rsidP="00C575C8">
            <w:pPr>
              <w:pStyle w:val="ListParagraph"/>
              <w:numPr>
                <w:ilvl w:val="0"/>
                <w:numId w:val="35"/>
              </w:numPr>
              <w:spacing w:after="0" w:line="240" w:lineRule="auto"/>
              <w:ind w:left="340"/>
            </w:pPr>
            <w:r w:rsidRPr="00206792">
              <w:rPr>
                <w:color w:val="000000"/>
              </w:rPr>
              <w:t>Completed Checklist</w:t>
            </w:r>
          </w:p>
        </w:tc>
      </w:tr>
      <w:tr w:rsidR="00FC51B7" w:rsidRPr="00206792" w14:paraId="27170839" w14:textId="77777777" w:rsidTr="00C71DBA">
        <w:trPr>
          <w:trHeight w:val="20"/>
        </w:trPr>
        <w:tc>
          <w:tcPr>
            <w:tcW w:w="2500" w:type="pct"/>
            <w:tcBorders>
              <w:top w:val="nil"/>
              <w:left w:val="single" w:sz="4" w:space="0" w:color="000000"/>
              <w:bottom w:val="single" w:sz="4" w:space="0" w:color="000000"/>
              <w:right w:val="single" w:sz="4" w:space="0" w:color="000000"/>
            </w:tcBorders>
            <w:shd w:val="clear" w:color="auto" w:fill="auto"/>
            <w:vAlign w:val="center"/>
            <w:hideMark/>
          </w:tcPr>
          <w:p w14:paraId="3D1E456F" w14:textId="77777777" w:rsidR="00FC51B7" w:rsidRPr="00206792" w:rsidRDefault="00FC51B7" w:rsidP="00C575C8">
            <w:pPr>
              <w:pStyle w:val="ListParagraph"/>
              <w:numPr>
                <w:ilvl w:val="0"/>
                <w:numId w:val="34"/>
              </w:numPr>
              <w:spacing w:after="0" w:line="240" w:lineRule="auto"/>
            </w:pPr>
            <w:r w:rsidRPr="00206792">
              <w:rPr>
                <w:color w:val="000000"/>
              </w:rPr>
              <w:t>Assist agency in individual agency self-assessments regarding level of workforce system integration</w:t>
            </w:r>
          </w:p>
        </w:tc>
        <w:tc>
          <w:tcPr>
            <w:tcW w:w="2500" w:type="pct"/>
            <w:tcBorders>
              <w:top w:val="nil"/>
              <w:left w:val="nil"/>
              <w:bottom w:val="single" w:sz="4" w:space="0" w:color="000000"/>
              <w:right w:val="single" w:sz="4" w:space="0" w:color="000000"/>
            </w:tcBorders>
            <w:shd w:val="clear" w:color="auto" w:fill="auto"/>
            <w:vAlign w:val="center"/>
            <w:hideMark/>
          </w:tcPr>
          <w:p w14:paraId="4D5A951B" w14:textId="77777777" w:rsidR="00FC51B7" w:rsidRPr="00206792" w:rsidRDefault="00FC51B7" w:rsidP="00C575C8">
            <w:pPr>
              <w:pStyle w:val="ListParagraph"/>
              <w:numPr>
                <w:ilvl w:val="0"/>
                <w:numId w:val="35"/>
              </w:numPr>
              <w:spacing w:after="0" w:line="240" w:lineRule="auto"/>
              <w:ind w:left="340"/>
            </w:pPr>
            <w:r w:rsidRPr="00206792">
              <w:rPr>
                <w:color w:val="000000"/>
              </w:rPr>
              <w:t>Self-assessments conducted, baseline level of integration determined. Integration Continuum Report Provided</w:t>
            </w:r>
          </w:p>
        </w:tc>
      </w:tr>
      <w:tr w:rsidR="00FC51B7" w:rsidRPr="00206792" w14:paraId="1EE6A11A" w14:textId="77777777" w:rsidTr="00C71DBA">
        <w:trPr>
          <w:trHeight w:val="20"/>
        </w:trPr>
        <w:tc>
          <w:tcPr>
            <w:tcW w:w="2500" w:type="pct"/>
            <w:tcBorders>
              <w:top w:val="nil"/>
              <w:left w:val="single" w:sz="4" w:space="0" w:color="000000"/>
              <w:bottom w:val="nil"/>
              <w:right w:val="single" w:sz="4" w:space="0" w:color="000000"/>
            </w:tcBorders>
            <w:shd w:val="clear" w:color="auto" w:fill="auto"/>
            <w:vAlign w:val="center"/>
            <w:hideMark/>
          </w:tcPr>
          <w:p w14:paraId="39A33D43" w14:textId="77777777" w:rsidR="00FC51B7" w:rsidRPr="00206792" w:rsidRDefault="00FC51B7" w:rsidP="00C575C8">
            <w:pPr>
              <w:pStyle w:val="ListParagraph"/>
              <w:numPr>
                <w:ilvl w:val="0"/>
                <w:numId w:val="34"/>
              </w:numPr>
              <w:spacing w:after="0" w:line="240" w:lineRule="auto"/>
            </w:pPr>
            <w:r w:rsidRPr="00206792">
              <w:rPr>
                <w:color w:val="000000"/>
              </w:rPr>
              <w:t>Assist agency and partner programs with a system-wide self-assessment regarding level of workforce system integration</w:t>
            </w:r>
          </w:p>
        </w:tc>
        <w:tc>
          <w:tcPr>
            <w:tcW w:w="2500" w:type="pct"/>
            <w:tcBorders>
              <w:top w:val="nil"/>
              <w:left w:val="nil"/>
              <w:bottom w:val="nil"/>
              <w:right w:val="single" w:sz="4" w:space="0" w:color="000000"/>
            </w:tcBorders>
            <w:shd w:val="clear" w:color="auto" w:fill="auto"/>
            <w:vAlign w:val="center"/>
            <w:hideMark/>
          </w:tcPr>
          <w:p w14:paraId="467202EA" w14:textId="77777777" w:rsidR="00FC51B7" w:rsidRPr="00206792" w:rsidRDefault="00FC51B7" w:rsidP="00C575C8">
            <w:pPr>
              <w:pStyle w:val="ListParagraph"/>
              <w:numPr>
                <w:ilvl w:val="0"/>
                <w:numId w:val="35"/>
              </w:numPr>
              <w:spacing w:after="0" w:line="240" w:lineRule="auto"/>
              <w:ind w:left="340"/>
            </w:pPr>
            <w:r w:rsidRPr="00206792">
              <w:rPr>
                <w:color w:val="000000"/>
              </w:rPr>
              <w:t>Report on Assessment and Priorities. Initial Action Plan with collaborative process developed</w:t>
            </w:r>
          </w:p>
        </w:tc>
      </w:tr>
      <w:tr w:rsidR="00FC51B7" w:rsidRPr="00206792" w14:paraId="076B51B4" w14:textId="77777777" w:rsidTr="00C71DBA">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BF30F9" w14:textId="77777777" w:rsidR="00FC51B7" w:rsidRPr="00206792" w:rsidRDefault="00FC51B7" w:rsidP="00C575C8">
            <w:pPr>
              <w:pStyle w:val="ListParagraph"/>
              <w:numPr>
                <w:ilvl w:val="0"/>
                <w:numId w:val="34"/>
              </w:numPr>
              <w:spacing w:after="0" w:line="240" w:lineRule="auto"/>
            </w:pPr>
            <w:r w:rsidRPr="00206792">
              <w:rPr>
                <w:color w:val="000000"/>
              </w:rPr>
              <w:t>Assist the agency in assessing its current utilization of career pathways in the IPE development process and the resources needed to increase the use of career pathways in future planning with consumers</w:t>
            </w:r>
          </w:p>
        </w:tc>
        <w:tc>
          <w:tcPr>
            <w:tcW w:w="2500" w:type="pct"/>
            <w:tcBorders>
              <w:top w:val="single" w:sz="4" w:space="0" w:color="auto"/>
              <w:left w:val="nil"/>
              <w:bottom w:val="single" w:sz="4" w:space="0" w:color="auto"/>
              <w:right w:val="single" w:sz="4" w:space="0" w:color="auto"/>
            </w:tcBorders>
            <w:shd w:val="clear" w:color="auto" w:fill="auto"/>
            <w:vAlign w:val="center"/>
            <w:hideMark/>
          </w:tcPr>
          <w:p w14:paraId="11C681B9" w14:textId="77777777" w:rsidR="00FC51B7" w:rsidRPr="00206792" w:rsidRDefault="00FC51B7" w:rsidP="00C575C8">
            <w:pPr>
              <w:pStyle w:val="ListParagraph"/>
              <w:numPr>
                <w:ilvl w:val="0"/>
                <w:numId w:val="35"/>
              </w:numPr>
              <w:spacing w:after="0" w:line="240" w:lineRule="auto"/>
              <w:ind w:left="340"/>
            </w:pPr>
            <w:r w:rsidRPr="00206792">
              <w:rPr>
                <w:color w:val="000000"/>
              </w:rPr>
              <w:t>A completed assessment with tools and resources provided to agency staff</w:t>
            </w:r>
          </w:p>
        </w:tc>
      </w:tr>
      <w:tr w:rsidR="00FC51B7" w:rsidRPr="00206792" w14:paraId="1CF8E9B7" w14:textId="77777777" w:rsidTr="00C71DBA">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2A2269" w14:textId="77777777" w:rsidR="00FC51B7" w:rsidRPr="00206792" w:rsidRDefault="00FC51B7" w:rsidP="00C575C8">
            <w:pPr>
              <w:pStyle w:val="ListParagraph"/>
              <w:numPr>
                <w:ilvl w:val="0"/>
                <w:numId w:val="34"/>
              </w:numPr>
              <w:spacing w:after="0" w:line="240" w:lineRule="auto"/>
            </w:pPr>
            <w:r w:rsidRPr="00206792">
              <w:rPr>
                <w:color w:val="000000"/>
              </w:rPr>
              <w:t>Assist in the development of new or revised policies and procedures that will increase the use of career pathways in the vocational planning and service delivery process for VR consumers</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76DC93" w14:textId="77777777" w:rsidR="00FC51B7" w:rsidRPr="00206792" w:rsidRDefault="00FC51B7" w:rsidP="00C575C8">
            <w:pPr>
              <w:pStyle w:val="ListParagraph"/>
              <w:numPr>
                <w:ilvl w:val="0"/>
                <w:numId w:val="35"/>
              </w:numPr>
              <w:spacing w:after="0" w:line="240" w:lineRule="auto"/>
              <w:ind w:left="340"/>
            </w:pPr>
            <w:r w:rsidRPr="00206792">
              <w:rPr>
                <w:color w:val="000000"/>
              </w:rPr>
              <w:t>Draft of new and/or revised policies and procedures related to career pathways</w:t>
            </w:r>
          </w:p>
        </w:tc>
      </w:tr>
      <w:tr w:rsidR="00FC51B7" w:rsidRPr="00206792" w14:paraId="3EC2BADD" w14:textId="77777777" w:rsidTr="00C71DBA">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42AE40E" w14:textId="77777777" w:rsidR="00FC51B7" w:rsidRPr="00206792" w:rsidRDefault="00FC51B7" w:rsidP="00C575C8">
            <w:pPr>
              <w:pStyle w:val="ListParagraph"/>
              <w:numPr>
                <w:ilvl w:val="0"/>
                <w:numId w:val="34"/>
              </w:numPr>
              <w:spacing w:after="0" w:line="240" w:lineRule="auto"/>
              <w:rPr>
                <w:color w:val="000000"/>
              </w:rPr>
            </w:pPr>
            <w:r w:rsidRPr="00C46BD4">
              <w:rPr>
                <w:i/>
                <w:iCs/>
                <w:color w:val="000000"/>
              </w:rPr>
              <w:t xml:space="preserve">Assist agency to identify resources that will promote and increase the use of apprenticeships in the VR service delivery system </w:t>
            </w:r>
            <w:r>
              <w:rPr>
                <w:i/>
                <w:iCs/>
                <w:color w:val="000000"/>
              </w:rPr>
              <w:t>*</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4C7BA701" w14:textId="77777777" w:rsidR="00FC51B7" w:rsidRPr="00206792" w:rsidRDefault="00FC51B7" w:rsidP="00C575C8">
            <w:pPr>
              <w:pStyle w:val="ListParagraph"/>
              <w:numPr>
                <w:ilvl w:val="0"/>
                <w:numId w:val="35"/>
              </w:numPr>
              <w:spacing w:after="0" w:line="240" w:lineRule="auto"/>
              <w:ind w:left="340"/>
              <w:rPr>
                <w:color w:val="000000"/>
              </w:rPr>
            </w:pPr>
            <w:r w:rsidRPr="00C46BD4">
              <w:rPr>
                <w:i/>
                <w:iCs/>
                <w:color w:val="000000"/>
              </w:rPr>
              <w:t>The information and resources provided to the agency</w:t>
            </w:r>
          </w:p>
        </w:tc>
      </w:tr>
      <w:tr w:rsidR="00FC51B7" w:rsidRPr="00206792" w14:paraId="62E4ADFE" w14:textId="77777777" w:rsidTr="00C71DBA">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4F878088" w14:textId="77777777" w:rsidR="00FC51B7" w:rsidRPr="00206792" w:rsidRDefault="00FC51B7" w:rsidP="00C575C8">
            <w:pPr>
              <w:pStyle w:val="ListParagraph"/>
              <w:numPr>
                <w:ilvl w:val="0"/>
                <w:numId w:val="34"/>
              </w:numPr>
              <w:spacing w:after="0" w:line="240" w:lineRule="auto"/>
              <w:rPr>
                <w:color w:val="000000"/>
              </w:rPr>
            </w:pPr>
            <w:r w:rsidRPr="00C46BD4">
              <w:rPr>
                <w:i/>
                <w:iCs/>
                <w:color w:val="000000"/>
              </w:rPr>
              <w:t>Assist in the development of new or revised policies and procedures to implement apprenticeship opportunities*</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C5ACFDA" w14:textId="77777777" w:rsidR="00FC51B7" w:rsidRPr="00206792" w:rsidRDefault="00FC51B7" w:rsidP="00C575C8">
            <w:pPr>
              <w:pStyle w:val="ListParagraph"/>
              <w:numPr>
                <w:ilvl w:val="0"/>
                <w:numId w:val="35"/>
              </w:numPr>
              <w:spacing w:after="0" w:line="240" w:lineRule="auto"/>
              <w:ind w:left="340"/>
              <w:rPr>
                <w:color w:val="000000"/>
              </w:rPr>
            </w:pPr>
            <w:r w:rsidRPr="00C46BD4">
              <w:rPr>
                <w:i/>
                <w:iCs/>
                <w:color w:val="000000"/>
              </w:rPr>
              <w:t>Draft of new and/or revised policies and procedures related to apprenticeships**</w:t>
            </w:r>
          </w:p>
        </w:tc>
      </w:tr>
      <w:tr w:rsidR="00FC51B7" w:rsidRPr="00206792" w14:paraId="55E4E0AE" w14:textId="77777777" w:rsidTr="00C71DBA">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79F3D445" w14:textId="77777777" w:rsidR="00FC51B7" w:rsidRPr="00206792" w:rsidRDefault="00FC51B7" w:rsidP="00C575C8">
            <w:pPr>
              <w:pStyle w:val="ListParagraph"/>
              <w:numPr>
                <w:ilvl w:val="0"/>
                <w:numId w:val="34"/>
              </w:numPr>
              <w:spacing w:after="0" w:line="240" w:lineRule="auto"/>
              <w:rPr>
                <w:color w:val="000000"/>
              </w:rPr>
            </w:pPr>
            <w:r w:rsidRPr="00206792">
              <w:rPr>
                <w:color w:val="000000"/>
              </w:rPr>
              <w:t>Assess the capacity of the VR agency and core partners to utilize Integrated Resource Teams to serve individuals with disabilities in the AJCs</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A234398" w14:textId="77777777" w:rsidR="00FC51B7" w:rsidRPr="00206792" w:rsidRDefault="00FC51B7" w:rsidP="00C575C8">
            <w:pPr>
              <w:pStyle w:val="ListParagraph"/>
              <w:numPr>
                <w:ilvl w:val="0"/>
                <w:numId w:val="35"/>
              </w:numPr>
              <w:spacing w:after="0" w:line="240" w:lineRule="auto"/>
              <w:ind w:left="340"/>
              <w:rPr>
                <w:color w:val="000000"/>
              </w:rPr>
            </w:pPr>
            <w:r w:rsidRPr="00206792">
              <w:rPr>
                <w:color w:val="000000"/>
              </w:rPr>
              <w:t>A completed assessment identifying challenges to utilizing IRTs and recommendations on how to implement IRTs</w:t>
            </w:r>
          </w:p>
        </w:tc>
      </w:tr>
      <w:tr w:rsidR="00FC51B7" w:rsidRPr="00206792" w14:paraId="08CD0CA2" w14:textId="77777777" w:rsidTr="00C71DBA">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488C5178" w14:textId="77777777" w:rsidR="00FC51B7" w:rsidRPr="005907F4" w:rsidRDefault="00FC51B7" w:rsidP="00C575C8">
            <w:pPr>
              <w:pStyle w:val="ListParagraph"/>
              <w:numPr>
                <w:ilvl w:val="0"/>
                <w:numId w:val="34"/>
              </w:numPr>
              <w:spacing w:after="0" w:line="240" w:lineRule="auto"/>
              <w:rPr>
                <w:color w:val="000000"/>
              </w:rPr>
            </w:pPr>
            <w:r w:rsidRPr="00206792">
              <w:rPr>
                <w:color w:val="000000"/>
              </w:rPr>
              <w:t>Assist the VR program and core WDS partners to develop a pilot site that will utilize IRTs to serve individuals with disabilities in the AJC</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4A1E55C4" w14:textId="77777777" w:rsidR="00FC51B7" w:rsidRPr="00206792" w:rsidRDefault="00FC51B7" w:rsidP="00C575C8">
            <w:pPr>
              <w:pStyle w:val="ListParagraph"/>
              <w:numPr>
                <w:ilvl w:val="0"/>
                <w:numId w:val="35"/>
              </w:numPr>
              <w:spacing w:after="0" w:line="240" w:lineRule="auto"/>
              <w:ind w:left="340"/>
              <w:rPr>
                <w:color w:val="000000"/>
              </w:rPr>
            </w:pPr>
            <w:r w:rsidRPr="00206792">
              <w:rPr>
                <w:color w:val="000000"/>
              </w:rPr>
              <w:t>The establishment of a pilot site for IRT implementation</w:t>
            </w:r>
          </w:p>
        </w:tc>
      </w:tr>
      <w:tr w:rsidR="00FC51B7" w:rsidRPr="00206792" w14:paraId="6B3C4184" w14:textId="77777777" w:rsidTr="00C71DBA">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D6A60D1" w14:textId="77777777" w:rsidR="00FC51B7" w:rsidRPr="00206792" w:rsidRDefault="00FC51B7" w:rsidP="00C575C8">
            <w:pPr>
              <w:pStyle w:val="ListParagraph"/>
              <w:numPr>
                <w:ilvl w:val="0"/>
                <w:numId w:val="34"/>
              </w:numPr>
              <w:spacing w:after="0" w:line="240" w:lineRule="auto"/>
            </w:pPr>
            <w:r w:rsidRPr="00206792">
              <w:rPr>
                <w:color w:val="000000"/>
              </w:rPr>
              <w:t xml:space="preserve">Provide training to VR (and any other partners) on (name activity focus like career pathways, </w:t>
            </w:r>
            <w:r w:rsidRPr="00C46BD4">
              <w:rPr>
                <w:i/>
                <w:iCs/>
                <w:color w:val="000000"/>
              </w:rPr>
              <w:t>apprenticeships</w:t>
            </w:r>
            <w:r w:rsidRPr="00206792">
              <w:rPr>
                <w:color w:val="000000"/>
              </w:rPr>
              <w:t>, IRTs, etc.)</w:t>
            </w:r>
            <w:r>
              <w:rPr>
                <w:color w:val="000000"/>
              </w:rPr>
              <w:t>*</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5111415" w14:textId="77777777" w:rsidR="00FC51B7" w:rsidRPr="00206792" w:rsidRDefault="00FC51B7" w:rsidP="00C575C8">
            <w:pPr>
              <w:pStyle w:val="ListParagraph"/>
              <w:numPr>
                <w:ilvl w:val="0"/>
                <w:numId w:val="35"/>
              </w:numPr>
              <w:spacing w:after="0" w:line="240" w:lineRule="auto"/>
              <w:ind w:left="340"/>
            </w:pPr>
            <w:r w:rsidRPr="00206792">
              <w:rPr>
                <w:color w:val="000000"/>
              </w:rPr>
              <w:t>The number of individuals that complete the training by agency and the content delivered</w:t>
            </w:r>
          </w:p>
        </w:tc>
      </w:tr>
      <w:tr w:rsidR="00FC51B7" w:rsidRPr="00206792" w14:paraId="693827AC" w14:textId="77777777" w:rsidTr="00C71DBA">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01AA67A2" w14:textId="77777777" w:rsidR="00FC51B7" w:rsidRPr="00206792" w:rsidRDefault="00FC51B7" w:rsidP="00C575C8">
            <w:pPr>
              <w:pStyle w:val="ListParagraph"/>
              <w:numPr>
                <w:ilvl w:val="0"/>
                <w:numId w:val="34"/>
              </w:numPr>
              <w:spacing w:after="0" w:line="240" w:lineRule="auto"/>
            </w:pPr>
            <w:r w:rsidRPr="00206792">
              <w:rPr>
                <w:color w:val="000000"/>
              </w:rPr>
              <w:t xml:space="preserve">Assist VR and other core and required partners to develop MOUs, Cost-sharing agreements, data sharing agreements, IFAs and local MOUs with Boards as needed. </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01565CF1" w14:textId="77777777" w:rsidR="00FC51B7" w:rsidRPr="00206792" w:rsidRDefault="00FC51B7" w:rsidP="00C575C8">
            <w:pPr>
              <w:pStyle w:val="ListParagraph"/>
              <w:numPr>
                <w:ilvl w:val="0"/>
                <w:numId w:val="35"/>
              </w:numPr>
              <w:spacing w:after="0" w:line="240" w:lineRule="auto"/>
              <w:ind w:left="340"/>
            </w:pPr>
            <w:r w:rsidRPr="00206792">
              <w:rPr>
                <w:color w:val="000000"/>
              </w:rPr>
              <w:t>A draft agreement or MOU</w:t>
            </w:r>
          </w:p>
        </w:tc>
      </w:tr>
      <w:tr w:rsidR="00FC51B7" w:rsidRPr="00206792" w14:paraId="747BA2DA" w14:textId="77777777" w:rsidTr="00FC51B7">
        <w:trPr>
          <w:trHeight w:val="20"/>
        </w:trPr>
        <w:tc>
          <w:tcPr>
            <w:tcW w:w="5000" w:type="pct"/>
            <w:gridSpan w:val="2"/>
            <w:tcBorders>
              <w:top w:val="single" w:sz="4" w:space="0" w:color="auto"/>
              <w:left w:val="single" w:sz="4" w:space="0" w:color="000000"/>
              <w:bottom w:val="single" w:sz="4" w:space="0" w:color="auto"/>
              <w:right w:val="single" w:sz="4" w:space="0" w:color="000000"/>
            </w:tcBorders>
            <w:shd w:val="clear" w:color="auto" w:fill="D9E2F3" w:themeFill="accent1" w:themeFillTint="33"/>
            <w:vAlign w:val="center"/>
          </w:tcPr>
          <w:p w14:paraId="2A56E312" w14:textId="77777777" w:rsidR="00FC51B7" w:rsidRPr="00206792" w:rsidRDefault="00FC51B7" w:rsidP="008A190D">
            <w:pPr>
              <w:spacing w:after="0" w:line="240" w:lineRule="auto"/>
              <w:ind w:firstLine="0"/>
              <w:jc w:val="center"/>
              <w:rPr>
                <w:b/>
              </w:rPr>
            </w:pPr>
            <w:r w:rsidRPr="00206792">
              <w:rPr>
                <w:b/>
              </w:rPr>
              <w:t>Short-Term Outcomes</w:t>
            </w:r>
          </w:p>
          <w:p w14:paraId="6251FE5B" w14:textId="77777777" w:rsidR="00FC51B7" w:rsidRDefault="00FC51B7" w:rsidP="00C575C8">
            <w:pPr>
              <w:pStyle w:val="ListParagraph"/>
              <w:numPr>
                <w:ilvl w:val="0"/>
                <w:numId w:val="2"/>
              </w:numPr>
              <w:spacing w:after="0" w:line="240" w:lineRule="auto"/>
            </w:pPr>
            <w:r>
              <w:t>There will be an increase of at least one level on the Integration Continuum Scale for VR in relation to at least one of the core partners per year until the integration level is achieved, at which point it will remain in subsequent years.</w:t>
            </w:r>
          </w:p>
          <w:p w14:paraId="7E97DA92" w14:textId="77777777" w:rsidR="00FC51B7" w:rsidRDefault="00FC51B7" w:rsidP="00C575C8">
            <w:pPr>
              <w:pStyle w:val="ListParagraph"/>
              <w:numPr>
                <w:ilvl w:val="0"/>
                <w:numId w:val="2"/>
              </w:numPr>
              <w:spacing w:after="0" w:line="240" w:lineRule="auto"/>
            </w:pPr>
            <w:r>
              <w:t>An increase of at least (x number) of events or other demonstrations of collaborative partnerships between VR and the core partners per year.</w:t>
            </w:r>
          </w:p>
          <w:p w14:paraId="22A91A5D" w14:textId="77777777" w:rsidR="00FC51B7" w:rsidRDefault="00FC51B7" w:rsidP="00C575C8">
            <w:pPr>
              <w:pStyle w:val="ListParagraph"/>
              <w:numPr>
                <w:ilvl w:val="0"/>
                <w:numId w:val="2"/>
              </w:numPr>
              <w:spacing w:after="0" w:line="240" w:lineRule="auto"/>
            </w:pPr>
            <w:r>
              <w:t>There will be an increase of at least (x percent) in co-enrollment of VR consumers with at least one core partner program per year.</w:t>
            </w:r>
          </w:p>
          <w:p w14:paraId="4C65170F" w14:textId="77777777" w:rsidR="00FC51B7" w:rsidRDefault="00FC51B7" w:rsidP="00C575C8">
            <w:pPr>
              <w:pStyle w:val="ListParagraph"/>
              <w:numPr>
                <w:ilvl w:val="0"/>
                <w:numId w:val="2"/>
              </w:numPr>
              <w:spacing w:after="0" w:line="240" w:lineRule="auto"/>
            </w:pPr>
            <w:r>
              <w:lastRenderedPageBreak/>
              <w:t>There will be an increase of (x percent or number) in the number of VR consumers that obtain employment through accessing the services of the AJC per year.</w:t>
            </w:r>
          </w:p>
          <w:p w14:paraId="5D3279E8" w14:textId="77777777" w:rsidR="00FC51B7" w:rsidRPr="00206792" w:rsidRDefault="00FC51B7" w:rsidP="00C575C8">
            <w:pPr>
              <w:pStyle w:val="ListParagraph"/>
              <w:numPr>
                <w:ilvl w:val="0"/>
                <w:numId w:val="2"/>
              </w:numPr>
              <w:spacing w:after="0" w:line="240" w:lineRule="auto"/>
            </w:pPr>
            <w:r>
              <w:t>The number of consumers that utilize the career pathway model in pursuit of their education and employment goals will increase by at least (x percent) per year.</w:t>
            </w:r>
          </w:p>
        </w:tc>
      </w:tr>
    </w:tbl>
    <w:p w14:paraId="462382C6" w14:textId="77777777" w:rsidR="00FC51B7" w:rsidRPr="00483E39" w:rsidRDefault="00FC51B7" w:rsidP="00FC51B7">
      <w:pPr>
        <w:rPr>
          <w:i/>
          <w:iCs/>
        </w:rPr>
      </w:pPr>
      <w:r w:rsidRPr="00483E39">
        <w:rPr>
          <w:i/>
          <w:iCs/>
        </w:rPr>
        <w:lastRenderedPageBreak/>
        <w:t>*Items in italics referencing apprenticeships were initiated under this topic area, but are now being reported separately and are presented in their own chapter.</w:t>
      </w:r>
    </w:p>
    <w:p w14:paraId="5B5CD040" w14:textId="77777777" w:rsidR="00FC51B7" w:rsidRDefault="00FC51B7" w:rsidP="00FC51B7">
      <w:pPr>
        <w:pStyle w:val="Heading2"/>
        <w:rPr>
          <w:szCs w:val="36"/>
        </w:rPr>
      </w:pPr>
      <w:r>
        <w:rPr>
          <w:szCs w:val="36"/>
        </w:rPr>
        <w:br w:type="page"/>
      </w:r>
    </w:p>
    <w:p w14:paraId="12AE1DCA" w14:textId="22005765" w:rsidR="00FC51B7" w:rsidRPr="00BF3652" w:rsidRDefault="00BF3652" w:rsidP="00BF3652">
      <w:pPr>
        <w:pStyle w:val="Heading2"/>
        <w:ind w:firstLine="90"/>
      </w:pPr>
      <w:bookmarkStart w:id="92" w:name="_Toc41940232"/>
      <w:r w:rsidRPr="00BF3652">
        <w:lastRenderedPageBreak/>
        <w:t>Integration : Activities &amp; Outputs Progress Dashboards</w:t>
      </w:r>
      <w:bookmarkEnd w:id="92"/>
    </w:p>
    <w:p w14:paraId="35C2CF0F" w14:textId="2DB80981" w:rsidR="00FC51B7" w:rsidRDefault="00FC51B7" w:rsidP="00BF3652">
      <w:pPr>
        <w:ind w:firstLine="0"/>
      </w:pPr>
    </w:p>
    <w:p w14:paraId="7CC561A5" w14:textId="327215D2" w:rsidR="00BF3652" w:rsidRDefault="00BF3652" w:rsidP="00BF3652">
      <w:pPr>
        <w:ind w:firstLine="0"/>
      </w:pPr>
      <w:r>
        <w:rPr>
          <w:noProof/>
          <w:lang w:eastAsia="ko-KR"/>
        </w:rPr>
        <w:drawing>
          <wp:inline distT="0" distB="0" distL="0" distR="0" wp14:anchorId="2682F618" wp14:editId="39DA8057">
            <wp:extent cx="6858000" cy="2968625"/>
            <wp:effectExtent l="0" t="0" r="0" b="3175"/>
            <wp:docPr id="88" name="Picture 88" descr="Progress Work Integration: Activities showing 64% complete">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858000" cy="2968625"/>
                    </a:xfrm>
                    <a:prstGeom prst="rect">
                      <a:avLst/>
                    </a:prstGeom>
                  </pic:spPr>
                </pic:pic>
              </a:graphicData>
            </a:graphic>
          </wp:inline>
        </w:drawing>
      </w:r>
    </w:p>
    <w:p w14:paraId="0D8E36B6" w14:textId="77777777" w:rsidR="00FC51B7" w:rsidRPr="00AC0D29" w:rsidRDefault="00FC51B7" w:rsidP="00FC51B7">
      <w:pPr>
        <w:rPr>
          <w:rFonts w:cstheme="minorHAnsi"/>
        </w:rPr>
        <w:sectPr w:rsidR="00FC51B7" w:rsidRPr="00AC0D29" w:rsidSect="00FC51B7">
          <w:pgSz w:w="12240" w:h="15840"/>
          <w:pgMar w:top="720" w:right="720" w:bottom="720" w:left="720" w:header="720" w:footer="720" w:gutter="0"/>
          <w:cols w:space="720"/>
          <w:docGrid w:linePitch="381"/>
        </w:sectPr>
      </w:pPr>
      <w:r w:rsidRPr="00342A21">
        <w:rPr>
          <w:b/>
          <w:bCs/>
        </w:rPr>
        <w:t>Across 64 activities articulated in ITAAs, most are complete (64%)</w:t>
      </w:r>
      <w:r w:rsidRPr="00342A21">
        <w:t xml:space="preserve"> or moving to completion (5%).  Further below, thermometers demonstrate the level of completion for the different activities and outputs as defined in the logic model for ITAA states.  A handful of idiosyncratic activities in the ITAAs not listed in logic models are captured together in their own thermometer (U).   Activities showing complete or good progress include assessments and </w:t>
      </w:r>
      <w:r>
        <w:rPr>
          <w:sz w:val="24"/>
          <w:szCs w:val="24"/>
        </w:rPr>
        <w:t>trainings</w:t>
      </w:r>
      <w:r w:rsidRPr="00AF4EBF">
        <w:rPr>
          <w:sz w:val="24"/>
          <w:szCs w:val="24"/>
        </w:rPr>
        <w:t xml:space="preserve">.  </w:t>
      </w:r>
    </w:p>
    <w:p w14:paraId="23D5A9CD" w14:textId="77777777" w:rsidR="00FC51B7" w:rsidRDefault="00FC51B7" w:rsidP="00C71DBA">
      <w:pPr>
        <w:tabs>
          <w:tab w:val="left" w:pos="360"/>
        </w:tabs>
        <w:ind w:firstLine="0"/>
        <w:jc w:val="center"/>
        <w:rPr>
          <w:szCs w:val="14"/>
        </w:rPr>
      </w:pPr>
      <w:bookmarkStart w:id="93" w:name="_Hlk41463573"/>
      <w:r w:rsidRPr="003A10D6">
        <w:rPr>
          <w:sz w:val="36"/>
          <w:szCs w:val="36"/>
        </w:rPr>
        <w:lastRenderedPageBreak/>
        <w:t xml:space="preserve">Activity </w:t>
      </w:r>
      <w:r>
        <w:rPr>
          <w:sz w:val="36"/>
          <w:szCs w:val="36"/>
        </w:rPr>
        <w:t>1</w:t>
      </w:r>
      <w:r>
        <w:rPr>
          <w:szCs w:val="14"/>
        </w:rPr>
        <w:br/>
      </w:r>
      <w:r>
        <w:rPr>
          <w:noProof/>
          <w:lang w:eastAsia="ko-KR"/>
        </w:rPr>
        <w:drawing>
          <wp:inline distT="0" distB="0" distL="0" distR="0" wp14:anchorId="1B61D615" wp14:editId="70C4989D">
            <wp:extent cx="1453896" cy="4572000"/>
            <wp:effectExtent l="0" t="0" r="0" b="0"/>
            <wp:docPr id="73" name="Picture 73" descr="Activity &amp; Outputs Progress 1">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453896" cy="4572000"/>
                    </a:xfrm>
                    <a:prstGeom prst="rect">
                      <a:avLst/>
                    </a:prstGeom>
                  </pic:spPr>
                </pic:pic>
              </a:graphicData>
            </a:graphic>
          </wp:inline>
        </w:drawing>
      </w:r>
      <w:r>
        <w:rPr>
          <w:sz w:val="36"/>
          <w:szCs w:val="36"/>
        </w:rPr>
        <w:br/>
      </w:r>
      <w:r>
        <w:rPr>
          <w:noProof/>
          <w:lang w:eastAsia="ko-KR"/>
        </w:rPr>
        <w:drawing>
          <wp:inline distT="0" distB="0" distL="0" distR="0" wp14:anchorId="30EB808E" wp14:editId="3175993B">
            <wp:extent cx="2090057" cy="370114"/>
            <wp:effectExtent l="0" t="0" r="5715" b="0"/>
            <wp:docPr id="74" name="Picture 74"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bookmarkEnd w:id="93"/>
    <w:p w14:paraId="56DFF477" w14:textId="77777777" w:rsidR="00FC51B7" w:rsidRPr="00F23CBD" w:rsidRDefault="00FC51B7" w:rsidP="00C71DBA">
      <w:pPr>
        <w:ind w:firstLine="0"/>
        <w:rPr>
          <w:rFonts w:cstheme="minorHAnsi"/>
        </w:rPr>
      </w:pPr>
      <w:r w:rsidRPr="00F23CBD">
        <w:rPr>
          <w:rFonts w:cstheme="minorHAnsi"/>
          <w:b/>
          <w:bCs/>
        </w:rPr>
        <w:t>Activity 1:</w:t>
      </w:r>
      <w:r w:rsidRPr="00F23CBD">
        <w:rPr>
          <w:rFonts w:cstheme="minorHAnsi"/>
        </w:rPr>
        <w:t xml:space="preserve"> Assist agency to analyze readiness and capacity to increase integration with the workforce development system.</w:t>
      </w:r>
      <w:r w:rsidRPr="00F23CBD">
        <w:rPr>
          <w:rFonts w:cstheme="minorHAnsi"/>
        </w:rPr>
        <w:tab/>
      </w:r>
    </w:p>
    <w:p w14:paraId="68B24EA6" w14:textId="77777777" w:rsidR="00FC51B7" w:rsidRPr="00F23CBD" w:rsidRDefault="00FC51B7" w:rsidP="00C71DBA">
      <w:pPr>
        <w:ind w:firstLine="0"/>
        <w:rPr>
          <w:rFonts w:cstheme="minorHAnsi"/>
        </w:rPr>
      </w:pPr>
      <w:r w:rsidRPr="00F23CBD">
        <w:rPr>
          <w:rFonts w:cstheme="minorHAnsi"/>
          <w:b/>
          <w:bCs/>
        </w:rPr>
        <w:t>Output A:</w:t>
      </w:r>
      <w:r w:rsidRPr="00F23CBD">
        <w:rPr>
          <w:rFonts w:cstheme="minorHAnsi"/>
        </w:rPr>
        <w:t xml:space="preserve"> A completed readiness and capacity assessment documenting implementation and role challenges and opportunities.</w:t>
      </w:r>
    </w:p>
    <w:p w14:paraId="1B8012D8" w14:textId="77777777" w:rsidR="00FC51B7" w:rsidRDefault="00FC51B7" w:rsidP="00C71DBA">
      <w:pPr>
        <w:tabs>
          <w:tab w:val="left" w:pos="360"/>
        </w:tabs>
        <w:ind w:firstLine="0"/>
        <w:jc w:val="center"/>
        <w:rPr>
          <w:szCs w:val="14"/>
        </w:rPr>
      </w:pPr>
      <w:bookmarkStart w:id="94" w:name="_Hlk41470085"/>
      <w:r w:rsidRPr="003A10D6">
        <w:rPr>
          <w:sz w:val="36"/>
          <w:szCs w:val="36"/>
        </w:rPr>
        <w:t>Activity 2</w:t>
      </w:r>
      <w:r>
        <w:rPr>
          <w:szCs w:val="14"/>
        </w:rPr>
        <w:br/>
      </w:r>
      <w:r>
        <w:rPr>
          <w:noProof/>
          <w:lang w:eastAsia="ko-KR"/>
        </w:rPr>
        <w:drawing>
          <wp:inline distT="0" distB="0" distL="0" distR="0" wp14:anchorId="4E7A3CA4" wp14:editId="40032448">
            <wp:extent cx="1536192" cy="4572000"/>
            <wp:effectExtent l="0" t="0" r="6985" b="0"/>
            <wp:docPr id="75" name="Picture 75" descr="Activity &amp; Outputs Progress  2">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536192" cy="4572000"/>
                    </a:xfrm>
                    <a:prstGeom prst="rect">
                      <a:avLst/>
                    </a:prstGeom>
                  </pic:spPr>
                </pic:pic>
              </a:graphicData>
            </a:graphic>
          </wp:inline>
        </w:drawing>
      </w:r>
      <w:r>
        <w:rPr>
          <w:sz w:val="36"/>
          <w:szCs w:val="36"/>
        </w:rPr>
        <w:br/>
      </w:r>
      <w:r>
        <w:rPr>
          <w:noProof/>
          <w:lang w:eastAsia="ko-KR"/>
        </w:rPr>
        <w:drawing>
          <wp:inline distT="0" distB="0" distL="0" distR="0" wp14:anchorId="242606B2" wp14:editId="52AA7751">
            <wp:extent cx="2090057" cy="370114"/>
            <wp:effectExtent l="0" t="0" r="5715" b="0"/>
            <wp:docPr id="76" name="Picture 76"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bookmarkEnd w:id="94"/>
    <w:p w14:paraId="1B5FA876" w14:textId="77777777" w:rsidR="00FC51B7" w:rsidRPr="00F23CBD" w:rsidRDefault="00FC51B7" w:rsidP="00C71DBA">
      <w:pPr>
        <w:ind w:firstLine="0"/>
        <w:rPr>
          <w:rFonts w:cstheme="minorHAnsi"/>
        </w:rPr>
      </w:pPr>
      <w:r w:rsidRPr="00F23CBD">
        <w:rPr>
          <w:rFonts w:cstheme="minorHAnsi"/>
          <w:b/>
          <w:bCs/>
        </w:rPr>
        <w:t>Activity 2:</w:t>
      </w:r>
      <w:r w:rsidRPr="00F23CBD">
        <w:rPr>
          <w:rFonts w:cstheme="minorHAnsi"/>
        </w:rPr>
        <w:t xml:space="preserve"> Assist agency in completing WIOA “Are You Ready for Integration?” checklist.</w:t>
      </w:r>
      <w:r w:rsidRPr="00F23CBD">
        <w:rPr>
          <w:rFonts w:cstheme="minorHAnsi"/>
        </w:rPr>
        <w:tab/>
      </w:r>
    </w:p>
    <w:p w14:paraId="3FCE6EFD" w14:textId="77777777" w:rsidR="00FC51B7" w:rsidRPr="00F23CBD" w:rsidRDefault="00FC51B7" w:rsidP="00C71DBA">
      <w:pPr>
        <w:ind w:firstLine="0"/>
        <w:rPr>
          <w:rFonts w:cstheme="minorHAnsi"/>
        </w:rPr>
      </w:pPr>
      <w:r w:rsidRPr="00F23CBD">
        <w:rPr>
          <w:rFonts w:cstheme="minorHAnsi"/>
          <w:b/>
          <w:bCs/>
        </w:rPr>
        <w:t>Output B:</w:t>
      </w:r>
      <w:r w:rsidRPr="00F23CBD">
        <w:rPr>
          <w:rFonts w:cstheme="minorHAnsi"/>
        </w:rPr>
        <w:t xml:space="preserve"> Completed Checklist.</w:t>
      </w:r>
    </w:p>
    <w:p w14:paraId="6D84BB9F" w14:textId="77777777" w:rsidR="00FC51B7" w:rsidRPr="00BF7106" w:rsidRDefault="00FC51B7" w:rsidP="00C71DBA">
      <w:pPr>
        <w:tabs>
          <w:tab w:val="left" w:pos="360"/>
        </w:tabs>
        <w:ind w:firstLine="0"/>
        <w:jc w:val="center"/>
        <w:rPr>
          <w:szCs w:val="14"/>
        </w:rPr>
      </w:pPr>
      <w:r w:rsidRPr="003A10D6">
        <w:rPr>
          <w:sz w:val="36"/>
          <w:szCs w:val="36"/>
        </w:rPr>
        <w:lastRenderedPageBreak/>
        <w:t xml:space="preserve">Activity </w:t>
      </w:r>
      <w:r>
        <w:rPr>
          <w:sz w:val="36"/>
          <w:szCs w:val="36"/>
        </w:rPr>
        <w:t>3</w:t>
      </w:r>
      <w:r>
        <w:rPr>
          <w:szCs w:val="14"/>
        </w:rPr>
        <w:br/>
      </w:r>
      <w:r>
        <w:rPr>
          <w:noProof/>
          <w:lang w:eastAsia="ko-KR"/>
        </w:rPr>
        <w:drawing>
          <wp:inline distT="0" distB="0" distL="0" distR="0" wp14:anchorId="4027DE65" wp14:editId="3E15F940">
            <wp:extent cx="1545336" cy="4572000"/>
            <wp:effectExtent l="0" t="0" r="0" b="0"/>
            <wp:docPr id="59" name="Picture 59" descr="Activity &amp; Outputs Progress 3">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545336" cy="4572000"/>
                    </a:xfrm>
                    <a:prstGeom prst="rect">
                      <a:avLst/>
                    </a:prstGeom>
                  </pic:spPr>
                </pic:pic>
              </a:graphicData>
            </a:graphic>
          </wp:inline>
        </w:drawing>
      </w:r>
      <w:r>
        <w:rPr>
          <w:sz w:val="36"/>
          <w:szCs w:val="36"/>
        </w:rPr>
        <w:br/>
      </w:r>
      <w:r>
        <w:rPr>
          <w:noProof/>
          <w:lang w:eastAsia="ko-KR"/>
        </w:rPr>
        <w:drawing>
          <wp:inline distT="0" distB="0" distL="0" distR="0" wp14:anchorId="0C45E8D0" wp14:editId="57014974">
            <wp:extent cx="2090057" cy="370114"/>
            <wp:effectExtent l="0" t="0" r="5715" b="0"/>
            <wp:docPr id="77" name="Picture 77"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181EA931" w14:textId="77777777" w:rsidR="00FC51B7" w:rsidRPr="00F23CBD" w:rsidRDefault="00FC51B7" w:rsidP="00C71DBA">
      <w:pPr>
        <w:ind w:firstLine="0"/>
        <w:rPr>
          <w:rFonts w:cstheme="minorHAnsi"/>
        </w:rPr>
      </w:pPr>
      <w:r w:rsidRPr="00F23CBD">
        <w:rPr>
          <w:rFonts w:cstheme="minorHAnsi"/>
          <w:b/>
          <w:bCs/>
        </w:rPr>
        <w:t>Activity 3:</w:t>
      </w:r>
      <w:r w:rsidRPr="00F23CBD">
        <w:rPr>
          <w:rFonts w:cstheme="minorHAnsi"/>
        </w:rPr>
        <w:t xml:space="preserve"> Assist agency in individual agency self-assessments regarding level of workforce system integration.</w:t>
      </w:r>
      <w:r w:rsidRPr="00F23CBD">
        <w:rPr>
          <w:rFonts w:cstheme="minorHAnsi"/>
        </w:rPr>
        <w:tab/>
      </w:r>
    </w:p>
    <w:p w14:paraId="6B4D7BF7" w14:textId="77777777" w:rsidR="00FC51B7" w:rsidRPr="00F23CBD" w:rsidRDefault="00FC51B7" w:rsidP="00C71DBA">
      <w:pPr>
        <w:ind w:firstLine="0"/>
        <w:rPr>
          <w:rFonts w:cstheme="minorHAnsi"/>
        </w:rPr>
      </w:pPr>
      <w:r w:rsidRPr="00F23CBD">
        <w:rPr>
          <w:rFonts w:cstheme="minorHAnsi"/>
          <w:b/>
          <w:bCs/>
        </w:rPr>
        <w:t>Output C:</w:t>
      </w:r>
      <w:r w:rsidRPr="00F23CBD">
        <w:rPr>
          <w:rFonts w:cstheme="minorHAnsi"/>
        </w:rPr>
        <w:t xml:space="preserve"> Self-assessments conducted, baseline level of integration determined. Integration Continuum Report Provided.</w:t>
      </w:r>
    </w:p>
    <w:p w14:paraId="1699914B" w14:textId="77777777" w:rsidR="00FC51B7" w:rsidRDefault="00FC51B7" w:rsidP="00C71DBA">
      <w:pPr>
        <w:tabs>
          <w:tab w:val="left" w:pos="360"/>
        </w:tabs>
        <w:ind w:firstLine="0"/>
        <w:jc w:val="center"/>
        <w:rPr>
          <w:szCs w:val="14"/>
        </w:rPr>
      </w:pPr>
      <w:r w:rsidRPr="003A10D6">
        <w:rPr>
          <w:sz w:val="36"/>
          <w:szCs w:val="36"/>
        </w:rPr>
        <w:t xml:space="preserve">Activity </w:t>
      </w:r>
      <w:r>
        <w:rPr>
          <w:sz w:val="36"/>
          <w:szCs w:val="36"/>
        </w:rPr>
        <w:t>4</w:t>
      </w:r>
      <w:r>
        <w:rPr>
          <w:szCs w:val="14"/>
        </w:rPr>
        <w:br/>
      </w:r>
      <w:r>
        <w:rPr>
          <w:noProof/>
          <w:lang w:eastAsia="ko-KR"/>
        </w:rPr>
        <w:drawing>
          <wp:inline distT="0" distB="0" distL="0" distR="0" wp14:anchorId="56CFFEF2" wp14:editId="225F9A9A">
            <wp:extent cx="1481328" cy="4572000"/>
            <wp:effectExtent l="0" t="0" r="5080" b="0"/>
            <wp:docPr id="61" name="Picture 61" descr="Activity &amp; Outputs Progress 4">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481328" cy="4572000"/>
                    </a:xfrm>
                    <a:prstGeom prst="rect">
                      <a:avLst/>
                    </a:prstGeom>
                  </pic:spPr>
                </pic:pic>
              </a:graphicData>
            </a:graphic>
          </wp:inline>
        </w:drawing>
      </w:r>
      <w:r>
        <w:rPr>
          <w:sz w:val="36"/>
          <w:szCs w:val="36"/>
        </w:rPr>
        <w:br/>
      </w:r>
      <w:r>
        <w:rPr>
          <w:noProof/>
          <w:lang w:eastAsia="ko-KR"/>
        </w:rPr>
        <w:drawing>
          <wp:inline distT="0" distB="0" distL="0" distR="0" wp14:anchorId="039ECCB3" wp14:editId="50DF6476">
            <wp:extent cx="2090057" cy="370114"/>
            <wp:effectExtent l="0" t="0" r="5715" b="0"/>
            <wp:docPr id="78" name="Picture 78"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1C67A6B7" w14:textId="77777777" w:rsidR="00FC51B7" w:rsidRPr="00F23CBD" w:rsidRDefault="00FC51B7" w:rsidP="00C71DBA">
      <w:pPr>
        <w:ind w:firstLine="0"/>
        <w:rPr>
          <w:rFonts w:cstheme="minorHAnsi"/>
        </w:rPr>
      </w:pPr>
      <w:r w:rsidRPr="00F23CBD">
        <w:rPr>
          <w:rFonts w:cstheme="minorHAnsi"/>
          <w:b/>
          <w:bCs/>
        </w:rPr>
        <w:t>Activity 4:</w:t>
      </w:r>
      <w:r w:rsidRPr="00F23CBD">
        <w:rPr>
          <w:rFonts w:cstheme="minorHAnsi"/>
        </w:rPr>
        <w:t xml:space="preserve"> Assist agency and partner programs with a system-wide self-assessment regarding level of workforce system integration.</w:t>
      </w:r>
    </w:p>
    <w:p w14:paraId="4F73845C" w14:textId="77777777" w:rsidR="00FC51B7" w:rsidRPr="00F23CBD" w:rsidRDefault="00FC51B7" w:rsidP="00C71DBA">
      <w:pPr>
        <w:ind w:firstLine="0"/>
        <w:rPr>
          <w:rFonts w:cstheme="minorHAnsi"/>
        </w:rPr>
      </w:pPr>
      <w:r w:rsidRPr="00F23CBD">
        <w:rPr>
          <w:rFonts w:cstheme="minorHAnsi"/>
          <w:b/>
          <w:bCs/>
        </w:rPr>
        <w:t>Output D:</w:t>
      </w:r>
      <w:r w:rsidRPr="00F23CBD">
        <w:rPr>
          <w:rFonts w:cstheme="minorHAnsi"/>
        </w:rPr>
        <w:t xml:space="preserve"> Report on Assessment and Priorities. Initial Action Plan with collaborative process developed.</w:t>
      </w:r>
    </w:p>
    <w:p w14:paraId="1DA99B02" w14:textId="77777777" w:rsidR="00FC51B7" w:rsidRDefault="00FC51B7" w:rsidP="00C71DBA">
      <w:pPr>
        <w:tabs>
          <w:tab w:val="left" w:pos="360"/>
        </w:tabs>
        <w:ind w:firstLine="0"/>
        <w:jc w:val="center"/>
        <w:rPr>
          <w:szCs w:val="14"/>
        </w:rPr>
      </w:pPr>
      <w:r w:rsidRPr="003A10D6">
        <w:rPr>
          <w:sz w:val="36"/>
          <w:szCs w:val="36"/>
        </w:rPr>
        <w:lastRenderedPageBreak/>
        <w:t>Activity</w:t>
      </w:r>
      <w:r>
        <w:rPr>
          <w:sz w:val="36"/>
          <w:szCs w:val="36"/>
        </w:rPr>
        <w:t>5</w:t>
      </w:r>
      <w:r>
        <w:rPr>
          <w:szCs w:val="14"/>
        </w:rPr>
        <w:br/>
      </w:r>
      <w:r>
        <w:rPr>
          <w:noProof/>
          <w:lang w:eastAsia="ko-KR"/>
        </w:rPr>
        <w:drawing>
          <wp:inline distT="0" distB="0" distL="0" distR="0" wp14:anchorId="1CDE153B" wp14:editId="6ADCC52D">
            <wp:extent cx="1472184" cy="4572000"/>
            <wp:effectExtent l="0" t="0" r="0" b="0"/>
            <wp:docPr id="79" name="Picture 79" descr="Activity &amp; Outputs Progress 5">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472184" cy="4572000"/>
                    </a:xfrm>
                    <a:prstGeom prst="rect">
                      <a:avLst/>
                    </a:prstGeom>
                  </pic:spPr>
                </pic:pic>
              </a:graphicData>
            </a:graphic>
          </wp:inline>
        </w:drawing>
      </w:r>
      <w:r>
        <w:rPr>
          <w:sz w:val="36"/>
          <w:szCs w:val="36"/>
        </w:rPr>
        <w:br/>
      </w:r>
      <w:r>
        <w:rPr>
          <w:noProof/>
          <w:lang w:eastAsia="ko-KR"/>
        </w:rPr>
        <w:drawing>
          <wp:inline distT="0" distB="0" distL="0" distR="0" wp14:anchorId="7066CF6A" wp14:editId="65F45C60">
            <wp:extent cx="2090057" cy="370114"/>
            <wp:effectExtent l="0" t="0" r="5715" b="0"/>
            <wp:docPr id="80" name="Picture 80"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0EAC708C" w14:textId="77777777" w:rsidR="00FC51B7" w:rsidRPr="00F23CBD" w:rsidRDefault="00FC51B7" w:rsidP="00C71DBA">
      <w:pPr>
        <w:ind w:firstLine="0"/>
        <w:rPr>
          <w:rFonts w:cstheme="minorHAnsi"/>
        </w:rPr>
      </w:pPr>
      <w:r w:rsidRPr="003039F3">
        <w:rPr>
          <w:rFonts w:cstheme="minorHAnsi"/>
          <w:b/>
          <w:bCs/>
        </w:rPr>
        <w:t>Activity 5:</w:t>
      </w:r>
      <w:r w:rsidRPr="00F23CBD">
        <w:rPr>
          <w:rFonts w:cstheme="minorHAnsi"/>
        </w:rPr>
        <w:t xml:space="preserve"> Assist the agency in assessing its current utilization of career pathways in the IPE development process and the resources needed to increase the use of career pathways in future planning with consumers.</w:t>
      </w:r>
    </w:p>
    <w:p w14:paraId="08667604" w14:textId="77777777" w:rsidR="00FC51B7" w:rsidRPr="00F23CBD" w:rsidRDefault="00FC51B7" w:rsidP="00C71DBA">
      <w:pPr>
        <w:ind w:firstLine="0"/>
        <w:rPr>
          <w:rFonts w:cstheme="minorHAnsi"/>
        </w:rPr>
      </w:pPr>
      <w:r w:rsidRPr="003039F3">
        <w:rPr>
          <w:rFonts w:cstheme="minorHAnsi"/>
          <w:b/>
          <w:bCs/>
        </w:rPr>
        <w:t>Output E:</w:t>
      </w:r>
      <w:r w:rsidRPr="00F23CBD">
        <w:rPr>
          <w:rFonts w:cstheme="minorHAnsi"/>
        </w:rPr>
        <w:t xml:space="preserve"> A completed assessment with tools and resources provided to agency staff.</w:t>
      </w:r>
    </w:p>
    <w:p w14:paraId="5DCA320C" w14:textId="77777777" w:rsidR="00FC51B7" w:rsidRDefault="00FC51B7" w:rsidP="00C71DBA">
      <w:pPr>
        <w:tabs>
          <w:tab w:val="left" w:pos="360"/>
        </w:tabs>
        <w:ind w:firstLine="0"/>
        <w:jc w:val="center"/>
        <w:rPr>
          <w:szCs w:val="14"/>
        </w:rPr>
      </w:pPr>
      <w:r w:rsidRPr="003A10D6">
        <w:rPr>
          <w:sz w:val="36"/>
          <w:szCs w:val="36"/>
        </w:rPr>
        <w:t xml:space="preserve">Activity </w:t>
      </w:r>
      <w:r>
        <w:rPr>
          <w:sz w:val="36"/>
          <w:szCs w:val="36"/>
        </w:rPr>
        <w:t>6</w:t>
      </w:r>
      <w:r>
        <w:rPr>
          <w:szCs w:val="14"/>
        </w:rPr>
        <w:br/>
      </w:r>
      <w:r>
        <w:rPr>
          <w:noProof/>
          <w:lang w:eastAsia="ko-KR"/>
        </w:rPr>
        <w:drawing>
          <wp:inline distT="0" distB="0" distL="0" distR="0" wp14:anchorId="5758F1E1" wp14:editId="466CD88F">
            <wp:extent cx="1554480" cy="4572000"/>
            <wp:effectExtent l="0" t="0" r="7620" b="0"/>
            <wp:docPr id="63" name="Picture 63" descr="Activity &amp; Outputs Progress 6">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554480" cy="4572000"/>
                    </a:xfrm>
                    <a:prstGeom prst="rect">
                      <a:avLst/>
                    </a:prstGeom>
                  </pic:spPr>
                </pic:pic>
              </a:graphicData>
            </a:graphic>
          </wp:inline>
        </w:drawing>
      </w:r>
      <w:r>
        <w:rPr>
          <w:sz w:val="36"/>
          <w:szCs w:val="36"/>
        </w:rPr>
        <w:br/>
      </w:r>
      <w:r>
        <w:rPr>
          <w:noProof/>
          <w:lang w:eastAsia="ko-KR"/>
        </w:rPr>
        <w:drawing>
          <wp:inline distT="0" distB="0" distL="0" distR="0" wp14:anchorId="74752CFE" wp14:editId="659FAABF">
            <wp:extent cx="2090057" cy="370114"/>
            <wp:effectExtent l="0" t="0" r="5715" b="0"/>
            <wp:docPr id="81" name="Picture 81"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30EED1D9" w14:textId="77777777" w:rsidR="00FC51B7" w:rsidRPr="00F23CBD" w:rsidRDefault="00FC51B7" w:rsidP="00C71DBA">
      <w:pPr>
        <w:ind w:firstLine="0"/>
        <w:rPr>
          <w:rFonts w:cstheme="minorHAnsi"/>
        </w:rPr>
      </w:pPr>
      <w:r w:rsidRPr="003039F3">
        <w:rPr>
          <w:rFonts w:cstheme="minorHAnsi"/>
          <w:b/>
          <w:bCs/>
        </w:rPr>
        <w:t>Activity 6:</w:t>
      </w:r>
      <w:r w:rsidRPr="00F23CBD">
        <w:rPr>
          <w:rFonts w:cstheme="minorHAnsi"/>
        </w:rPr>
        <w:t xml:space="preserve"> Assist in the development of new or revised policies and procedures that will increase the use of career pathways in the vocational planning and service delivery process for VR consumers.</w:t>
      </w:r>
    </w:p>
    <w:p w14:paraId="54F5435A" w14:textId="77777777" w:rsidR="00FC51B7" w:rsidRPr="00F23CBD" w:rsidRDefault="00FC51B7" w:rsidP="00C71DBA">
      <w:pPr>
        <w:ind w:firstLine="0"/>
        <w:rPr>
          <w:rFonts w:cstheme="minorHAnsi"/>
        </w:rPr>
      </w:pPr>
      <w:r w:rsidRPr="003039F3">
        <w:rPr>
          <w:rFonts w:cstheme="minorHAnsi"/>
          <w:b/>
          <w:bCs/>
        </w:rPr>
        <w:t>Output F:</w:t>
      </w:r>
      <w:r w:rsidRPr="00F23CBD">
        <w:rPr>
          <w:rFonts w:cstheme="minorHAnsi"/>
        </w:rPr>
        <w:t xml:space="preserve"> Draft of new and/or revised policies and procedures related to career pathways.</w:t>
      </w:r>
    </w:p>
    <w:p w14:paraId="6025C582" w14:textId="77777777" w:rsidR="00FC51B7" w:rsidRDefault="00FC51B7" w:rsidP="00C71DBA">
      <w:pPr>
        <w:tabs>
          <w:tab w:val="left" w:pos="360"/>
        </w:tabs>
        <w:ind w:firstLine="0"/>
        <w:jc w:val="center"/>
        <w:rPr>
          <w:szCs w:val="14"/>
        </w:rPr>
      </w:pPr>
      <w:r w:rsidRPr="003A10D6">
        <w:rPr>
          <w:sz w:val="36"/>
          <w:szCs w:val="36"/>
        </w:rPr>
        <w:lastRenderedPageBreak/>
        <w:t xml:space="preserve">Activity </w:t>
      </w:r>
      <w:r>
        <w:rPr>
          <w:sz w:val="36"/>
          <w:szCs w:val="36"/>
        </w:rPr>
        <w:t>9</w:t>
      </w:r>
      <w:r>
        <w:rPr>
          <w:szCs w:val="14"/>
        </w:rPr>
        <w:br/>
      </w:r>
      <w:r>
        <w:rPr>
          <w:noProof/>
          <w:lang w:eastAsia="ko-KR"/>
        </w:rPr>
        <w:drawing>
          <wp:inline distT="0" distB="0" distL="0" distR="0" wp14:anchorId="54B8AAF6" wp14:editId="7B89CFDE">
            <wp:extent cx="1408176" cy="4572000"/>
            <wp:effectExtent l="0" t="0" r="1905" b="0"/>
            <wp:docPr id="96" name="Picture 96" descr="Activity &amp; Outputs Progress 9">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408176" cy="4572000"/>
                    </a:xfrm>
                    <a:prstGeom prst="rect">
                      <a:avLst/>
                    </a:prstGeom>
                  </pic:spPr>
                </pic:pic>
              </a:graphicData>
            </a:graphic>
          </wp:inline>
        </w:drawing>
      </w:r>
      <w:r>
        <w:rPr>
          <w:sz w:val="36"/>
          <w:szCs w:val="36"/>
        </w:rPr>
        <w:br/>
      </w:r>
      <w:r>
        <w:rPr>
          <w:noProof/>
          <w:lang w:eastAsia="ko-KR"/>
        </w:rPr>
        <w:drawing>
          <wp:inline distT="0" distB="0" distL="0" distR="0" wp14:anchorId="11852D1F" wp14:editId="3F06175E">
            <wp:extent cx="2090057" cy="370114"/>
            <wp:effectExtent l="0" t="0" r="5715" b="0"/>
            <wp:docPr id="82" name="Picture 82"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2417090F" w14:textId="77777777" w:rsidR="00FC51B7" w:rsidRPr="00F23CBD" w:rsidRDefault="00FC51B7" w:rsidP="00C71DBA">
      <w:pPr>
        <w:ind w:firstLine="0"/>
        <w:rPr>
          <w:rFonts w:cstheme="minorHAnsi"/>
        </w:rPr>
      </w:pPr>
      <w:r w:rsidRPr="003039F3">
        <w:rPr>
          <w:rFonts w:cstheme="minorHAnsi"/>
          <w:b/>
          <w:bCs/>
        </w:rPr>
        <w:t>Activity 9:</w:t>
      </w:r>
      <w:r w:rsidRPr="00F23CBD">
        <w:rPr>
          <w:rFonts w:cstheme="minorHAnsi"/>
        </w:rPr>
        <w:t xml:space="preserve"> Assess the capacity of the VR agency and core partners to utilize Integrated Resource Teams to serve individuals with disabilities in the AJCs.</w:t>
      </w:r>
    </w:p>
    <w:p w14:paraId="22C34F74" w14:textId="77777777" w:rsidR="00FC51B7" w:rsidRPr="00F23CBD" w:rsidRDefault="00FC51B7" w:rsidP="00C71DBA">
      <w:pPr>
        <w:ind w:firstLine="0"/>
        <w:rPr>
          <w:rFonts w:cstheme="minorHAnsi"/>
        </w:rPr>
      </w:pPr>
      <w:r w:rsidRPr="003039F3">
        <w:rPr>
          <w:rFonts w:cstheme="minorHAnsi"/>
          <w:b/>
          <w:bCs/>
        </w:rPr>
        <w:t>Output I:</w:t>
      </w:r>
      <w:r w:rsidRPr="00F23CBD">
        <w:rPr>
          <w:rFonts w:cstheme="minorHAnsi"/>
        </w:rPr>
        <w:t xml:space="preserve"> A completed assessment identifying challenges to utilizing IRTs and recommendations on how to implement IRTs.</w:t>
      </w:r>
    </w:p>
    <w:p w14:paraId="39CBE829" w14:textId="77777777" w:rsidR="00FC51B7" w:rsidRDefault="00FC51B7" w:rsidP="00C71DBA">
      <w:pPr>
        <w:tabs>
          <w:tab w:val="left" w:pos="360"/>
        </w:tabs>
        <w:ind w:firstLine="0"/>
        <w:jc w:val="center"/>
        <w:rPr>
          <w:szCs w:val="14"/>
        </w:rPr>
      </w:pPr>
      <w:r w:rsidRPr="003A10D6">
        <w:rPr>
          <w:sz w:val="36"/>
          <w:szCs w:val="36"/>
        </w:rPr>
        <w:t xml:space="preserve">Activity </w:t>
      </w:r>
      <w:r>
        <w:rPr>
          <w:sz w:val="36"/>
          <w:szCs w:val="36"/>
        </w:rPr>
        <w:t>10</w:t>
      </w:r>
      <w:r>
        <w:rPr>
          <w:szCs w:val="14"/>
        </w:rPr>
        <w:br/>
      </w:r>
      <w:r>
        <w:rPr>
          <w:noProof/>
          <w:lang w:eastAsia="ko-KR"/>
        </w:rPr>
        <w:drawing>
          <wp:inline distT="0" distB="0" distL="0" distR="0" wp14:anchorId="2CCAB4C1" wp14:editId="07470DAD">
            <wp:extent cx="1463040" cy="4572000"/>
            <wp:effectExtent l="0" t="0" r="3810" b="0"/>
            <wp:docPr id="97" name="Picture 97" descr="Activity &amp; Outputs Progress 10">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463040" cy="4572000"/>
                    </a:xfrm>
                    <a:prstGeom prst="rect">
                      <a:avLst/>
                    </a:prstGeom>
                  </pic:spPr>
                </pic:pic>
              </a:graphicData>
            </a:graphic>
          </wp:inline>
        </w:drawing>
      </w:r>
      <w:r>
        <w:rPr>
          <w:sz w:val="36"/>
          <w:szCs w:val="36"/>
        </w:rPr>
        <w:br/>
      </w:r>
      <w:r>
        <w:rPr>
          <w:noProof/>
          <w:lang w:eastAsia="ko-KR"/>
        </w:rPr>
        <w:drawing>
          <wp:inline distT="0" distB="0" distL="0" distR="0" wp14:anchorId="4654991A" wp14:editId="630E242B">
            <wp:extent cx="2090057" cy="370114"/>
            <wp:effectExtent l="0" t="0" r="5715" b="0"/>
            <wp:docPr id="83" name="Picture 83"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5E96509F" w14:textId="77777777" w:rsidR="00FC51B7" w:rsidRPr="00F23CBD" w:rsidRDefault="00FC51B7" w:rsidP="00C71DBA">
      <w:pPr>
        <w:ind w:firstLine="0"/>
        <w:rPr>
          <w:rFonts w:cstheme="minorHAnsi"/>
        </w:rPr>
      </w:pPr>
      <w:r w:rsidRPr="003039F3">
        <w:rPr>
          <w:rFonts w:cstheme="minorHAnsi"/>
          <w:b/>
          <w:bCs/>
        </w:rPr>
        <w:t>Activity 10:</w:t>
      </w:r>
      <w:r w:rsidRPr="00F23CBD">
        <w:rPr>
          <w:rFonts w:cstheme="minorHAnsi"/>
        </w:rPr>
        <w:t xml:space="preserve"> Assist the VR program and core WDS partners to develop a pilot site that will utilize IRTs to serve individuals with disabilities in the AJC.</w:t>
      </w:r>
    </w:p>
    <w:p w14:paraId="479FDAE6" w14:textId="77777777" w:rsidR="00FC51B7" w:rsidRPr="00F23CBD" w:rsidRDefault="00FC51B7" w:rsidP="00C71DBA">
      <w:pPr>
        <w:ind w:firstLine="0"/>
        <w:rPr>
          <w:rFonts w:cstheme="minorHAnsi"/>
        </w:rPr>
      </w:pPr>
      <w:r w:rsidRPr="003039F3">
        <w:rPr>
          <w:rFonts w:cstheme="minorHAnsi"/>
          <w:b/>
          <w:bCs/>
        </w:rPr>
        <w:t>Output J:</w:t>
      </w:r>
      <w:r w:rsidRPr="00F23CBD">
        <w:rPr>
          <w:rFonts w:cstheme="minorHAnsi"/>
        </w:rPr>
        <w:t xml:space="preserve"> The establishment of a pilot site for IRT implementation.</w:t>
      </w:r>
    </w:p>
    <w:p w14:paraId="5A9D7C0D" w14:textId="77777777" w:rsidR="00FC51B7" w:rsidRDefault="00FC51B7" w:rsidP="00C71DBA">
      <w:pPr>
        <w:tabs>
          <w:tab w:val="left" w:pos="360"/>
        </w:tabs>
        <w:ind w:firstLine="0"/>
        <w:jc w:val="center"/>
        <w:rPr>
          <w:szCs w:val="14"/>
        </w:rPr>
      </w:pPr>
      <w:r w:rsidRPr="003A10D6">
        <w:rPr>
          <w:sz w:val="36"/>
          <w:szCs w:val="36"/>
        </w:rPr>
        <w:lastRenderedPageBreak/>
        <w:t xml:space="preserve">Activity </w:t>
      </w:r>
      <w:r>
        <w:rPr>
          <w:sz w:val="36"/>
          <w:szCs w:val="36"/>
        </w:rPr>
        <w:t>11</w:t>
      </w:r>
      <w:r>
        <w:rPr>
          <w:szCs w:val="14"/>
        </w:rPr>
        <w:br/>
      </w:r>
      <w:r>
        <w:rPr>
          <w:noProof/>
          <w:lang w:eastAsia="ko-KR"/>
        </w:rPr>
        <w:drawing>
          <wp:inline distT="0" distB="0" distL="0" distR="0" wp14:anchorId="42E7EF2C" wp14:editId="3A7341D3">
            <wp:extent cx="1527048" cy="4572000"/>
            <wp:effectExtent l="0" t="0" r="0" b="0"/>
            <wp:docPr id="98" name="Picture 98" descr="Activity &amp; Outputs Progress 11">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527048" cy="4572000"/>
                    </a:xfrm>
                    <a:prstGeom prst="rect">
                      <a:avLst/>
                    </a:prstGeom>
                  </pic:spPr>
                </pic:pic>
              </a:graphicData>
            </a:graphic>
          </wp:inline>
        </w:drawing>
      </w:r>
      <w:r>
        <w:rPr>
          <w:sz w:val="36"/>
          <w:szCs w:val="36"/>
        </w:rPr>
        <w:br/>
      </w:r>
      <w:r>
        <w:rPr>
          <w:noProof/>
          <w:lang w:eastAsia="ko-KR"/>
        </w:rPr>
        <w:drawing>
          <wp:inline distT="0" distB="0" distL="0" distR="0" wp14:anchorId="67CCAD1E" wp14:editId="325EFE64">
            <wp:extent cx="2090057" cy="370114"/>
            <wp:effectExtent l="0" t="0" r="5715" b="0"/>
            <wp:docPr id="53" name="Picture 53"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66ACD809" w14:textId="77777777" w:rsidR="00FC51B7" w:rsidRPr="00F23CBD" w:rsidRDefault="00FC51B7" w:rsidP="00C71DBA">
      <w:pPr>
        <w:ind w:firstLine="0"/>
        <w:rPr>
          <w:rFonts w:cstheme="minorHAnsi"/>
        </w:rPr>
      </w:pPr>
      <w:r w:rsidRPr="003039F3">
        <w:rPr>
          <w:rFonts w:cstheme="minorHAnsi"/>
          <w:b/>
          <w:bCs/>
        </w:rPr>
        <w:t>Activity 11:</w:t>
      </w:r>
      <w:r w:rsidRPr="00F23CBD">
        <w:rPr>
          <w:rFonts w:cstheme="minorHAnsi"/>
        </w:rPr>
        <w:t xml:space="preserve"> Provide training to VR (and any other partners) on (name activity focus like career pathways, apprenticeships, IRTs, etc.).</w:t>
      </w:r>
    </w:p>
    <w:p w14:paraId="0FE8BEE5" w14:textId="77777777" w:rsidR="00FC51B7" w:rsidRPr="00F23CBD" w:rsidRDefault="00FC51B7" w:rsidP="00C71DBA">
      <w:pPr>
        <w:ind w:firstLine="0"/>
        <w:rPr>
          <w:rFonts w:cstheme="minorHAnsi"/>
        </w:rPr>
      </w:pPr>
      <w:r w:rsidRPr="003039F3">
        <w:rPr>
          <w:rFonts w:cstheme="minorHAnsi"/>
          <w:b/>
          <w:bCs/>
        </w:rPr>
        <w:t>Output K:</w:t>
      </w:r>
      <w:r w:rsidRPr="00F23CBD">
        <w:rPr>
          <w:rFonts w:cstheme="minorHAnsi"/>
        </w:rPr>
        <w:t xml:space="preserve"> The number of individuals that complete the training by agency and the content delivered.</w:t>
      </w:r>
    </w:p>
    <w:p w14:paraId="6EF000B3" w14:textId="77777777" w:rsidR="00FC51B7" w:rsidRDefault="00FC51B7" w:rsidP="00C71DBA">
      <w:pPr>
        <w:tabs>
          <w:tab w:val="left" w:pos="360"/>
        </w:tabs>
        <w:ind w:firstLine="0"/>
        <w:jc w:val="center"/>
        <w:rPr>
          <w:szCs w:val="14"/>
        </w:rPr>
      </w:pPr>
      <w:r w:rsidRPr="003A10D6">
        <w:rPr>
          <w:sz w:val="36"/>
          <w:szCs w:val="36"/>
        </w:rPr>
        <w:t xml:space="preserve">Activity </w:t>
      </w:r>
      <w:r>
        <w:rPr>
          <w:sz w:val="36"/>
          <w:szCs w:val="36"/>
        </w:rPr>
        <w:t>1</w:t>
      </w:r>
      <w:r w:rsidRPr="003A10D6">
        <w:rPr>
          <w:sz w:val="36"/>
          <w:szCs w:val="36"/>
        </w:rPr>
        <w:t>2</w:t>
      </w:r>
      <w:r>
        <w:rPr>
          <w:szCs w:val="14"/>
        </w:rPr>
        <w:br/>
      </w:r>
      <w:r>
        <w:rPr>
          <w:noProof/>
          <w:lang w:eastAsia="ko-KR"/>
        </w:rPr>
        <w:drawing>
          <wp:inline distT="0" distB="0" distL="0" distR="0" wp14:anchorId="33A21DEF" wp14:editId="5629957C">
            <wp:extent cx="1481328" cy="4572000"/>
            <wp:effectExtent l="0" t="0" r="5080" b="0"/>
            <wp:docPr id="99" name="Picture 99" descr="Activity &amp; Outputs Progress 12">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481328" cy="4572000"/>
                    </a:xfrm>
                    <a:prstGeom prst="rect">
                      <a:avLst/>
                    </a:prstGeom>
                  </pic:spPr>
                </pic:pic>
              </a:graphicData>
            </a:graphic>
          </wp:inline>
        </w:drawing>
      </w:r>
      <w:r>
        <w:rPr>
          <w:sz w:val="36"/>
          <w:szCs w:val="36"/>
        </w:rPr>
        <w:br/>
      </w:r>
      <w:r>
        <w:rPr>
          <w:noProof/>
          <w:lang w:eastAsia="ko-KR"/>
        </w:rPr>
        <w:drawing>
          <wp:inline distT="0" distB="0" distL="0" distR="0" wp14:anchorId="1109DAB6" wp14:editId="337F56D7">
            <wp:extent cx="2090057" cy="370114"/>
            <wp:effectExtent l="0" t="0" r="5715" b="0"/>
            <wp:docPr id="55" name="Picture 55"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0857C4FF" w14:textId="77777777" w:rsidR="00FC51B7" w:rsidRPr="00F23CBD" w:rsidRDefault="00FC51B7" w:rsidP="00C71DBA">
      <w:pPr>
        <w:ind w:firstLine="0"/>
        <w:rPr>
          <w:rFonts w:cstheme="minorHAnsi"/>
        </w:rPr>
      </w:pPr>
      <w:r w:rsidRPr="003039F3">
        <w:rPr>
          <w:rFonts w:cstheme="minorHAnsi"/>
          <w:b/>
          <w:bCs/>
        </w:rPr>
        <w:t>Activity 12:</w:t>
      </w:r>
      <w:r w:rsidRPr="00F23CBD">
        <w:rPr>
          <w:rFonts w:cstheme="minorHAnsi"/>
        </w:rPr>
        <w:t xml:space="preserve"> Assist VR and other core and required partners to develop MOUs, Cost-sharing agreements, data sharing agreements, IFAs and local MOUs with Boards as needed. </w:t>
      </w:r>
      <w:r w:rsidRPr="00F23CBD">
        <w:rPr>
          <w:rFonts w:cstheme="minorHAnsi"/>
        </w:rPr>
        <w:tab/>
      </w:r>
    </w:p>
    <w:p w14:paraId="2A2D28C1" w14:textId="77777777" w:rsidR="00FC51B7" w:rsidRPr="00D436A2" w:rsidRDefault="00FC51B7" w:rsidP="00C71DBA">
      <w:pPr>
        <w:ind w:firstLine="0"/>
        <w:rPr>
          <w:rFonts w:cstheme="minorHAnsi"/>
        </w:rPr>
      </w:pPr>
      <w:r w:rsidRPr="003039F3">
        <w:rPr>
          <w:rFonts w:cstheme="minorHAnsi"/>
          <w:b/>
          <w:bCs/>
        </w:rPr>
        <w:t>Output L:</w:t>
      </w:r>
      <w:r w:rsidRPr="00F23CBD">
        <w:rPr>
          <w:rFonts w:cstheme="minorHAnsi"/>
        </w:rPr>
        <w:t xml:space="preserve"> A draft agreement or MOU.</w:t>
      </w:r>
    </w:p>
    <w:p w14:paraId="21813DD8" w14:textId="77777777" w:rsidR="00FC51B7" w:rsidRDefault="00FC51B7" w:rsidP="00C71DBA">
      <w:pPr>
        <w:tabs>
          <w:tab w:val="left" w:pos="360"/>
        </w:tabs>
        <w:ind w:firstLine="0"/>
        <w:jc w:val="center"/>
        <w:rPr>
          <w:szCs w:val="14"/>
        </w:rPr>
      </w:pPr>
      <w:r w:rsidRPr="003A10D6">
        <w:rPr>
          <w:sz w:val="36"/>
          <w:szCs w:val="36"/>
        </w:rPr>
        <w:lastRenderedPageBreak/>
        <w:t xml:space="preserve">Activity </w:t>
      </w:r>
      <w:r>
        <w:rPr>
          <w:sz w:val="36"/>
          <w:szCs w:val="36"/>
        </w:rPr>
        <w:t>Unique</w:t>
      </w:r>
      <w:r>
        <w:rPr>
          <w:szCs w:val="14"/>
        </w:rPr>
        <w:br/>
      </w:r>
      <w:r>
        <w:rPr>
          <w:noProof/>
          <w:lang w:eastAsia="ko-KR"/>
        </w:rPr>
        <w:drawing>
          <wp:inline distT="0" distB="0" distL="0" distR="0" wp14:anchorId="3389C0B0" wp14:editId="723609FF">
            <wp:extent cx="1554480" cy="4572000"/>
            <wp:effectExtent l="0" t="0" r="7620" b="0"/>
            <wp:docPr id="100" name="Picture 100" descr="Activity &amp; Outputs Progress Unique">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554480" cy="4572000"/>
                    </a:xfrm>
                    <a:prstGeom prst="rect">
                      <a:avLst/>
                    </a:prstGeom>
                  </pic:spPr>
                </pic:pic>
              </a:graphicData>
            </a:graphic>
          </wp:inline>
        </w:drawing>
      </w:r>
      <w:r>
        <w:rPr>
          <w:sz w:val="36"/>
          <w:szCs w:val="36"/>
        </w:rPr>
        <w:br/>
      </w:r>
      <w:r>
        <w:rPr>
          <w:noProof/>
          <w:lang w:eastAsia="ko-KR"/>
        </w:rPr>
        <w:drawing>
          <wp:inline distT="0" distB="0" distL="0" distR="0" wp14:anchorId="30B787C8" wp14:editId="481675AE">
            <wp:extent cx="2090057" cy="370114"/>
            <wp:effectExtent l="0" t="0" r="5715" b="0"/>
            <wp:docPr id="57" name="Picture 57"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762E571D" w14:textId="77777777" w:rsidR="00FC51B7" w:rsidRPr="003039F3" w:rsidRDefault="00FC51B7" w:rsidP="00C71DBA">
      <w:pPr>
        <w:ind w:firstLine="0"/>
        <w:rPr>
          <w:rFonts w:cstheme="minorHAnsi"/>
        </w:rPr>
      </w:pPr>
      <w:r w:rsidRPr="003039F3">
        <w:rPr>
          <w:rFonts w:cstheme="minorHAnsi"/>
          <w:b/>
          <w:bCs/>
        </w:rPr>
        <w:t>Activity Unique:</w:t>
      </w:r>
      <w:r w:rsidRPr="003039F3">
        <w:rPr>
          <w:rFonts w:cstheme="minorHAnsi"/>
        </w:rPr>
        <w:t xml:space="preserve"> Assist </w:t>
      </w:r>
      <w:r>
        <w:rPr>
          <w:rFonts w:cstheme="minorHAnsi"/>
        </w:rPr>
        <w:t>states with</w:t>
      </w:r>
      <w:r w:rsidRPr="003039F3">
        <w:rPr>
          <w:rFonts w:cstheme="minorHAnsi"/>
        </w:rPr>
        <w:t xml:space="preserve"> collaborative business services</w:t>
      </w:r>
      <w:r>
        <w:rPr>
          <w:rFonts w:cstheme="minorHAnsi"/>
        </w:rPr>
        <w:t xml:space="preserve">, implement </w:t>
      </w:r>
      <w:r w:rsidRPr="003039F3">
        <w:rPr>
          <w:rFonts w:cstheme="minorHAnsi"/>
        </w:rPr>
        <w:t>Order of Selection</w:t>
      </w:r>
      <w:r>
        <w:rPr>
          <w:rFonts w:cstheme="minorHAnsi"/>
        </w:rPr>
        <w:t xml:space="preserve"> (OOS)</w:t>
      </w:r>
      <w:r w:rsidRPr="003039F3">
        <w:rPr>
          <w:rFonts w:cstheme="minorHAnsi"/>
        </w:rPr>
        <w:t>, develop MOUs and revis</w:t>
      </w:r>
      <w:r>
        <w:rPr>
          <w:rFonts w:cstheme="minorHAnsi"/>
        </w:rPr>
        <w:t>e</w:t>
      </w:r>
      <w:r w:rsidRPr="003039F3">
        <w:rPr>
          <w:rFonts w:cstheme="minorHAnsi"/>
        </w:rPr>
        <w:t xml:space="preserve"> policies and procedures as needed</w:t>
      </w:r>
      <w:r>
        <w:rPr>
          <w:rFonts w:cstheme="minorHAnsi"/>
        </w:rPr>
        <w:t xml:space="preserve"> related to OOS.</w:t>
      </w:r>
    </w:p>
    <w:p w14:paraId="7A059380" w14:textId="26048A47" w:rsidR="00FC51B7" w:rsidRDefault="00FC51B7" w:rsidP="0048500F">
      <w:pPr>
        <w:ind w:firstLine="0"/>
        <w:rPr>
          <w:szCs w:val="14"/>
        </w:rPr>
      </w:pPr>
      <w:r w:rsidRPr="003039F3">
        <w:rPr>
          <w:rFonts w:cstheme="minorHAnsi"/>
          <w:b/>
          <w:bCs/>
        </w:rPr>
        <w:t>Output</w:t>
      </w:r>
      <w:r>
        <w:rPr>
          <w:rFonts w:cstheme="minorHAnsi"/>
          <w:b/>
          <w:bCs/>
        </w:rPr>
        <w:t>s</w:t>
      </w:r>
      <w:r w:rsidRPr="003039F3">
        <w:rPr>
          <w:rFonts w:cstheme="minorHAnsi"/>
          <w:b/>
          <w:bCs/>
        </w:rPr>
        <w:t xml:space="preserve"> Unique:</w:t>
      </w:r>
      <w:r>
        <w:rPr>
          <w:rFonts w:cstheme="minorHAnsi"/>
        </w:rPr>
        <w:t xml:space="preserve"> </w:t>
      </w:r>
      <w:r w:rsidRPr="003039F3">
        <w:rPr>
          <w:rFonts w:cstheme="minorHAnsi"/>
        </w:rPr>
        <w:t>Strateg</w:t>
      </w:r>
      <w:r>
        <w:rPr>
          <w:rFonts w:cstheme="minorHAnsi"/>
        </w:rPr>
        <w:t>ies</w:t>
      </w:r>
      <w:r w:rsidRPr="003039F3">
        <w:rPr>
          <w:rFonts w:cstheme="minorHAnsi"/>
        </w:rPr>
        <w:t xml:space="preserve"> for collaboration</w:t>
      </w:r>
      <w:r>
        <w:rPr>
          <w:rFonts w:cstheme="minorHAnsi"/>
        </w:rPr>
        <w:t xml:space="preserve">, </w:t>
      </w:r>
      <w:r w:rsidRPr="003039F3">
        <w:rPr>
          <w:rFonts w:cstheme="minorHAnsi"/>
        </w:rPr>
        <w:t>Completed plan for OOS implementation.</w:t>
      </w:r>
      <w:r w:rsidR="0048500F">
        <w:rPr>
          <w:szCs w:val="14"/>
        </w:rPr>
        <w:t xml:space="preserve"> </w:t>
      </w:r>
    </w:p>
    <w:p w14:paraId="42F89960" w14:textId="77777777" w:rsidR="00FC51B7" w:rsidRDefault="00FC51B7" w:rsidP="00FC51B7">
      <w:pPr>
        <w:jc w:val="center"/>
        <w:rPr>
          <w:szCs w:val="14"/>
        </w:rPr>
        <w:sectPr w:rsidR="00FC51B7" w:rsidSect="0042504C">
          <w:headerReference w:type="even" r:id="rId226"/>
          <w:headerReference w:type="default" r:id="rId227"/>
          <w:footerReference w:type="even" r:id="rId228"/>
          <w:footerReference w:type="default" r:id="rId229"/>
          <w:headerReference w:type="first" r:id="rId230"/>
          <w:footerReference w:type="first" r:id="rId231"/>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num="2" w:space="720"/>
          <w:docGrid w:linePitch="360"/>
        </w:sectPr>
      </w:pPr>
    </w:p>
    <w:p w14:paraId="5620C5B9" w14:textId="6E2A4EFB" w:rsidR="00FC51B7" w:rsidRDefault="00BF3652" w:rsidP="00BF3652">
      <w:pPr>
        <w:pStyle w:val="Heading2"/>
      </w:pPr>
      <w:bookmarkStart w:id="95" w:name="_Toc41940233"/>
      <w:r>
        <w:lastRenderedPageBreak/>
        <w:t>Workforce Integration</w:t>
      </w:r>
      <w:r w:rsidRPr="009E708E">
        <w:t>:</w:t>
      </w:r>
      <w:r>
        <w:t xml:space="preserve"> Outcomes Progress Dashboards</w:t>
      </w:r>
      <w:bookmarkEnd w:id="95"/>
    </w:p>
    <w:p w14:paraId="424E3FD8" w14:textId="77777777" w:rsidR="00FC51B7" w:rsidRDefault="00FC51B7" w:rsidP="00FC51B7">
      <w:pPr>
        <w:jc w:val="center"/>
        <w:rPr>
          <w:sz w:val="24"/>
          <w:szCs w:val="24"/>
        </w:rPr>
      </w:pPr>
    </w:p>
    <w:p w14:paraId="4EF4220D" w14:textId="77777777" w:rsidR="00FC51B7" w:rsidRPr="00E47117" w:rsidRDefault="00FC51B7" w:rsidP="00A3202E">
      <w:pPr>
        <w:ind w:firstLine="0"/>
        <w:jc w:val="center"/>
        <w:rPr>
          <w:sz w:val="24"/>
          <w:szCs w:val="24"/>
        </w:rPr>
      </w:pPr>
      <w:r>
        <w:rPr>
          <w:noProof/>
          <w:lang w:eastAsia="ko-KR"/>
        </w:rPr>
        <w:drawing>
          <wp:inline distT="0" distB="0" distL="0" distR="0" wp14:anchorId="4BE62B16" wp14:editId="24A64319">
            <wp:extent cx="5713540" cy="2895600"/>
            <wp:effectExtent l="0" t="0" r="1905" b="0"/>
            <wp:docPr id="84" name="Picture 84" descr="Outcomes Progress speedometer showing 24%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cstate="print">
                      <a:extLst>
                        <a:ext uri="{28A0092B-C50C-407E-A947-70E740481C1C}">
                          <a14:useLocalDpi xmlns:a14="http://schemas.microsoft.com/office/drawing/2010/main"/>
                        </a:ext>
                      </a:extLst>
                    </a:blip>
                    <a:srcRect b="17925"/>
                    <a:stretch/>
                  </pic:blipFill>
                  <pic:spPr bwMode="auto">
                    <a:xfrm>
                      <a:off x="0" y="0"/>
                      <a:ext cx="5737852" cy="2907921"/>
                    </a:xfrm>
                    <a:prstGeom prst="rect">
                      <a:avLst/>
                    </a:prstGeom>
                    <a:ln>
                      <a:noFill/>
                    </a:ln>
                    <a:extLst>
                      <a:ext uri="{53640926-AAD7-44D8-BBD7-CCE9431645EC}">
                        <a14:shadowObscured xmlns:a14="http://schemas.microsoft.com/office/drawing/2010/main"/>
                      </a:ext>
                    </a:extLst>
                  </pic:spPr>
                </pic:pic>
              </a:graphicData>
            </a:graphic>
          </wp:inline>
        </w:drawing>
      </w:r>
      <w:r>
        <w:rPr>
          <w:sz w:val="24"/>
          <w:szCs w:val="24"/>
        </w:rPr>
        <w:br/>
      </w:r>
      <w:r>
        <w:rPr>
          <w:noProof/>
          <w:lang w:eastAsia="ko-KR"/>
        </w:rPr>
        <w:drawing>
          <wp:inline distT="0" distB="0" distL="0" distR="0" wp14:anchorId="6F35BA1A" wp14:editId="7B3164C3">
            <wp:extent cx="5086350" cy="266700"/>
            <wp:effectExtent l="0" t="0" r="0" b="0"/>
            <wp:docPr id="85" name="Picture 85" descr="&quot;Speed Dial&quot; Chart (half-donut chart) reflecting progress on outcomes for Business Engagement:&#10;89% have not yet started;&#10;6% are 25% complete;&#10;6% are complete.&#10;(Numbers do not add to 100 because of rounding.)"/>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233" cstate="hqprint">
                      <a:extLst>
                        <a:ext uri="{28A0092B-C50C-407E-A947-70E740481C1C}">
                          <a14:useLocalDpi xmlns:a14="http://schemas.microsoft.com/office/drawing/2010/main"/>
                        </a:ext>
                      </a:extLst>
                    </a:blip>
                    <a:srcRect/>
                    <a:stretch/>
                  </pic:blipFill>
                  <pic:spPr bwMode="auto">
                    <a:xfrm>
                      <a:off x="0" y="0"/>
                      <a:ext cx="5086350" cy="266700"/>
                    </a:xfrm>
                    <a:prstGeom prst="rect">
                      <a:avLst/>
                    </a:prstGeom>
                    <a:noFill/>
                    <a:ln>
                      <a:noFill/>
                    </a:ln>
                    <a:extLst>
                      <a:ext uri="{53640926-AAD7-44D8-BBD7-CCE9431645EC}">
                        <a14:shadowObscured xmlns:a14="http://schemas.microsoft.com/office/drawing/2010/main"/>
                      </a:ext>
                    </a:extLst>
                  </pic:spPr>
                </pic:pic>
              </a:graphicData>
            </a:graphic>
          </wp:inline>
        </w:drawing>
      </w:r>
    </w:p>
    <w:p w14:paraId="06CB2BBC" w14:textId="77777777" w:rsidR="00FC51B7" w:rsidRDefault="00FC51B7" w:rsidP="00FC51B7">
      <w:bookmarkStart w:id="96" w:name="_Hlk41688058"/>
      <w:r w:rsidRPr="00445388">
        <w:t xml:space="preserve">This </w:t>
      </w:r>
      <w:r>
        <w:t>speedometer</w:t>
      </w:r>
      <w:r w:rsidRPr="00445388">
        <w:t xml:space="preserve"> shows </w:t>
      </w:r>
      <w:r>
        <w:t>one-fifth</w:t>
      </w:r>
      <w:r w:rsidRPr="00445388">
        <w:t xml:space="preserve"> (</w:t>
      </w:r>
      <w:r>
        <w:t>19</w:t>
      </w:r>
      <w:r w:rsidRPr="00445388">
        <w:t xml:space="preserve">%) of outcomes 75% or more complete </w:t>
      </w:r>
      <w:r>
        <w:t>and</w:t>
      </w:r>
      <w:r w:rsidRPr="00445388">
        <w:t xml:space="preserve"> </w:t>
      </w:r>
      <w:r>
        <w:t>6</w:t>
      </w:r>
      <w:r w:rsidRPr="00445388">
        <w:t>1% not yet started</w:t>
      </w:r>
      <w:r>
        <w:t xml:space="preserve"> for an overall progress of 24%</w:t>
      </w:r>
      <w:r w:rsidRPr="00445388">
        <w:t>.</w:t>
      </w:r>
      <w:bookmarkEnd w:id="96"/>
    </w:p>
    <w:p w14:paraId="3B598B10" w14:textId="77777777" w:rsidR="00FC51B7" w:rsidRDefault="00FC51B7" w:rsidP="00FC51B7">
      <w:r w:rsidRPr="005E0478">
        <w:t>Below, a dashboard of outcomes presents progress on strategic self-assessment planning, collaborative outcomes such as events, career pathways being implemented for clients, integrated resource teams, and co-enrollments. This outcomes dashboard or template was developed during the 2</w:t>
      </w:r>
      <w:r w:rsidRPr="005E0478">
        <w:rPr>
          <w:vertAlign w:val="superscript"/>
        </w:rPr>
        <w:t>nd</w:t>
      </w:r>
      <w:r w:rsidRPr="005E0478">
        <w:t xml:space="preserve"> quarter of this year and presents preliminary data shared by a handful of SVRAs.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2"/>
        <w:gridCol w:w="1249"/>
        <w:gridCol w:w="1453"/>
        <w:gridCol w:w="1576"/>
      </w:tblGrid>
      <w:tr w:rsidR="00FC51B7" w:rsidRPr="00192F0A" w14:paraId="1A871A68" w14:textId="77777777" w:rsidTr="00BF3652">
        <w:trPr>
          <w:trHeight w:val="400"/>
          <w:tblHeader/>
        </w:trPr>
        <w:tc>
          <w:tcPr>
            <w:tcW w:w="5000" w:type="pct"/>
            <w:gridSpan w:val="4"/>
            <w:shd w:val="clear" w:color="000000" w:fill="FCE4D6"/>
            <w:vAlign w:val="bottom"/>
            <w:hideMark/>
          </w:tcPr>
          <w:p w14:paraId="7538AE64" w14:textId="77777777" w:rsidR="00FC51B7" w:rsidRPr="00BF3652" w:rsidRDefault="00FC51B7" w:rsidP="00FC51B7">
            <w:pPr>
              <w:spacing w:after="0" w:line="240" w:lineRule="auto"/>
              <w:jc w:val="center"/>
              <w:rPr>
                <w:rFonts w:eastAsia="Times New Roman" w:cstheme="minorHAnsi"/>
                <w:b/>
                <w:bCs/>
                <w:color w:val="000000"/>
              </w:rPr>
            </w:pPr>
            <w:r w:rsidRPr="00BF3652">
              <w:rPr>
                <w:rFonts w:eastAsia="Times New Roman" w:cstheme="minorHAnsi"/>
                <w:b/>
                <w:bCs/>
                <w:color w:val="000000"/>
              </w:rPr>
              <w:t xml:space="preserve">SVRA Integration Activities and Outcomes </w:t>
            </w:r>
          </w:p>
        </w:tc>
      </w:tr>
      <w:tr w:rsidR="00FC51B7" w:rsidRPr="00A3202E" w14:paraId="0C124C69" w14:textId="77777777" w:rsidTr="00BF3652">
        <w:trPr>
          <w:trHeight w:val="610"/>
          <w:tblHeader/>
        </w:trPr>
        <w:tc>
          <w:tcPr>
            <w:tcW w:w="2712" w:type="pct"/>
            <w:shd w:val="clear" w:color="000000" w:fill="F8CBAD"/>
            <w:vAlign w:val="bottom"/>
            <w:hideMark/>
          </w:tcPr>
          <w:p w14:paraId="4C0CC6CC" w14:textId="77777777" w:rsidR="00FC51B7" w:rsidRPr="00A3202E" w:rsidRDefault="00FC51B7" w:rsidP="00A3202E">
            <w:pPr>
              <w:spacing w:after="0" w:line="240" w:lineRule="auto"/>
              <w:ind w:hanging="30"/>
              <w:jc w:val="center"/>
              <w:rPr>
                <w:rFonts w:eastAsia="Times New Roman" w:cstheme="minorHAnsi"/>
                <w:b/>
                <w:bCs/>
                <w:color w:val="000000"/>
              </w:rPr>
            </w:pPr>
            <w:r w:rsidRPr="00A3202E">
              <w:rPr>
                <w:rFonts w:eastAsia="Times New Roman" w:cstheme="minorHAnsi"/>
                <w:b/>
                <w:bCs/>
                <w:color w:val="000000"/>
              </w:rPr>
              <w:t>Item/Activity</w:t>
            </w:r>
          </w:p>
        </w:tc>
        <w:tc>
          <w:tcPr>
            <w:tcW w:w="668" w:type="pct"/>
            <w:shd w:val="clear" w:color="000000" w:fill="FFF2CC"/>
            <w:vAlign w:val="bottom"/>
            <w:hideMark/>
          </w:tcPr>
          <w:p w14:paraId="213350BC" w14:textId="77777777" w:rsidR="00FC51B7" w:rsidRPr="00A3202E" w:rsidRDefault="00FC51B7" w:rsidP="00A3202E">
            <w:pPr>
              <w:spacing w:after="0" w:line="240" w:lineRule="auto"/>
              <w:ind w:firstLine="0"/>
              <w:jc w:val="center"/>
              <w:rPr>
                <w:rFonts w:eastAsia="Times New Roman" w:cstheme="minorHAnsi"/>
                <w:b/>
                <w:bCs/>
                <w:color w:val="000000"/>
              </w:rPr>
            </w:pPr>
            <w:r w:rsidRPr="00A3202E">
              <w:rPr>
                <w:rFonts w:eastAsia="Times New Roman" w:cstheme="minorHAnsi"/>
                <w:b/>
                <w:bCs/>
                <w:color w:val="000000"/>
              </w:rPr>
              <w:t>Pre-TA</w:t>
            </w:r>
          </w:p>
        </w:tc>
        <w:tc>
          <w:tcPr>
            <w:tcW w:w="777" w:type="pct"/>
            <w:shd w:val="clear" w:color="000000" w:fill="D9E1F2"/>
            <w:vAlign w:val="bottom"/>
            <w:hideMark/>
          </w:tcPr>
          <w:p w14:paraId="48AD00DB" w14:textId="77777777" w:rsidR="00FC51B7" w:rsidRPr="00A3202E" w:rsidRDefault="00FC51B7" w:rsidP="00A3202E">
            <w:pPr>
              <w:spacing w:after="0" w:line="240" w:lineRule="auto"/>
              <w:ind w:firstLine="0"/>
              <w:jc w:val="center"/>
              <w:rPr>
                <w:rFonts w:eastAsia="Times New Roman" w:cstheme="minorHAnsi"/>
                <w:b/>
                <w:bCs/>
                <w:color w:val="000000"/>
              </w:rPr>
            </w:pPr>
            <w:r w:rsidRPr="00A3202E">
              <w:rPr>
                <w:rFonts w:eastAsia="Times New Roman" w:cstheme="minorHAnsi"/>
                <w:b/>
                <w:bCs/>
                <w:color w:val="000000"/>
              </w:rPr>
              <w:t xml:space="preserve">Since TA </w:t>
            </w:r>
          </w:p>
        </w:tc>
        <w:tc>
          <w:tcPr>
            <w:tcW w:w="844" w:type="pct"/>
            <w:shd w:val="clear" w:color="000000" w:fill="E2EFDA"/>
            <w:vAlign w:val="bottom"/>
            <w:hideMark/>
          </w:tcPr>
          <w:p w14:paraId="3006B31E" w14:textId="77777777" w:rsidR="00FC51B7" w:rsidRPr="00A3202E" w:rsidRDefault="00FC51B7" w:rsidP="00A3202E">
            <w:pPr>
              <w:spacing w:after="0" w:line="240" w:lineRule="auto"/>
              <w:ind w:firstLine="31"/>
              <w:jc w:val="center"/>
              <w:rPr>
                <w:rFonts w:eastAsia="Times New Roman" w:cstheme="minorHAnsi"/>
                <w:b/>
                <w:bCs/>
                <w:color w:val="000000"/>
              </w:rPr>
            </w:pPr>
            <w:r w:rsidRPr="00A3202E">
              <w:rPr>
                <w:rFonts w:eastAsia="Times New Roman" w:cstheme="minorHAnsi"/>
                <w:b/>
                <w:bCs/>
                <w:color w:val="000000"/>
              </w:rPr>
              <w:t>ITAA target</w:t>
            </w:r>
          </w:p>
        </w:tc>
      </w:tr>
      <w:tr w:rsidR="00FC51B7" w:rsidRPr="00A3202E" w14:paraId="2113F51E" w14:textId="77777777" w:rsidTr="00BF3652">
        <w:trPr>
          <w:trHeight w:val="310"/>
        </w:trPr>
        <w:tc>
          <w:tcPr>
            <w:tcW w:w="2712" w:type="pct"/>
            <w:shd w:val="clear" w:color="auto" w:fill="auto"/>
            <w:vAlign w:val="center"/>
            <w:hideMark/>
          </w:tcPr>
          <w:p w14:paraId="350A08B3" w14:textId="77777777" w:rsidR="00FC51B7" w:rsidRPr="00A3202E" w:rsidRDefault="00FC51B7" w:rsidP="00A3202E">
            <w:pPr>
              <w:spacing w:after="0" w:line="240" w:lineRule="auto"/>
              <w:ind w:hanging="30"/>
              <w:rPr>
                <w:rFonts w:eastAsia="Times New Roman" w:cstheme="minorHAnsi"/>
                <w:b/>
                <w:bCs/>
                <w:color w:val="000000"/>
              </w:rPr>
            </w:pPr>
            <w:r w:rsidRPr="00A3202E">
              <w:rPr>
                <w:rFonts w:eastAsia="Times New Roman" w:cstheme="minorHAnsi"/>
                <w:b/>
                <w:bCs/>
                <w:color w:val="000000"/>
              </w:rPr>
              <w:t xml:space="preserve">SSAP </w:t>
            </w:r>
            <w:r w:rsidRPr="00A3202E">
              <w:rPr>
                <w:rFonts w:eastAsia="Times New Roman" w:cstheme="minorHAnsi"/>
                <w:color w:val="000000"/>
              </w:rPr>
              <w:t>- total SVRAs</w:t>
            </w:r>
          </w:p>
        </w:tc>
        <w:tc>
          <w:tcPr>
            <w:tcW w:w="668" w:type="pct"/>
            <w:shd w:val="clear" w:color="000000" w:fill="FFF2CC"/>
            <w:vAlign w:val="bottom"/>
            <w:hideMark/>
          </w:tcPr>
          <w:p w14:paraId="5CFC897A" w14:textId="77777777" w:rsidR="00FC51B7" w:rsidRPr="00A3202E" w:rsidRDefault="00FC51B7" w:rsidP="00A3202E">
            <w:pPr>
              <w:spacing w:after="0" w:line="240" w:lineRule="auto"/>
              <w:ind w:firstLine="0"/>
              <w:jc w:val="center"/>
              <w:rPr>
                <w:rFonts w:eastAsia="Times New Roman" w:cstheme="minorHAnsi"/>
                <w:b/>
                <w:bCs/>
                <w:color w:val="000000"/>
              </w:rPr>
            </w:pPr>
            <w:r w:rsidRPr="00A3202E">
              <w:rPr>
                <w:rFonts w:eastAsia="Times New Roman" w:cstheme="minorHAnsi"/>
                <w:b/>
                <w:bCs/>
                <w:color w:val="000000"/>
              </w:rPr>
              <w:t> </w:t>
            </w:r>
          </w:p>
        </w:tc>
        <w:tc>
          <w:tcPr>
            <w:tcW w:w="777" w:type="pct"/>
            <w:shd w:val="clear" w:color="000000" w:fill="D9E1F2"/>
            <w:vAlign w:val="bottom"/>
            <w:hideMark/>
          </w:tcPr>
          <w:p w14:paraId="5F32EDFA"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5</w:t>
            </w:r>
          </w:p>
        </w:tc>
        <w:tc>
          <w:tcPr>
            <w:tcW w:w="844" w:type="pct"/>
            <w:shd w:val="clear" w:color="000000" w:fill="E2EFDA"/>
            <w:vAlign w:val="bottom"/>
            <w:hideMark/>
          </w:tcPr>
          <w:p w14:paraId="3FE075CC" w14:textId="77777777" w:rsidR="00FC51B7" w:rsidRPr="00A3202E" w:rsidRDefault="00FC51B7" w:rsidP="00A3202E">
            <w:pPr>
              <w:spacing w:after="0" w:line="240" w:lineRule="auto"/>
              <w:ind w:firstLine="31"/>
              <w:jc w:val="center"/>
              <w:rPr>
                <w:rFonts w:eastAsia="Times New Roman" w:cstheme="minorHAnsi"/>
                <w:b/>
                <w:bCs/>
                <w:color w:val="000000"/>
              </w:rPr>
            </w:pPr>
            <w:r w:rsidRPr="00A3202E">
              <w:rPr>
                <w:rFonts w:eastAsia="Times New Roman" w:cstheme="minorHAnsi"/>
                <w:b/>
                <w:bCs/>
                <w:color w:val="000000"/>
              </w:rPr>
              <w:t> </w:t>
            </w:r>
          </w:p>
        </w:tc>
      </w:tr>
      <w:tr w:rsidR="00FC51B7" w:rsidRPr="00A3202E" w14:paraId="32854E46" w14:textId="77777777" w:rsidTr="00BF3652">
        <w:trPr>
          <w:trHeight w:val="310"/>
        </w:trPr>
        <w:tc>
          <w:tcPr>
            <w:tcW w:w="2712" w:type="pct"/>
            <w:shd w:val="clear" w:color="auto" w:fill="auto"/>
            <w:vAlign w:val="center"/>
            <w:hideMark/>
          </w:tcPr>
          <w:p w14:paraId="15AF49DB" w14:textId="77777777" w:rsidR="00FC51B7" w:rsidRPr="00A3202E" w:rsidRDefault="00FC51B7" w:rsidP="00A3202E">
            <w:pPr>
              <w:spacing w:after="0" w:line="240" w:lineRule="auto"/>
              <w:ind w:hanging="30"/>
              <w:jc w:val="right"/>
              <w:rPr>
                <w:rFonts w:eastAsia="Times New Roman" w:cstheme="minorHAnsi"/>
                <w:color w:val="000000"/>
              </w:rPr>
            </w:pPr>
            <w:r w:rsidRPr="00A3202E">
              <w:rPr>
                <w:rFonts w:eastAsia="Times New Roman" w:cstheme="minorHAnsi"/>
                <w:color w:val="000000"/>
              </w:rPr>
              <w:t>Project design</w:t>
            </w:r>
          </w:p>
        </w:tc>
        <w:tc>
          <w:tcPr>
            <w:tcW w:w="668" w:type="pct"/>
            <w:shd w:val="clear" w:color="000000" w:fill="FFF2CC"/>
            <w:vAlign w:val="center"/>
            <w:hideMark/>
          </w:tcPr>
          <w:p w14:paraId="00B114C1"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2475DA73"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1</w:t>
            </w:r>
          </w:p>
        </w:tc>
        <w:tc>
          <w:tcPr>
            <w:tcW w:w="844" w:type="pct"/>
            <w:shd w:val="clear" w:color="000000" w:fill="E2EFDA"/>
            <w:vAlign w:val="center"/>
            <w:hideMark/>
          </w:tcPr>
          <w:p w14:paraId="584A394E"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5A8092FF" w14:textId="77777777" w:rsidTr="00BF3652">
        <w:trPr>
          <w:trHeight w:val="310"/>
        </w:trPr>
        <w:tc>
          <w:tcPr>
            <w:tcW w:w="2712" w:type="pct"/>
            <w:shd w:val="clear" w:color="auto" w:fill="auto"/>
            <w:vAlign w:val="center"/>
            <w:hideMark/>
          </w:tcPr>
          <w:p w14:paraId="3F18A900" w14:textId="77777777" w:rsidR="00FC51B7" w:rsidRPr="00A3202E" w:rsidRDefault="00FC51B7" w:rsidP="00A3202E">
            <w:pPr>
              <w:spacing w:after="0" w:line="240" w:lineRule="auto"/>
              <w:ind w:hanging="30"/>
              <w:jc w:val="right"/>
              <w:rPr>
                <w:rFonts w:eastAsia="Times New Roman" w:cstheme="minorHAnsi"/>
                <w:color w:val="000000"/>
              </w:rPr>
            </w:pPr>
            <w:r w:rsidRPr="00A3202E">
              <w:rPr>
                <w:rFonts w:eastAsia="Times New Roman" w:cstheme="minorHAnsi"/>
                <w:color w:val="000000"/>
              </w:rPr>
              <w:t>Implementation</w:t>
            </w:r>
          </w:p>
        </w:tc>
        <w:tc>
          <w:tcPr>
            <w:tcW w:w="668" w:type="pct"/>
            <w:shd w:val="clear" w:color="000000" w:fill="FFF2CC"/>
            <w:vAlign w:val="center"/>
            <w:hideMark/>
          </w:tcPr>
          <w:p w14:paraId="3018291C"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29EDF549"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2</w:t>
            </w:r>
          </w:p>
        </w:tc>
        <w:tc>
          <w:tcPr>
            <w:tcW w:w="844" w:type="pct"/>
            <w:shd w:val="clear" w:color="000000" w:fill="E2EFDA"/>
            <w:vAlign w:val="center"/>
            <w:hideMark/>
          </w:tcPr>
          <w:p w14:paraId="28E7AA64"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6AD54023" w14:textId="77777777" w:rsidTr="00BF3652">
        <w:trPr>
          <w:trHeight w:val="310"/>
        </w:trPr>
        <w:tc>
          <w:tcPr>
            <w:tcW w:w="2712" w:type="pct"/>
            <w:shd w:val="clear" w:color="auto" w:fill="auto"/>
            <w:vAlign w:val="center"/>
            <w:hideMark/>
          </w:tcPr>
          <w:p w14:paraId="11942438" w14:textId="77777777" w:rsidR="00FC51B7" w:rsidRPr="00A3202E" w:rsidRDefault="00FC51B7" w:rsidP="00A3202E">
            <w:pPr>
              <w:spacing w:after="0" w:line="240" w:lineRule="auto"/>
              <w:ind w:hanging="30"/>
              <w:jc w:val="right"/>
              <w:rPr>
                <w:rFonts w:eastAsia="Times New Roman" w:cstheme="minorHAnsi"/>
                <w:color w:val="000000"/>
              </w:rPr>
            </w:pPr>
            <w:r w:rsidRPr="00A3202E">
              <w:rPr>
                <w:rFonts w:eastAsia="Times New Roman" w:cstheme="minorHAnsi"/>
                <w:color w:val="000000"/>
              </w:rPr>
              <w:t>Eval-Expansion-Sustainability</w:t>
            </w:r>
          </w:p>
        </w:tc>
        <w:tc>
          <w:tcPr>
            <w:tcW w:w="668" w:type="pct"/>
            <w:shd w:val="clear" w:color="000000" w:fill="FFF2CC"/>
            <w:vAlign w:val="center"/>
            <w:hideMark/>
          </w:tcPr>
          <w:p w14:paraId="7B3E3B2D"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1D712E74"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3</w:t>
            </w:r>
          </w:p>
        </w:tc>
        <w:tc>
          <w:tcPr>
            <w:tcW w:w="844" w:type="pct"/>
            <w:shd w:val="clear" w:color="000000" w:fill="E2EFDA"/>
            <w:vAlign w:val="center"/>
            <w:hideMark/>
          </w:tcPr>
          <w:p w14:paraId="1A0FCA6C"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0FE4987C" w14:textId="77777777" w:rsidTr="00BF3652">
        <w:trPr>
          <w:trHeight w:val="310"/>
        </w:trPr>
        <w:tc>
          <w:tcPr>
            <w:tcW w:w="2712" w:type="pct"/>
            <w:shd w:val="clear" w:color="auto" w:fill="auto"/>
            <w:vAlign w:val="center"/>
            <w:hideMark/>
          </w:tcPr>
          <w:p w14:paraId="120A73AE" w14:textId="77777777" w:rsidR="00FC51B7" w:rsidRPr="00A3202E" w:rsidRDefault="00FC51B7" w:rsidP="00A3202E">
            <w:pPr>
              <w:spacing w:after="0" w:line="240" w:lineRule="auto"/>
              <w:ind w:hanging="30"/>
              <w:rPr>
                <w:rFonts w:eastAsia="Times New Roman" w:cstheme="minorHAnsi"/>
                <w:color w:val="000000"/>
              </w:rPr>
            </w:pPr>
            <w:r w:rsidRPr="00A3202E">
              <w:rPr>
                <w:rFonts w:eastAsia="Times New Roman" w:cstheme="minorHAnsi"/>
                <w:color w:val="000000"/>
              </w:rPr>
              <w:t>Collaborative…</w:t>
            </w:r>
          </w:p>
        </w:tc>
        <w:tc>
          <w:tcPr>
            <w:tcW w:w="668" w:type="pct"/>
            <w:shd w:val="clear" w:color="000000" w:fill="FFF2CC"/>
            <w:vAlign w:val="center"/>
            <w:hideMark/>
          </w:tcPr>
          <w:p w14:paraId="3604A285"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6ADB86A8"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02C9B9AB"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02705D11" w14:textId="77777777" w:rsidTr="00BF3652">
        <w:trPr>
          <w:trHeight w:val="310"/>
        </w:trPr>
        <w:tc>
          <w:tcPr>
            <w:tcW w:w="2712" w:type="pct"/>
            <w:shd w:val="clear" w:color="auto" w:fill="auto"/>
            <w:vAlign w:val="center"/>
            <w:hideMark/>
          </w:tcPr>
          <w:p w14:paraId="4FBA8BD7" w14:textId="77777777" w:rsidR="00FC51B7" w:rsidRPr="00A3202E" w:rsidRDefault="00FC51B7" w:rsidP="00A3202E">
            <w:pPr>
              <w:spacing w:after="0" w:line="240" w:lineRule="auto"/>
              <w:ind w:hanging="30"/>
              <w:jc w:val="right"/>
              <w:rPr>
                <w:rFonts w:eastAsia="Times New Roman" w:cstheme="minorHAnsi"/>
                <w:color w:val="000000"/>
              </w:rPr>
            </w:pPr>
            <w:r w:rsidRPr="00A3202E">
              <w:rPr>
                <w:rFonts w:eastAsia="Times New Roman" w:cstheme="minorHAnsi"/>
                <w:color w:val="000000"/>
              </w:rPr>
              <w:t>• Events</w:t>
            </w:r>
          </w:p>
        </w:tc>
        <w:tc>
          <w:tcPr>
            <w:tcW w:w="668" w:type="pct"/>
            <w:shd w:val="clear" w:color="000000" w:fill="FFF2CC"/>
            <w:vAlign w:val="center"/>
            <w:hideMark/>
          </w:tcPr>
          <w:p w14:paraId="429389D4"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311B51E0"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0020B946"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6EF9B378" w14:textId="77777777" w:rsidTr="00BF3652">
        <w:trPr>
          <w:trHeight w:val="310"/>
        </w:trPr>
        <w:tc>
          <w:tcPr>
            <w:tcW w:w="2712" w:type="pct"/>
            <w:shd w:val="clear" w:color="auto" w:fill="auto"/>
            <w:vAlign w:val="center"/>
            <w:hideMark/>
          </w:tcPr>
          <w:p w14:paraId="2BAF1637" w14:textId="77777777" w:rsidR="00FC51B7" w:rsidRPr="00A3202E" w:rsidRDefault="00FC51B7" w:rsidP="00A3202E">
            <w:pPr>
              <w:spacing w:after="0" w:line="240" w:lineRule="auto"/>
              <w:ind w:hanging="30"/>
              <w:jc w:val="right"/>
              <w:rPr>
                <w:rFonts w:eastAsia="Times New Roman" w:cstheme="minorHAnsi"/>
                <w:color w:val="000000"/>
              </w:rPr>
            </w:pPr>
            <w:r w:rsidRPr="00A3202E">
              <w:rPr>
                <w:rFonts w:eastAsia="Times New Roman" w:cstheme="minorHAnsi"/>
                <w:color w:val="000000"/>
              </w:rPr>
              <w:t>• Teams</w:t>
            </w:r>
          </w:p>
        </w:tc>
        <w:tc>
          <w:tcPr>
            <w:tcW w:w="668" w:type="pct"/>
            <w:shd w:val="clear" w:color="000000" w:fill="FFF2CC"/>
            <w:vAlign w:val="center"/>
            <w:hideMark/>
          </w:tcPr>
          <w:p w14:paraId="76F4174E"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0D2EF566"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5D89150E"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1CE0B546" w14:textId="77777777" w:rsidTr="00BF3652">
        <w:trPr>
          <w:trHeight w:val="310"/>
        </w:trPr>
        <w:tc>
          <w:tcPr>
            <w:tcW w:w="2712" w:type="pct"/>
            <w:shd w:val="clear" w:color="auto" w:fill="auto"/>
            <w:vAlign w:val="center"/>
            <w:hideMark/>
          </w:tcPr>
          <w:p w14:paraId="7C66E652" w14:textId="77777777" w:rsidR="00FC51B7" w:rsidRPr="00A3202E" w:rsidRDefault="00FC51B7" w:rsidP="00A3202E">
            <w:pPr>
              <w:spacing w:after="0" w:line="240" w:lineRule="auto"/>
              <w:ind w:hanging="30"/>
              <w:jc w:val="right"/>
              <w:rPr>
                <w:rFonts w:eastAsia="Times New Roman" w:cstheme="minorHAnsi"/>
                <w:color w:val="000000"/>
              </w:rPr>
            </w:pPr>
            <w:r w:rsidRPr="00A3202E">
              <w:rPr>
                <w:rFonts w:eastAsia="Times New Roman" w:cstheme="minorHAnsi"/>
                <w:color w:val="000000"/>
              </w:rPr>
              <w:t>• Plans</w:t>
            </w:r>
          </w:p>
        </w:tc>
        <w:tc>
          <w:tcPr>
            <w:tcW w:w="668" w:type="pct"/>
            <w:shd w:val="clear" w:color="000000" w:fill="FFF2CC"/>
            <w:vAlign w:val="center"/>
            <w:hideMark/>
          </w:tcPr>
          <w:p w14:paraId="129ECF01"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71780C89"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2585E64C"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6213DB84" w14:textId="77777777" w:rsidTr="00BF3652">
        <w:trPr>
          <w:trHeight w:val="310"/>
        </w:trPr>
        <w:tc>
          <w:tcPr>
            <w:tcW w:w="2712" w:type="pct"/>
            <w:shd w:val="clear" w:color="auto" w:fill="auto"/>
            <w:vAlign w:val="center"/>
            <w:hideMark/>
          </w:tcPr>
          <w:p w14:paraId="7396F2BA" w14:textId="77777777" w:rsidR="00FC51B7" w:rsidRPr="00A3202E" w:rsidRDefault="00FC51B7" w:rsidP="00A3202E">
            <w:pPr>
              <w:spacing w:after="0" w:line="240" w:lineRule="auto"/>
              <w:ind w:hanging="30"/>
              <w:rPr>
                <w:rFonts w:eastAsia="Times New Roman" w:cstheme="minorHAnsi"/>
                <w:color w:val="000000"/>
              </w:rPr>
            </w:pPr>
            <w:r w:rsidRPr="00A3202E">
              <w:rPr>
                <w:rFonts w:eastAsia="Times New Roman" w:cstheme="minorHAnsi"/>
                <w:color w:val="000000"/>
              </w:rPr>
              <w:t>Joint services</w:t>
            </w:r>
          </w:p>
        </w:tc>
        <w:tc>
          <w:tcPr>
            <w:tcW w:w="668" w:type="pct"/>
            <w:shd w:val="clear" w:color="000000" w:fill="FFF2CC"/>
            <w:vAlign w:val="center"/>
            <w:hideMark/>
          </w:tcPr>
          <w:p w14:paraId="00EAC189"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490F50E7"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6B9F873B"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540BA5CC" w14:textId="77777777" w:rsidTr="00BF3652">
        <w:trPr>
          <w:trHeight w:val="310"/>
        </w:trPr>
        <w:tc>
          <w:tcPr>
            <w:tcW w:w="2712" w:type="pct"/>
            <w:shd w:val="clear" w:color="auto" w:fill="auto"/>
            <w:vAlign w:val="center"/>
            <w:hideMark/>
          </w:tcPr>
          <w:p w14:paraId="2ED9452D" w14:textId="77777777" w:rsidR="00FC51B7" w:rsidRPr="00A3202E" w:rsidRDefault="00FC51B7" w:rsidP="00A3202E">
            <w:pPr>
              <w:spacing w:after="0" w:line="240" w:lineRule="auto"/>
              <w:ind w:hanging="30"/>
              <w:rPr>
                <w:rFonts w:eastAsia="Times New Roman" w:cstheme="minorHAnsi"/>
                <w:color w:val="000000"/>
              </w:rPr>
            </w:pPr>
            <w:r w:rsidRPr="00A3202E">
              <w:rPr>
                <w:rFonts w:eastAsia="Times New Roman" w:cstheme="minorHAnsi"/>
                <w:color w:val="000000"/>
              </w:rPr>
              <w:t>Joint outcomes</w:t>
            </w:r>
          </w:p>
        </w:tc>
        <w:tc>
          <w:tcPr>
            <w:tcW w:w="668" w:type="pct"/>
            <w:shd w:val="clear" w:color="000000" w:fill="FFF2CC"/>
            <w:vAlign w:val="center"/>
            <w:hideMark/>
          </w:tcPr>
          <w:p w14:paraId="603F8A3D"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00A73D86"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2AEFFEB8"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3870EC26" w14:textId="77777777" w:rsidTr="00BF3652">
        <w:trPr>
          <w:trHeight w:val="310"/>
        </w:trPr>
        <w:tc>
          <w:tcPr>
            <w:tcW w:w="2712" w:type="pct"/>
            <w:shd w:val="clear" w:color="auto" w:fill="auto"/>
            <w:vAlign w:val="center"/>
            <w:hideMark/>
          </w:tcPr>
          <w:p w14:paraId="5DE456FD" w14:textId="77777777" w:rsidR="00FC51B7" w:rsidRPr="00A3202E" w:rsidRDefault="00FC51B7" w:rsidP="00A3202E">
            <w:pPr>
              <w:spacing w:after="0" w:line="240" w:lineRule="auto"/>
              <w:ind w:hanging="30"/>
              <w:rPr>
                <w:rFonts w:eastAsia="Times New Roman" w:cstheme="minorHAnsi"/>
                <w:b/>
                <w:bCs/>
                <w:color w:val="000000"/>
              </w:rPr>
            </w:pPr>
            <w:r w:rsidRPr="00A3202E">
              <w:rPr>
                <w:rFonts w:eastAsia="Times New Roman" w:cstheme="minorHAnsi"/>
                <w:b/>
                <w:bCs/>
                <w:color w:val="000000"/>
              </w:rPr>
              <w:t>Career Pathways</w:t>
            </w:r>
            <w:r w:rsidRPr="00A3202E">
              <w:rPr>
                <w:rFonts w:eastAsia="Times New Roman" w:cstheme="minorHAnsi"/>
                <w:color w:val="000000"/>
              </w:rPr>
              <w:t xml:space="preserve"> - total SVRAs</w:t>
            </w:r>
          </w:p>
        </w:tc>
        <w:tc>
          <w:tcPr>
            <w:tcW w:w="668" w:type="pct"/>
            <w:shd w:val="clear" w:color="000000" w:fill="FFF2CC"/>
            <w:vAlign w:val="center"/>
            <w:hideMark/>
          </w:tcPr>
          <w:p w14:paraId="1BEA2232"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002E9C6E"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12</w:t>
            </w:r>
          </w:p>
        </w:tc>
        <w:tc>
          <w:tcPr>
            <w:tcW w:w="844" w:type="pct"/>
            <w:shd w:val="clear" w:color="000000" w:fill="E2EFDA"/>
            <w:vAlign w:val="center"/>
            <w:hideMark/>
          </w:tcPr>
          <w:p w14:paraId="1733C749"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565FD18F" w14:textId="77777777" w:rsidTr="00BF3652">
        <w:trPr>
          <w:trHeight w:val="310"/>
        </w:trPr>
        <w:tc>
          <w:tcPr>
            <w:tcW w:w="2712" w:type="pct"/>
            <w:shd w:val="clear" w:color="auto" w:fill="auto"/>
            <w:vAlign w:val="center"/>
            <w:hideMark/>
          </w:tcPr>
          <w:p w14:paraId="5F205197" w14:textId="77777777" w:rsidR="00FC51B7" w:rsidRPr="00A3202E" w:rsidRDefault="00FC51B7" w:rsidP="00A3202E">
            <w:pPr>
              <w:spacing w:after="0" w:line="240" w:lineRule="auto"/>
              <w:ind w:hanging="30"/>
              <w:jc w:val="right"/>
              <w:rPr>
                <w:rFonts w:eastAsia="Times New Roman" w:cstheme="minorHAnsi"/>
                <w:color w:val="000000"/>
              </w:rPr>
            </w:pPr>
            <w:r w:rsidRPr="00A3202E">
              <w:rPr>
                <w:rFonts w:eastAsia="Times New Roman" w:cstheme="minorHAnsi"/>
                <w:color w:val="000000"/>
              </w:rPr>
              <w:lastRenderedPageBreak/>
              <w:t>Planning</w:t>
            </w:r>
          </w:p>
        </w:tc>
        <w:tc>
          <w:tcPr>
            <w:tcW w:w="668" w:type="pct"/>
            <w:shd w:val="clear" w:color="000000" w:fill="FFF2CC"/>
            <w:vAlign w:val="center"/>
            <w:hideMark/>
          </w:tcPr>
          <w:p w14:paraId="75E6ED76"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3730BF61"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2</w:t>
            </w:r>
          </w:p>
        </w:tc>
        <w:tc>
          <w:tcPr>
            <w:tcW w:w="844" w:type="pct"/>
            <w:shd w:val="clear" w:color="000000" w:fill="E2EFDA"/>
            <w:vAlign w:val="center"/>
            <w:hideMark/>
          </w:tcPr>
          <w:p w14:paraId="642ABB49"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51A889F5" w14:textId="77777777" w:rsidTr="00BF3652">
        <w:trPr>
          <w:trHeight w:val="310"/>
        </w:trPr>
        <w:tc>
          <w:tcPr>
            <w:tcW w:w="2712" w:type="pct"/>
            <w:shd w:val="clear" w:color="auto" w:fill="auto"/>
            <w:vAlign w:val="center"/>
            <w:hideMark/>
          </w:tcPr>
          <w:p w14:paraId="34F74653" w14:textId="77777777" w:rsidR="00FC51B7" w:rsidRPr="00A3202E" w:rsidRDefault="00FC51B7" w:rsidP="00A3202E">
            <w:pPr>
              <w:spacing w:after="0" w:line="240" w:lineRule="auto"/>
              <w:ind w:hanging="30"/>
              <w:jc w:val="right"/>
              <w:rPr>
                <w:rFonts w:eastAsia="Times New Roman" w:cstheme="minorHAnsi"/>
                <w:color w:val="000000"/>
              </w:rPr>
            </w:pPr>
            <w:r w:rsidRPr="00A3202E">
              <w:rPr>
                <w:rFonts w:eastAsia="Times New Roman" w:cstheme="minorHAnsi"/>
                <w:color w:val="000000"/>
              </w:rPr>
              <w:t>Design</w:t>
            </w:r>
          </w:p>
        </w:tc>
        <w:tc>
          <w:tcPr>
            <w:tcW w:w="668" w:type="pct"/>
            <w:shd w:val="clear" w:color="000000" w:fill="FFF2CC"/>
            <w:vAlign w:val="center"/>
            <w:hideMark/>
          </w:tcPr>
          <w:p w14:paraId="0D519CCC"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0EF8EBE5"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6</w:t>
            </w:r>
          </w:p>
        </w:tc>
        <w:tc>
          <w:tcPr>
            <w:tcW w:w="844" w:type="pct"/>
            <w:shd w:val="clear" w:color="000000" w:fill="E2EFDA"/>
            <w:vAlign w:val="center"/>
            <w:hideMark/>
          </w:tcPr>
          <w:p w14:paraId="7E7E62FD"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75E2C9EC" w14:textId="77777777" w:rsidTr="00BF3652">
        <w:trPr>
          <w:trHeight w:val="310"/>
        </w:trPr>
        <w:tc>
          <w:tcPr>
            <w:tcW w:w="2712" w:type="pct"/>
            <w:shd w:val="clear" w:color="auto" w:fill="auto"/>
            <w:vAlign w:val="center"/>
            <w:hideMark/>
          </w:tcPr>
          <w:p w14:paraId="49C15432" w14:textId="77777777" w:rsidR="00FC51B7" w:rsidRPr="00A3202E" w:rsidRDefault="00FC51B7" w:rsidP="00A3202E">
            <w:pPr>
              <w:spacing w:after="0" w:line="240" w:lineRule="auto"/>
              <w:ind w:hanging="30"/>
              <w:jc w:val="right"/>
              <w:rPr>
                <w:rFonts w:eastAsia="Times New Roman" w:cstheme="minorHAnsi"/>
                <w:color w:val="000000"/>
              </w:rPr>
            </w:pPr>
            <w:r w:rsidRPr="00A3202E">
              <w:rPr>
                <w:rFonts w:eastAsia="Times New Roman" w:cstheme="minorHAnsi"/>
                <w:color w:val="000000"/>
              </w:rPr>
              <w:t>Implementation</w:t>
            </w:r>
          </w:p>
        </w:tc>
        <w:tc>
          <w:tcPr>
            <w:tcW w:w="668" w:type="pct"/>
            <w:shd w:val="clear" w:color="000000" w:fill="FFF2CC"/>
            <w:vAlign w:val="center"/>
            <w:hideMark/>
          </w:tcPr>
          <w:p w14:paraId="18C7D3FD"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451C51DF"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4</w:t>
            </w:r>
          </w:p>
        </w:tc>
        <w:tc>
          <w:tcPr>
            <w:tcW w:w="844" w:type="pct"/>
            <w:shd w:val="clear" w:color="000000" w:fill="E2EFDA"/>
            <w:vAlign w:val="center"/>
            <w:hideMark/>
          </w:tcPr>
          <w:p w14:paraId="6A7DC45B"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11E1ECB0" w14:textId="77777777" w:rsidTr="00BF3652">
        <w:trPr>
          <w:trHeight w:val="310"/>
        </w:trPr>
        <w:tc>
          <w:tcPr>
            <w:tcW w:w="2712" w:type="pct"/>
            <w:shd w:val="clear" w:color="auto" w:fill="auto"/>
            <w:vAlign w:val="center"/>
            <w:hideMark/>
          </w:tcPr>
          <w:p w14:paraId="18694E09" w14:textId="77777777" w:rsidR="00FC51B7" w:rsidRPr="00A3202E" w:rsidRDefault="00FC51B7" w:rsidP="00A3202E">
            <w:pPr>
              <w:spacing w:after="0" w:line="240" w:lineRule="auto"/>
              <w:ind w:hanging="30"/>
              <w:jc w:val="right"/>
              <w:rPr>
                <w:rFonts w:eastAsia="Times New Roman" w:cstheme="minorHAnsi"/>
                <w:color w:val="000000"/>
              </w:rPr>
            </w:pPr>
            <w:r w:rsidRPr="00A3202E">
              <w:rPr>
                <w:rFonts w:eastAsia="Times New Roman" w:cstheme="minorHAnsi"/>
                <w:color w:val="000000"/>
              </w:rPr>
              <w:t>Eval-Expansion-Sustainability</w:t>
            </w:r>
          </w:p>
        </w:tc>
        <w:tc>
          <w:tcPr>
            <w:tcW w:w="668" w:type="pct"/>
            <w:shd w:val="clear" w:color="000000" w:fill="FFF2CC"/>
            <w:vAlign w:val="center"/>
            <w:hideMark/>
          </w:tcPr>
          <w:p w14:paraId="1AE366F2"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20F103D2"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0</w:t>
            </w:r>
          </w:p>
        </w:tc>
        <w:tc>
          <w:tcPr>
            <w:tcW w:w="844" w:type="pct"/>
            <w:shd w:val="clear" w:color="000000" w:fill="E2EFDA"/>
            <w:vAlign w:val="center"/>
            <w:hideMark/>
          </w:tcPr>
          <w:p w14:paraId="592C41B7"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7C164B38" w14:textId="77777777" w:rsidTr="00BF3652">
        <w:trPr>
          <w:trHeight w:val="310"/>
        </w:trPr>
        <w:tc>
          <w:tcPr>
            <w:tcW w:w="2712" w:type="pct"/>
            <w:shd w:val="clear" w:color="auto" w:fill="auto"/>
            <w:vAlign w:val="center"/>
            <w:hideMark/>
          </w:tcPr>
          <w:p w14:paraId="2341E24C" w14:textId="77777777" w:rsidR="00FC51B7" w:rsidRPr="00A3202E" w:rsidRDefault="00FC51B7" w:rsidP="00A3202E">
            <w:pPr>
              <w:spacing w:after="0" w:line="240" w:lineRule="auto"/>
              <w:ind w:hanging="30"/>
              <w:rPr>
                <w:rFonts w:eastAsia="Times New Roman" w:cstheme="minorHAnsi"/>
                <w:color w:val="000000"/>
              </w:rPr>
            </w:pPr>
            <w:r w:rsidRPr="00A3202E">
              <w:rPr>
                <w:rFonts w:eastAsia="Times New Roman" w:cstheme="minorHAnsi"/>
                <w:color w:val="000000"/>
              </w:rPr>
              <w:t>consumer data for 1 SVRA (MS)</w:t>
            </w:r>
          </w:p>
        </w:tc>
        <w:tc>
          <w:tcPr>
            <w:tcW w:w="668" w:type="pct"/>
            <w:shd w:val="clear" w:color="000000" w:fill="FFF2CC"/>
            <w:vAlign w:val="center"/>
            <w:hideMark/>
          </w:tcPr>
          <w:p w14:paraId="31934697"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7A07E58B"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1BFE0BC5"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4CB4BD67" w14:textId="77777777" w:rsidTr="00BF3652">
        <w:trPr>
          <w:trHeight w:val="310"/>
        </w:trPr>
        <w:tc>
          <w:tcPr>
            <w:tcW w:w="2712" w:type="pct"/>
            <w:shd w:val="clear" w:color="auto" w:fill="auto"/>
            <w:vAlign w:val="center"/>
            <w:hideMark/>
          </w:tcPr>
          <w:p w14:paraId="7E50AE8F" w14:textId="77777777" w:rsidR="00FC51B7" w:rsidRPr="00A3202E" w:rsidRDefault="00FC51B7" w:rsidP="00A3202E">
            <w:pPr>
              <w:spacing w:after="0" w:line="240" w:lineRule="auto"/>
              <w:ind w:hanging="30"/>
              <w:jc w:val="right"/>
              <w:rPr>
                <w:rFonts w:eastAsia="Times New Roman" w:cstheme="minorHAnsi"/>
                <w:color w:val="000000"/>
              </w:rPr>
            </w:pPr>
            <w:r w:rsidRPr="00A3202E">
              <w:rPr>
                <w:rFonts w:eastAsia="Times New Roman" w:cstheme="minorHAnsi"/>
                <w:color w:val="000000"/>
              </w:rPr>
              <w:t># involved</w:t>
            </w:r>
          </w:p>
        </w:tc>
        <w:tc>
          <w:tcPr>
            <w:tcW w:w="668" w:type="pct"/>
            <w:shd w:val="clear" w:color="000000" w:fill="FFF2CC"/>
            <w:vAlign w:val="center"/>
            <w:hideMark/>
          </w:tcPr>
          <w:p w14:paraId="784590AB"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6</w:t>
            </w:r>
          </w:p>
        </w:tc>
        <w:tc>
          <w:tcPr>
            <w:tcW w:w="777" w:type="pct"/>
            <w:shd w:val="clear" w:color="000000" w:fill="D9E1F2"/>
            <w:vAlign w:val="center"/>
            <w:hideMark/>
          </w:tcPr>
          <w:p w14:paraId="1FCBDF8B"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417</w:t>
            </w:r>
          </w:p>
        </w:tc>
        <w:tc>
          <w:tcPr>
            <w:tcW w:w="844" w:type="pct"/>
            <w:shd w:val="clear" w:color="000000" w:fill="E2EFDA"/>
            <w:vAlign w:val="center"/>
            <w:hideMark/>
          </w:tcPr>
          <w:p w14:paraId="6B4B8EDE"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33F3A155" w14:textId="77777777" w:rsidTr="00BF3652">
        <w:trPr>
          <w:trHeight w:val="310"/>
        </w:trPr>
        <w:tc>
          <w:tcPr>
            <w:tcW w:w="2712" w:type="pct"/>
            <w:shd w:val="clear" w:color="auto" w:fill="auto"/>
            <w:vAlign w:val="center"/>
            <w:hideMark/>
          </w:tcPr>
          <w:p w14:paraId="4CD301D7" w14:textId="77777777" w:rsidR="00FC51B7" w:rsidRPr="00A3202E" w:rsidRDefault="00FC51B7" w:rsidP="00A3202E">
            <w:pPr>
              <w:spacing w:after="0" w:line="240" w:lineRule="auto"/>
              <w:ind w:hanging="30"/>
              <w:jc w:val="right"/>
              <w:rPr>
                <w:rFonts w:eastAsia="Times New Roman" w:cstheme="minorHAnsi"/>
                <w:color w:val="000000"/>
              </w:rPr>
            </w:pPr>
            <w:r w:rsidRPr="00A3202E">
              <w:rPr>
                <w:rFonts w:eastAsia="Times New Roman" w:cstheme="minorHAnsi"/>
                <w:color w:val="000000"/>
              </w:rPr>
              <w:t xml:space="preserve"># employed </w:t>
            </w:r>
          </w:p>
        </w:tc>
        <w:tc>
          <w:tcPr>
            <w:tcW w:w="668" w:type="pct"/>
            <w:shd w:val="clear" w:color="000000" w:fill="FFF2CC"/>
            <w:vAlign w:val="center"/>
            <w:hideMark/>
          </w:tcPr>
          <w:p w14:paraId="55FA84BF"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06C385F5"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15F6B111"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5FE1F1DC" w14:textId="77777777" w:rsidTr="00BF3652">
        <w:trPr>
          <w:trHeight w:val="310"/>
        </w:trPr>
        <w:tc>
          <w:tcPr>
            <w:tcW w:w="2712" w:type="pct"/>
            <w:shd w:val="clear" w:color="auto" w:fill="auto"/>
            <w:vAlign w:val="center"/>
            <w:hideMark/>
          </w:tcPr>
          <w:p w14:paraId="248110A6" w14:textId="77777777" w:rsidR="00FC51B7" w:rsidRPr="00A3202E" w:rsidRDefault="00FC51B7" w:rsidP="00A3202E">
            <w:pPr>
              <w:spacing w:after="0" w:line="240" w:lineRule="auto"/>
              <w:ind w:hanging="30"/>
              <w:rPr>
                <w:rFonts w:eastAsia="Times New Roman" w:cstheme="minorHAnsi"/>
                <w:color w:val="000000"/>
              </w:rPr>
            </w:pPr>
            <w:r w:rsidRPr="00A3202E">
              <w:rPr>
                <w:rFonts w:eastAsia="Times New Roman" w:cstheme="minorHAnsi"/>
                <w:color w:val="000000"/>
              </w:rPr>
              <w:t>[future focus: SOCs, IEP/IPE goals]</w:t>
            </w:r>
          </w:p>
        </w:tc>
        <w:tc>
          <w:tcPr>
            <w:tcW w:w="668" w:type="pct"/>
            <w:shd w:val="clear" w:color="000000" w:fill="FFF2CC"/>
            <w:vAlign w:val="center"/>
            <w:hideMark/>
          </w:tcPr>
          <w:p w14:paraId="066870D2"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6FBCEAD3"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3D8985E2"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383B22D3" w14:textId="77777777" w:rsidTr="00BF3652">
        <w:trPr>
          <w:trHeight w:val="310"/>
        </w:trPr>
        <w:tc>
          <w:tcPr>
            <w:tcW w:w="2712" w:type="pct"/>
            <w:shd w:val="clear" w:color="auto" w:fill="auto"/>
            <w:vAlign w:val="center"/>
            <w:hideMark/>
          </w:tcPr>
          <w:p w14:paraId="7A087F0D" w14:textId="77777777" w:rsidR="00FC51B7" w:rsidRPr="00A3202E" w:rsidRDefault="00FC51B7" w:rsidP="00A3202E">
            <w:pPr>
              <w:spacing w:after="0" w:line="240" w:lineRule="auto"/>
              <w:ind w:hanging="30"/>
              <w:rPr>
                <w:rFonts w:eastAsia="Times New Roman" w:cstheme="minorHAnsi"/>
                <w:color w:val="000000"/>
              </w:rPr>
            </w:pPr>
            <w:r w:rsidRPr="00A3202E">
              <w:rPr>
                <w:rFonts w:eastAsia="Times New Roman" w:cstheme="minorHAnsi"/>
                <w:color w:val="000000"/>
              </w:rPr>
              <w:t> </w:t>
            </w:r>
          </w:p>
        </w:tc>
        <w:tc>
          <w:tcPr>
            <w:tcW w:w="668" w:type="pct"/>
            <w:shd w:val="clear" w:color="000000" w:fill="FFF2CC"/>
            <w:vAlign w:val="center"/>
            <w:hideMark/>
          </w:tcPr>
          <w:p w14:paraId="32FF18C6"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7F6631ED"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0E9654AD"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76364FB6" w14:textId="77777777" w:rsidTr="00BF3652">
        <w:trPr>
          <w:trHeight w:val="310"/>
        </w:trPr>
        <w:tc>
          <w:tcPr>
            <w:tcW w:w="2712" w:type="pct"/>
            <w:shd w:val="clear" w:color="auto" w:fill="auto"/>
            <w:vAlign w:val="center"/>
            <w:hideMark/>
          </w:tcPr>
          <w:p w14:paraId="4FB3D869" w14:textId="77777777" w:rsidR="00FC51B7" w:rsidRPr="00A3202E" w:rsidRDefault="00FC51B7" w:rsidP="00A3202E">
            <w:pPr>
              <w:spacing w:after="0" w:line="240" w:lineRule="auto"/>
              <w:ind w:hanging="30"/>
              <w:rPr>
                <w:rFonts w:eastAsia="Times New Roman" w:cstheme="minorHAnsi"/>
                <w:b/>
                <w:bCs/>
                <w:color w:val="000000"/>
              </w:rPr>
            </w:pPr>
            <w:r w:rsidRPr="00A3202E">
              <w:rPr>
                <w:rFonts w:eastAsia="Times New Roman" w:cstheme="minorHAnsi"/>
                <w:b/>
                <w:bCs/>
                <w:color w:val="000000"/>
              </w:rPr>
              <w:t xml:space="preserve">IRTs </w:t>
            </w:r>
            <w:r w:rsidRPr="00A3202E">
              <w:rPr>
                <w:rFonts w:eastAsia="Times New Roman" w:cstheme="minorHAnsi"/>
                <w:color w:val="000000"/>
              </w:rPr>
              <w:t>- outcome data for 1 SVRA (IA-B)</w:t>
            </w:r>
          </w:p>
        </w:tc>
        <w:tc>
          <w:tcPr>
            <w:tcW w:w="668" w:type="pct"/>
            <w:shd w:val="clear" w:color="000000" w:fill="FFF2CC"/>
            <w:vAlign w:val="center"/>
            <w:hideMark/>
          </w:tcPr>
          <w:p w14:paraId="4182133B"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3628852B"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4B898814"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69F15608" w14:textId="77777777" w:rsidTr="00BF3652">
        <w:trPr>
          <w:trHeight w:val="310"/>
        </w:trPr>
        <w:tc>
          <w:tcPr>
            <w:tcW w:w="2712" w:type="pct"/>
            <w:shd w:val="clear" w:color="auto" w:fill="auto"/>
            <w:vAlign w:val="center"/>
            <w:hideMark/>
          </w:tcPr>
          <w:p w14:paraId="1C9D0144" w14:textId="77777777" w:rsidR="00FC51B7" w:rsidRPr="00A3202E" w:rsidRDefault="00FC51B7" w:rsidP="00A3202E">
            <w:pPr>
              <w:spacing w:after="0" w:line="240" w:lineRule="auto"/>
              <w:ind w:hanging="30"/>
              <w:rPr>
                <w:rFonts w:eastAsia="Times New Roman" w:cstheme="minorHAnsi"/>
                <w:color w:val="000000"/>
              </w:rPr>
            </w:pPr>
            <w:r w:rsidRPr="00A3202E">
              <w:rPr>
                <w:rFonts w:eastAsia="Times New Roman" w:cstheme="minorHAnsi"/>
                <w:color w:val="000000"/>
              </w:rPr>
              <w:t># teams involved</w:t>
            </w:r>
          </w:p>
        </w:tc>
        <w:tc>
          <w:tcPr>
            <w:tcW w:w="668" w:type="pct"/>
            <w:shd w:val="clear" w:color="000000" w:fill="FFF2CC"/>
            <w:vAlign w:val="center"/>
            <w:hideMark/>
          </w:tcPr>
          <w:p w14:paraId="4E4642D4"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0</w:t>
            </w:r>
          </w:p>
        </w:tc>
        <w:tc>
          <w:tcPr>
            <w:tcW w:w="777" w:type="pct"/>
            <w:shd w:val="clear" w:color="000000" w:fill="D9E1F2"/>
            <w:vAlign w:val="center"/>
            <w:hideMark/>
          </w:tcPr>
          <w:p w14:paraId="787E9089"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18</w:t>
            </w:r>
          </w:p>
        </w:tc>
        <w:tc>
          <w:tcPr>
            <w:tcW w:w="844" w:type="pct"/>
            <w:shd w:val="clear" w:color="000000" w:fill="E2EFDA"/>
            <w:vAlign w:val="center"/>
            <w:hideMark/>
          </w:tcPr>
          <w:p w14:paraId="2A7BC996"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0A9894D1" w14:textId="77777777" w:rsidTr="00BF3652">
        <w:trPr>
          <w:trHeight w:val="310"/>
        </w:trPr>
        <w:tc>
          <w:tcPr>
            <w:tcW w:w="2712" w:type="pct"/>
            <w:shd w:val="clear" w:color="auto" w:fill="auto"/>
            <w:vAlign w:val="center"/>
            <w:hideMark/>
          </w:tcPr>
          <w:p w14:paraId="6A7E693D" w14:textId="77777777" w:rsidR="00FC51B7" w:rsidRPr="00A3202E" w:rsidRDefault="00FC51B7" w:rsidP="00A3202E">
            <w:pPr>
              <w:spacing w:after="0" w:line="240" w:lineRule="auto"/>
              <w:ind w:hanging="30"/>
              <w:rPr>
                <w:rFonts w:eastAsia="Times New Roman" w:cstheme="minorHAnsi"/>
                <w:color w:val="000000"/>
              </w:rPr>
            </w:pPr>
            <w:r w:rsidRPr="00A3202E">
              <w:rPr>
                <w:rFonts w:eastAsia="Times New Roman" w:cstheme="minorHAnsi"/>
                <w:color w:val="000000"/>
              </w:rPr>
              <w:t># agencies involved</w:t>
            </w:r>
          </w:p>
        </w:tc>
        <w:tc>
          <w:tcPr>
            <w:tcW w:w="668" w:type="pct"/>
            <w:shd w:val="clear" w:color="000000" w:fill="FFF2CC"/>
            <w:vAlign w:val="center"/>
            <w:hideMark/>
          </w:tcPr>
          <w:p w14:paraId="0E983E6D"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019F9958"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62CA6BDB"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6F3208E2" w14:textId="77777777" w:rsidTr="00BF3652">
        <w:trPr>
          <w:trHeight w:val="310"/>
        </w:trPr>
        <w:tc>
          <w:tcPr>
            <w:tcW w:w="2712" w:type="pct"/>
            <w:shd w:val="clear" w:color="auto" w:fill="auto"/>
            <w:vAlign w:val="center"/>
            <w:hideMark/>
          </w:tcPr>
          <w:p w14:paraId="1A91D638" w14:textId="77777777" w:rsidR="00FC51B7" w:rsidRPr="00A3202E" w:rsidRDefault="00FC51B7" w:rsidP="00A3202E">
            <w:pPr>
              <w:spacing w:after="0" w:line="240" w:lineRule="auto"/>
              <w:ind w:hanging="30"/>
              <w:rPr>
                <w:rFonts w:eastAsia="Times New Roman" w:cstheme="minorHAnsi"/>
                <w:color w:val="000000"/>
              </w:rPr>
            </w:pPr>
            <w:r w:rsidRPr="00A3202E">
              <w:rPr>
                <w:rFonts w:eastAsia="Times New Roman" w:cstheme="minorHAnsi"/>
                <w:color w:val="000000"/>
              </w:rPr>
              <w:t># served</w:t>
            </w:r>
          </w:p>
        </w:tc>
        <w:tc>
          <w:tcPr>
            <w:tcW w:w="668" w:type="pct"/>
            <w:shd w:val="clear" w:color="000000" w:fill="FFF2CC"/>
            <w:vAlign w:val="center"/>
            <w:hideMark/>
          </w:tcPr>
          <w:p w14:paraId="67D3CFF9"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43DE750C"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483D3549"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3FF4235C" w14:textId="77777777" w:rsidTr="00BF3652">
        <w:trPr>
          <w:trHeight w:val="310"/>
        </w:trPr>
        <w:tc>
          <w:tcPr>
            <w:tcW w:w="2712" w:type="pct"/>
            <w:shd w:val="clear" w:color="auto" w:fill="auto"/>
            <w:vAlign w:val="center"/>
            <w:hideMark/>
          </w:tcPr>
          <w:p w14:paraId="6D8BBE5C" w14:textId="77777777" w:rsidR="00FC51B7" w:rsidRPr="00A3202E" w:rsidRDefault="00FC51B7" w:rsidP="00A3202E">
            <w:pPr>
              <w:spacing w:after="0" w:line="240" w:lineRule="auto"/>
              <w:ind w:hanging="30"/>
              <w:rPr>
                <w:rFonts w:eastAsia="Times New Roman" w:cstheme="minorHAnsi"/>
                <w:color w:val="000000"/>
              </w:rPr>
            </w:pPr>
            <w:r w:rsidRPr="00A3202E">
              <w:rPr>
                <w:rFonts w:eastAsia="Times New Roman" w:cstheme="minorHAnsi"/>
                <w:color w:val="000000"/>
              </w:rPr>
              <w:t># employed</w:t>
            </w:r>
          </w:p>
        </w:tc>
        <w:tc>
          <w:tcPr>
            <w:tcW w:w="668" w:type="pct"/>
            <w:shd w:val="clear" w:color="000000" w:fill="FFF2CC"/>
            <w:vAlign w:val="center"/>
            <w:hideMark/>
          </w:tcPr>
          <w:p w14:paraId="2512BDCB"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0</w:t>
            </w:r>
          </w:p>
        </w:tc>
        <w:tc>
          <w:tcPr>
            <w:tcW w:w="777" w:type="pct"/>
            <w:shd w:val="clear" w:color="000000" w:fill="D9E1F2"/>
            <w:vAlign w:val="center"/>
            <w:hideMark/>
          </w:tcPr>
          <w:p w14:paraId="5B07DDA6"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9</w:t>
            </w:r>
          </w:p>
        </w:tc>
        <w:tc>
          <w:tcPr>
            <w:tcW w:w="844" w:type="pct"/>
            <w:shd w:val="clear" w:color="000000" w:fill="E2EFDA"/>
            <w:vAlign w:val="center"/>
            <w:hideMark/>
          </w:tcPr>
          <w:p w14:paraId="57CF1F64"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51606117" w14:textId="77777777" w:rsidTr="00BF3652">
        <w:trPr>
          <w:trHeight w:val="310"/>
        </w:trPr>
        <w:tc>
          <w:tcPr>
            <w:tcW w:w="2712" w:type="pct"/>
            <w:shd w:val="clear" w:color="auto" w:fill="auto"/>
            <w:vAlign w:val="center"/>
            <w:hideMark/>
          </w:tcPr>
          <w:p w14:paraId="13FD46B5" w14:textId="77777777" w:rsidR="00FC51B7" w:rsidRPr="00A3202E" w:rsidRDefault="00FC51B7" w:rsidP="00A3202E">
            <w:pPr>
              <w:spacing w:after="0" w:line="240" w:lineRule="auto"/>
              <w:ind w:hanging="30"/>
              <w:rPr>
                <w:rFonts w:eastAsia="Times New Roman" w:cstheme="minorHAnsi"/>
                <w:color w:val="000000"/>
              </w:rPr>
            </w:pPr>
            <w:r w:rsidRPr="00A3202E">
              <w:rPr>
                <w:rFonts w:eastAsia="Times New Roman" w:cstheme="minorHAnsi"/>
                <w:color w:val="000000"/>
              </w:rPr>
              <w:t># meeting career objectives</w:t>
            </w:r>
          </w:p>
        </w:tc>
        <w:tc>
          <w:tcPr>
            <w:tcW w:w="668" w:type="pct"/>
            <w:shd w:val="clear" w:color="000000" w:fill="FFF2CC"/>
            <w:vAlign w:val="center"/>
            <w:hideMark/>
          </w:tcPr>
          <w:p w14:paraId="768E4FC3"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0</w:t>
            </w:r>
          </w:p>
        </w:tc>
        <w:tc>
          <w:tcPr>
            <w:tcW w:w="777" w:type="pct"/>
            <w:shd w:val="clear" w:color="000000" w:fill="D9E1F2"/>
            <w:vAlign w:val="center"/>
            <w:hideMark/>
          </w:tcPr>
          <w:p w14:paraId="4C96ED04"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3</w:t>
            </w:r>
          </w:p>
        </w:tc>
        <w:tc>
          <w:tcPr>
            <w:tcW w:w="844" w:type="pct"/>
            <w:shd w:val="clear" w:color="000000" w:fill="E2EFDA"/>
            <w:vAlign w:val="center"/>
            <w:hideMark/>
          </w:tcPr>
          <w:p w14:paraId="550F91FC"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4D74B74F" w14:textId="77777777" w:rsidTr="00BF3652">
        <w:trPr>
          <w:trHeight w:val="310"/>
        </w:trPr>
        <w:tc>
          <w:tcPr>
            <w:tcW w:w="2712" w:type="pct"/>
            <w:shd w:val="clear" w:color="auto" w:fill="auto"/>
            <w:vAlign w:val="center"/>
            <w:hideMark/>
          </w:tcPr>
          <w:p w14:paraId="79798273" w14:textId="77777777" w:rsidR="00FC51B7" w:rsidRPr="00A3202E" w:rsidRDefault="00FC51B7" w:rsidP="00A3202E">
            <w:pPr>
              <w:spacing w:after="0" w:line="240" w:lineRule="auto"/>
              <w:ind w:hanging="30"/>
              <w:jc w:val="right"/>
              <w:rPr>
                <w:rFonts w:eastAsia="Times New Roman" w:cstheme="minorHAnsi"/>
                <w:color w:val="000000"/>
              </w:rPr>
            </w:pPr>
            <w:r w:rsidRPr="00A3202E">
              <w:rPr>
                <w:rFonts w:eastAsia="Times New Roman" w:cstheme="minorHAnsi"/>
                <w:color w:val="000000"/>
              </w:rPr>
              <w:t> </w:t>
            </w:r>
          </w:p>
        </w:tc>
        <w:tc>
          <w:tcPr>
            <w:tcW w:w="668" w:type="pct"/>
            <w:shd w:val="clear" w:color="000000" w:fill="FFF2CC"/>
            <w:vAlign w:val="center"/>
            <w:hideMark/>
          </w:tcPr>
          <w:p w14:paraId="458E607A"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0217F4FA"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6C1DC753"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6C2E6595" w14:textId="77777777" w:rsidTr="00BF3652">
        <w:trPr>
          <w:trHeight w:val="310"/>
        </w:trPr>
        <w:tc>
          <w:tcPr>
            <w:tcW w:w="2712" w:type="pct"/>
            <w:shd w:val="clear" w:color="auto" w:fill="auto"/>
            <w:vAlign w:val="center"/>
            <w:hideMark/>
          </w:tcPr>
          <w:p w14:paraId="11A941B8" w14:textId="77777777" w:rsidR="00FC51B7" w:rsidRPr="00A3202E" w:rsidRDefault="00FC51B7" w:rsidP="00A3202E">
            <w:pPr>
              <w:spacing w:after="0" w:line="240" w:lineRule="auto"/>
              <w:ind w:hanging="30"/>
              <w:rPr>
                <w:rFonts w:eastAsia="Times New Roman" w:cstheme="minorHAnsi"/>
                <w:b/>
                <w:bCs/>
                <w:color w:val="000000"/>
              </w:rPr>
            </w:pPr>
            <w:r w:rsidRPr="00A3202E">
              <w:rPr>
                <w:rFonts w:eastAsia="Times New Roman" w:cstheme="minorHAnsi"/>
                <w:b/>
                <w:bCs/>
                <w:color w:val="000000"/>
              </w:rPr>
              <w:t>AJCs</w:t>
            </w:r>
          </w:p>
        </w:tc>
        <w:tc>
          <w:tcPr>
            <w:tcW w:w="668" w:type="pct"/>
            <w:shd w:val="clear" w:color="000000" w:fill="FFF2CC"/>
            <w:vAlign w:val="center"/>
            <w:hideMark/>
          </w:tcPr>
          <w:p w14:paraId="254AF887"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482D0DDD"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0379A151"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7CBD942F" w14:textId="77777777" w:rsidTr="00BF3652">
        <w:trPr>
          <w:trHeight w:val="310"/>
        </w:trPr>
        <w:tc>
          <w:tcPr>
            <w:tcW w:w="2712" w:type="pct"/>
            <w:shd w:val="clear" w:color="auto" w:fill="auto"/>
            <w:vAlign w:val="center"/>
            <w:hideMark/>
          </w:tcPr>
          <w:p w14:paraId="4AFBF812" w14:textId="77777777" w:rsidR="00FC51B7" w:rsidRPr="00A3202E" w:rsidRDefault="00FC51B7" w:rsidP="00A3202E">
            <w:pPr>
              <w:spacing w:after="0" w:line="240" w:lineRule="auto"/>
              <w:ind w:hanging="30"/>
              <w:rPr>
                <w:rFonts w:eastAsia="Times New Roman" w:cstheme="minorHAnsi"/>
                <w:color w:val="000000"/>
              </w:rPr>
            </w:pPr>
            <w:r w:rsidRPr="00A3202E">
              <w:rPr>
                <w:rFonts w:eastAsia="Times New Roman" w:cstheme="minorHAnsi"/>
                <w:color w:val="000000"/>
              </w:rPr>
              <w:t># co-enrollments</w:t>
            </w:r>
          </w:p>
        </w:tc>
        <w:tc>
          <w:tcPr>
            <w:tcW w:w="668" w:type="pct"/>
            <w:shd w:val="clear" w:color="000000" w:fill="FFF2CC"/>
            <w:vAlign w:val="center"/>
            <w:hideMark/>
          </w:tcPr>
          <w:p w14:paraId="3F689697"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2A6606B5"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271C1E27"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r w:rsidR="00FC51B7" w:rsidRPr="00A3202E" w14:paraId="7ECC22D4" w14:textId="77777777" w:rsidTr="00BF3652">
        <w:trPr>
          <w:trHeight w:val="310"/>
        </w:trPr>
        <w:tc>
          <w:tcPr>
            <w:tcW w:w="2712" w:type="pct"/>
            <w:shd w:val="clear" w:color="auto" w:fill="auto"/>
            <w:vAlign w:val="center"/>
            <w:hideMark/>
          </w:tcPr>
          <w:p w14:paraId="0FEABCFF" w14:textId="77777777" w:rsidR="00FC51B7" w:rsidRPr="00A3202E" w:rsidRDefault="00FC51B7" w:rsidP="00A3202E">
            <w:pPr>
              <w:spacing w:after="0" w:line="240" w:lineRule="auto"/>
              <w:ind w:hanging="30"/>
              <w:rPr>
                <w:rFonts w:eastAsia="Times New Roman" w:cstheme="minorHAnsi"/>
                <w:color w:val="000000"/>
              </w:rPr>
            </w:pPr>
            <w:r w:rsidRPr="00A3202E">
              <w:rPr>
                <w:rFonts w:eastAsia="Times New Roman" w:cstheme="minorHAnsi"/>
                <w:color w:val="000000"/>
              </w:rPr>
              <w:t># employed</w:t>
            </w:r>
          </w:p>
        </w:tc>
        <w:tc>
          <w:tcPr>
            <w:tcW w:w="668" w:type="pct"/>
            <w:shd w:val="clear" w:color="000000" w:fill="FFF2CC"/>
            <w:vAlign w:val="center"/>
            <w:hideMark/>
          </w:tcPr>
          <w:p w14:paraId="3B614819"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777" w:type="pct"/>
            <w:shd w:val="clear" w:color="000000" w:fill="D9E1F2"/>
            <w:vAlign w:val="center"/>
            <w:hideMark/>
          </w:tcPr>
          <w:p w14:paraId="1E17A92C" w14:textId="77777777" w:rsidR="00FC51B7" w:rsidRPr="00A3202E" w:rsidRDefault="00FC51B7" w:rsidP="00A3202E">
            <w:pPr>
              <w:spacing w:after="0" w:line="240" w:lineRule="auto"/>
              <w:ind w:firstLine="0"/>
              <w:jc w:val="center"/>
              <w:rPr>
                <w:rFonts w:eastAsia="Times New Roman" w:cstheme="minorHAnsi"/>
                <w:color w:val="000000"/>
              </w:rPr>
            </w:pPr>
            <w:r w:rsidRPr="00A3202E">
              <w:rPr>
                <w:rFonts w:eastAsia="Times New Roman" w:cstheme="minorHAnsi"/>
                <w:color w:val="000000"/>
              </w:rPr>
              <w:t> </w:t>
            </w:r>
          </w:p>
        </w:tc>
        <w:tc>
          <w:tcPr>
            <w:tcW w:w="844" w:type="pct"/>
            <w:shd w:val="clear" w:color="000000" w:fill="E2EFDA"/>
            <w:vAlign w:val="center"/>
            <w:hideMark/>
          </w:tcPr>
          <w:p w14:paraId="0CC1B868" w14:textId="77777777" w:rsidR="00FC51B7" w:rsidRPr="00A3202E" w:rsidRDefault="00FC51B7" w:rsidP="00A3202E">
            <w:pPr>
              <w:spacing w:after="0" w:line="240" w:lineRule="auto"/>
              <w:ind w:firstLine="31"/>
              <w:jc w:val="center"/>
              <w:rPr>
                <w:rFonts w:eastAsia="Times New Roman" w:cstheme="minorHAnsi"/>
                <w:color w:val="000000"/>
              </w:rPr>
            </w:pPr>
            <w:r w:rsidRPr="00A3202E">
              <w:rPr>
                <w:rFonts w:eastAsia="Times New Roman" w:cstheme="minorHAnsi"/>
                <w:color w:val="000000"/>
              </w:rPr>
              <w:t> </w:t>
            </w:r>
          </w:p>
        </w:tc>
      </w:tr>
    </w:tbl>
    <w:p w14:paraId="3917F817" w14:textId="77777777" w:rsidR="00FC51B7" w:rsidRPr="00A3202E" w:rsidRDefault="00FC51B7" w:rsidP="00FC51B7">
      <w:pPr>
        <w:rPr>
          <w:rFonts w:cstheme="minorHAnsi"/>
        </w:rPr>
      </w:pPr>
      <w:r w:rsidRPr="00A3202E">
        <w:rPr>
          <w:rFonts w:cstheme="minorHAnsi"/>
        </w:rPr>
        <w:br w:type="page"/>
      </w:r>
    </w:p>
    <w:p w14:paraId="67956E3C" w14:textId="77A76F2B" w:rsidR="00FC51B7" w:rsidRPr="00BF3652" w:rsidRDefault="00BF3652" w:rsidP="00BF3652">
      <w:pPr>
        <w:pStyle w:val="Heading2"/>
      </w:pPr>
      <w:bookmarkStart w:id="97" w:name="_Toc41940234"/>
      <w:r w:rsidRPr="00BF3652">
        <w:lastRenderedPageBreak/>
        <w:t>Workforce Integration I</w:t>
      </w:r>
      <w:r>
        <w:t>TA</w:t>
      </w:r>
      <w:r w:rsidRPr="00BF3652">
        <w:t>s: Resources</w:t>
      </w:r>
      <w:bookmarkEnd w:id="97"/>
    </w:p>
    <w:p w14:paraId="6AB2D281" w14:textId="77777777" w:rsidR="00FC51B7" w:rsidRPr="00DD04A8" w:rsidRDefault="00FC51B7" w:rsidP="00BF3652">
      <w:r w:rsidRPr="00EC03D6">
        <w:t xml:space="preserve">Available on the WINTAC website, the Integration team has developed a number of resources to support TA and training and provide guidance to </w:t>
      </w:r>
      <w:r w:rsidRPr="00DD04A8">
        <w:t xml:space="preserve">SVRAs as they meet their requirements for Integrating VR into the Workforce Development System under WIOA. Since the end of Year 4, this page has undergone some revisions, and as with all other resource pages, description and links to the Covid0-19 related resources is presented up front. Resources covered include: (1) AJC Cross Partner Service Alignment; (2) </w:t>
      </w:r>
    </w:p>
    <w:p w14:paraId="39873BC0" w14:textId="6D60C8DE" w:rsidR="00FC51B7" w:rsidRPr="00DD04A8" w:rsidRDefault="00FC51B7" w:rsidP="00BF3652">
      <w:r w:rsidRPr="00DD04A8">
        <w:t>IRTs; (3) Career Pathways; (4) Job Seeker Services; (5) Business Service Practices; (6) Financial Literacy; (7) Accessibility; (8) Partnership Plus; (9) and WIOA Implementation.</w:t>
      </w:r>
    </w:p>
    <w:p w14:paraId="140BF4F7" w14:textId="77777777" w:rsidR="00FC51B7" w:rsidRDefault="00FC51B7" w:rsidP="00BF3652">
      <w:r w:rsidRPr="00DD04A8">
        <w:t xml:space="preserve">Examining traffic to the Workforce Integration Resources page, we see 937 Page Views &amp; 116 Entrances for Year 5 thus far.  Spikes in traffic occurred periodically including around the time of the pandemic’s onset, but page views otherwise show a fairly steady rate. </w:t>
      </w:r>
    </w:p>
    <w:p w14:paraId="29C174C2" w14:textId="77777777" w:rsidR="00FC51B7" w:rsidRDefault="00FC51B7" w:rsidP="00A3202E">
      <w:pPr>
        <w:ind w:firstLine="0"/>
      </w:pPr>
      <w:r>
        <w:rPr>
          <w:noProof/>
          <w:lang w:eastAsia="ko-KR"/>
        </w:rPr>
        <w:drawing>
          <wp:inline distT="0" distB="0" distL="0" distR="0" wp14:anchorId="30F38DA5" wp14:editId="0A8DAFB6">
            <wp:extent cx="5943600" cy="1370965"/>
            <wp:effectExtent l="0" t="0" r="0" b="635"/>
            <wp:docPr id="86" name="Picture 86" descr="web analytic graphic showing page views and ent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3600" cy="1370965"/>
                    </a:xfrm>
                    <a:prstGeom prst="rect">
                      <a:avLst/>
                    </a:prstGeom>
                  </pic:spPr>
                </pic:pic>
              </a:graphicData>
            </a:graphic>
          </wp:inline>
        </w:drawing>
      </w:r>
    </w:p>
    <w:p w14:paraId="7DA905D2" w14:textId="77777777" w:rsidR="00FC51B7" w:rsidRPr="00190950" w:rsidRDefault="00FC51B7" w:rsidP="00C575C8">
      <w:pPr>
        <w:pStyle w:val="NormalWeb"/>
        <w:numPr>
          <w:ilvl w:val="0"/>
          <w:numId w:val="32"/>
        </w:numPr>
        <w:rPr>
          <w:rFonts w:cstheme="minorHAnsi"/>
          <w:szCs w:val="22"/>
        </w:rPr>
      </w:pPr>
      <w:r w:rsidRPr="00190950">
        <w:rPr>
          <w:rStyle w:val="Strong"/>
          <w:rFonts w:cstheme="minorHAnsi"/>
          <w:szCs w:val="22"/>
        </w:rPr>
        <w:t>Your WIOA Program Partners</w:t>
      </w:r>
      <w:r w:rsidRPr="00190950">
        <w:rPr>
          <w:rFonts w:cstheme="minorHAnsi"/>
          <w:szCs w:val="22"/>
        </w:rPr>
        <w:br/>
        <w:t xml:space="preserve">In the vision of customer service outlined in WIOA and in the guidance in RSA TACs 15-01 and 17-02, the diverse expertise of multiple programs is identified as being important to a responsive seamless system available through a “one-stop” or American Job Center. Core and Required Program Partners are identified as being necessary to support the full inclusion of all job seekers in this system, as well as leaving local leadership the flexibility in adding other services. A description of those Core, Required and possible Other partners are identified in this </w:t>
      </w:r>
      <w:hyperlink r:id="rId235" w:tgtFrame="_blank" w:history="1">
        <w:r w:rsidRPr="00190950">
          <w:rPr>
            <w:rStyle w:val="Hyperlink"/>
            <w:rFonts w:cstheme="minorHAnsi"/>
            <w:szCs w:val="22"/>
          </w:rPr>
          <w:t>WIOA Program Partners List</w:t>
        </w:r>
      </w:hyperlink>
      <w:r w:rsidRPr="00190950">
        <w:rPr>
          <w:rFonts w:cstheme="minorHAnsi"/>
          <w:szCs w:val="22"/>
        </w:rPr>
        <w:t>.</w:t>
      </w:r>
    </w:p>
    <w:p w14:paraId="58515734" w14:textId="77777777" w:rsidR="00FC51B7" w:rsidRPr="00190950" w:rsidRDefault="00FC51B7" w:rsidP="00C575C8">
      <w:pPr>
        <w:pStyle w:val="NormalWeb"/>
        <w:numPr>
          <w:ilvl w:val="0"/>
          <w:numId w:val="32"/>
        </w:numPr>
        <w:rPr>
          <w:rStyle w:val="Strong"/>
          <w:rFonts w:cstheme="minorHAnsi"/>
          <w:b w:val="0"/>
          <w:bCs w:val="0"/>
          <w:szCs w:val="22"/>
        </w:rPr>
      </w:pPr>
      <w:r w:rsidRPr="00190950">
        <w:rPr>
          <w:rStyle w:val="Strong"/>
          <w:rFonts w:cstheme="minorHAnsi"/>
          <w:szCs w:val="22"/>
        </w:rPr>
        <w:t>Template to assist in Identifying Program Partners in Your Local Area</w:t>
      </w:r>
      <w:r w:rsidRPr="00190950">
        <w:rPr>
          <w:rFonts w:cstheme="minorHAnsi"/>
          <w:szCs w:val="22"/>
        </w:rPr>
        <w:br/>
        <w:t xml:space="preserve">Most programs providing core and required services in your local area are recognized by agency or program names that are different than the funding stream names listed in the </w:t>
      </w:r>
      <w:hyperlink r:id="rId236" w:tgtFrame="_blank" w:history="1">
        <w:r w:rsidRPr="00190950">
          <w:rPr>
            <w:rStyle w:val="Hyperlink"/>
            <w:rFonts w:cstheme="minorHAnsi"/>
            <w:szCs w:val="22"/>
          </w:rPr>
          <w:t>WIOA Program Partners List</w:t>
        </w:r>
      </w:hyperlink>
      <w:r w:rsidRPr="00190950">
        <w:rPr>
          <w:rFonts w:cstheme="minorHAnsi"/>
          <w:szCs w:val="22"/>
        </w:rPr>
        <w:t xml:space="preserve">. The best way for staff to learn about the services and expertise available through each program is to meet with each of the program representatives and share this information directly. An additional tool that may be helpful to local areas is the </w:t>
      </w:r>
      <w:hyperlink r:id="rId237" w:tgtFrame="_blank" w:history="1">
        <w:r w:rsidRPr="00190950">
          <w:rPr>
            <w:rStyle w:val="Hyperlink"/>
            <w:rFonts w:cstheme="minorHAnsi"/>
            <w:szCs w:val="22"/>
          </w:rPr>
          <w:t>Partnership Profile Template</w:t>
        </w:r>
      </w:hyperlink>
      <w:r w:rsidRPr="00190950">
        <w:rPr>
          <w:rFonts w:cstheme="minorHAnsi"/>
          <w:szCs w:val="22"/>
        </w:rPr>
        <w:t>.</w:t>
      </w:r>
    </w:p>
    <w:p w14:paraId="438B40EE" w14:textId="77777777" w:rsidR="00FC51B7" w:rsidRPr="004A52C5" w:rsidRDefault="00FC51B7" w:rsidP="00C575C8">
      <w:pPr>
        <w:pStyle w:val="NormalWeb"/>
        <w:numPr>
          <w:ilvl w:val="0"/>
          <w:numId w:val="32"/>
        </w:numPr>
        <w:spacing w:before="80"/>
        <w:rPr>
          <w:rStyle w:val="Strong"/>
          <w:rFonts w:cstheme="minorHAnsi"/>
          <w:szCs w:val="22"/>
        </w:rPr>
      </w:pPr>
      <w:r w:rsidRPr="004A52C5">
        <w:rPr>
          <w:rStyle w:val="Strong"/>
          <w:rFonts w:cstheme="minorHAnsi"/>
          <w:szCs w:val="22"/>
        </w:rPr>
        <w:t>Integration Continuum Self-Assessment</w:t>
      </w:r>
    </w:p>
    <w:p w14:paraId="5046B889" w14:textId="77777777" w:rsidR="00FC51B7" w:rsidRPr="00253BA4" w:rsidRDefault="00FC51B7" w:rsidP="00C575C8">
      <w:pPr>
        <w:pStyle w:val="NormalWeb"/>
        <w:numPr>
          <w:ilvl w:val="0"/>
          <w:numId w:val="32"/>
        </w:numPr>
        <w:spacing w:before="80"/>
        <w:rPr>
          <w:rFonts w:cstheme="minorHAnsi"/>
          <w:b/>
          <w:szCs w:val="22"/>
        </w:rPr>
      </w:pPr>
      <w:r w:rsidRPr="00253BA4">
        <w:rPr>
          <w:rFonts w:cstheme="minorHAnsi"/>
          <w:b/>
          <w:szCs w:val="22"/>
        </w:rPr>
        <w:t>"Finding Integration"</w:t>
      </w:r>
    </w:p>
    <w:p w14:paraId="442243F3" w14:textId="77777777" w:rsidR="00FC51B7" w:rsidRPr="00E13D3B" w:rsidRDefault="00FC51B7" w:rsidP="00C575C8">
      <w:pPr>
        <w:pStyle w:val="ListParagraph"/>
        <w:numPr>
          <w:ilvl w:val="0"/>
          <w:numId w:val="33"/>
        </w:numPr>
        <w:spacing w:before="80" w:after="0"/>
        <w:rPr>
          <w:rFonts w:eastAsia="Times New Roman" w:cstheme="minorHAnsi"/>
          <w:b/>
        </w:rPr>
      </w:pPr>
      <w:r w:rsidRPr="00E13D3B">
        <w:rPr>
          <w:rFonts w:eastAsia="Times New Roman" w:cstheme="minorHAnsi"/>
          <w:b/>
          <w:bCs/>
        </w:rPr>
        <w:t>Agreements:</w:t>
      </w:r>
    </w:p>
    <w:p w14:paraId="7195957E" w14:textId="77777777" w:rsidR="00FC51B7" w:rsidRPr="00E13D3B" w:rsidRDefault="00FC51B7" w:rsidP="00C575C8">
      <w:pPr>
        <w:pStyle w:val="ListParagraph"/>
        <w:numPr>
          <w:ilvl w:val="1"/>
          <w:numId w:val="33"/>
        </w:numPr>
        <w:spacing w:before="80" w:after="0"/>
        <w:rPr>
          <w:rFonts w:eastAsia="Times New Roman" w:cstheme="minorHAnsi"/>
          <w:bCs/>
        </w:rPr>
      </w:pPr>
      <w:r w:rsidRPr="00E13D3B">
        <w:rPr>
          <w:rFonts w:eastAsia="Times New Roman" w:cstheme="minorHAnsi"/>
          <w:bCs/>
        </w:rPr>
        <w:t>Agreements with Education Agencies</w:t>
      </w:r>
      <w:r w:rsidRPr="007F09E4">
        <w:rPr>
          <w:rFonts w:eastAsia="Times New Roman" w:cstheme="minorHAnsi"/>
          <w:bCs/>
        </w:rPr>
        <w:t xml:space="preserve"> - </w:t>
      </w:r>
      <w:hyperlink r:id="rId238" w:history="1">
        <w:r w:rsidRPr="00E13D3B">
          <w:rPr>
            <w:rStyle w:val="Hyperlink"/>
            <w:rFonts w:eastAsia="Times New Roman" w:cstheme="minorHAnsi"/>
            <w:bCs/>
          </w:rPr>
          <w:t>Tool Kit</w:t>
        </w:r>
      </w:hyperlink>
    </w:p>
    <w:p w14:paraId="12950946" w14:textId="77777777" w:rsidR="00FC51B7" w:rsidRPr="00E13D3B" w:rsidRDefault="00FC51B7" w:rsidP="00C575C8">
      <w:pPr>
        <w:pStyle w:val="ListParagraph"/>
        <w:numPr>
          <w:ilvl w:val="1"/>
          <w:numId w:val="33"/>
        </w:numPr>
        <w:spacing w:before="80" w:after="0"/>
        <w:rPr>
          <w:rFonts w:eastAsia="Times New Roman" w:cstheme="minorHAnsi"/>
          <w:bCs/>
        </w:rPr>
      </w:pPr>
      <w:r w:rsidRPr="00E13D3B">
        <w:rPr>
          <w:rFonts w:eastAsia="Times New Roman" w:cstheme="minorHAnsi"/>
          <w:bCs/>
        </w:rPr>
        <w:t>Agreements with Local Workforce Development Boards</w:t>
      </w:r>
    </w:p>
    <w:p w14:paraId="7A9177B3" w14:textId="77777777" w:rsidR="00FC51B7" w:rsidRPr="00E13D3B" w:rsidRDefault="00FC51B7" w:rsidP="00C575C8">
      <w:pPr>
        <w:pStyle w:val="ListParagraph"/>
        <w:numPr>
          <w:ilvl w:val="2"/>
          <w:numId w:val="33"/>
        </w:numPr>
        <w:spacing w:before="80" w:after="0"/>
        <w:rPr>
          <w:rFonts w:eastAsia="Times New Roman" w:cstheme="minorHAnsi"/>
          <w:bCs/>
        </w:rPr>
      </w:pPr>
      <w:r w:rsidRPr="00E13D3B">
        <w:rPr>
          <w:rFonts w:eastAsia="Times New Roman" w:cstheme="minorHAnsi"/>
          <w:bCs/>
          <w:i/>
          <w:iCs/>
        </w:rPr>
        <w:t xml:space="preserve">Contributors from the Departments of Labor, Health and Human Services, and Education provide us with </w:t>
      </w:r>
      <w:r w:rsidRPr="00E13D3B">
        <w:rPr>
          <w:rFonts w:eastAsia="Times New Roman" w:cstheme="minorHAnsi"/>
          <w:bCs/>
        </w:rPr>
        <w:t>"</w:t>
      </w:r>
      <w:hyperlink r:id="rId239" w:tgtFrame="_blank" w:history="1">
        <w:r w:rsidRPr="00E13D3B">
          <w:rPr>
            <w:rStyle w:val="Hyperlink"/>
            <w:rFonts w:eastAsia="Times New Roman" w:cstheme="minorHAnsi"/>
            <w:bCs/>
          </w:rPr>
          <w:t>Sample MOU and Infrastructure Costs Tool Kit</w:t>
        </w:r>
      </w:hyperlink>
      <w:r w:rsidRPr="00E13D3B">
        <w:rPr>
          <w:rFonts w:eastAsia="Times New Roman" w:cstheme="minorHAnsi"/>
          <w:bCs/>
        </w:rPr>
        <w:t>."</w:t>
      </w:r>
    </w:p>
    <w:p w14:paraId="39AA13DA" w14:textId="77777777" w:rsidR="00FC51B7" w:rsidRPr="00E13D3B" w:rsidRDefault="00FC51B7" w:rsidP="00C575C8">
      <w:pPr>
        <w:pStyle w:val="ListParagraph"/>
        <w:numPr>
          <w:ilvl w:val="2"/>
          <w:numId w:val="33"/>
        </w:numPr>
        <w:spacing w:before="80" w:after="0"/>
        <w:rPr>
          <w:rFonts w:eastAsia="Times New Roman" w:cstheme="minorHAnsi"/>
          <w:bCs/>
        </w:rPr>
      </w:pPr>
      <w:r w:rsidRPr="00E13D3B">
        <w:rPr>
          <w:rFonts w:eastAsia="Times New Roman" w:cstheme="minorHAnsi"/>
          <w:bCs/>
          <w:i/>
          <w:iCs/>
        </w:rPr>
        <w:lastRenderedPageBreak/>
        <w:t xml:space="preserve">Examples of agreements from states used to support discussions facilitated by CSAVR, WINTAC staff have developed </w:t>
      </w:r>
      <w:r w:rsidRPr="00E13D3B">
        <w:rPr>
          <w:rFonts w:eastAsia="Times New Roman" w:cstheme="minorHAnsi"/>
          <w:bCs/>
        </w:rPr>
        <w:t>"</w:t>
      </w:r>
      <w:hyperlink r:id="rId240" w:tgtFrame="_blank" w:history="1">
        <w:r w:rsidRPr="00E13D3B">
          <w:rPr>
            <w:rStyle w:val="Hyperlink"/>
            <w:rFonts w:eastAsia="Times New Roman" w:cstheme="minorHAnsi"/>
            <w:bCs/>
          </w:rPr>
          <w:t>The WDB MOU and Outline</w:t>
        </w:r>
      </w:hyperlink>
      <w:r w:rsidRPr="00E13D3B">
        <w:rPr>
          <w:rFonts w:eastAsia="Times New Roman" w:cstheme="minorHAnsi"/>
          <w:bCs/>
        </w:rPr>
        <w:t>."</w:t>
      </w:r>
    </w:p>
    <w:p w14:paraId="4CC8558E" w14:textId="77777777" w:rsidR="00FC51B7" w:rsidRPr="00E13D3B" w:rsidRDefault="00FC51B7" w:rsidP="00C575C8">
      <w:pPr>
        <w:pStyle w:val="ListParagraph"/>
        <w:numPr>
          <w:ilvl w:val="2"/>
          <w:numId w:val="33"/>
        </w:numPr>
        <w:spacing w:before="80" w:after="0"/>
        <w:rPr>
          <w:rFonts w:eastAsia="Times New Roman" w:cstheme="minorHAnsi"/>
          <w:bCs/>
        </w:rPr>
      </w:pPr>
      <w:r w:rsidRPr="00E13D3B">
        <w:rPr>
          <w:rFonts w:eastAsia="Times New Roman" w:cstheme="minorHAnsi"/>
          <w:bCs/>
          <w:i/>
          <w:iCs/>
        </w:rPr>
        <w:t xml:space="preserve">References from the Regulations important to the development of MOUs between Local WDB’s and Partner agencies are identified in </w:t>
      </w:r>
      <w:r w:rsidRPr="00E13D3B">
        <w:rPr>
          <w:rFonts w:eastAsia="Times New Roman" w:cstheme="minorHAnsi"/>
          <w:bCs/>
        </w:rPr>
        <w:t>"</w:t>
      </w:r>
      <w:hyperlink r:id="rId241" w:tgtFrame="_blank" w:history="1">
        <w:r w:rsidRPr="00E13D3B">
          <w:rPr>
            <w:rStyle w:val="Hyperlink"/>
            <w:rFonts w:eastAsia="Times New Roman" w:cstheme="minorHAnsi"/>
            <w:bCs/>
          </w:rPr>
          <w:t>Guidance from WIOA in development</w:t>
        </w:r>
      </w:hyperlink>
      <w:r w:rsidRPr="00E13D3B">
        <w:rPr>
          <w:rFonts w:eastAsia="Times New Roman" w:cstheme="minorHAnsi"/>
          <w:bCs/>
        </w:rPr>
        <w:t>."</w:t>
      </w:r>
    </w:p>
    <w:p w14:paraId="3C870DBD" w14:textId="77777777" w:rsidR="00FC51B7" w:rsidRPr="00E13D3B" w:rsidRDefault="00FC51B7" w:rsidP="00C575C8">
      <w:pPr>
        <w:pStyle w:val="ListParagraph"/>
        <w:numPr>
          <w:ilvl w:val="2"/>
          <w:numId w:val="33"/>
        </w:numPr>
        <w:spacing w:before="80" w:after="0"/>
        <w:rPr>
          <w:rFonts w:eastAsia="Times New Roman" w:cstheme="minorHAnsi"/>
          <w:bCs/>
        </w:rPr>
      </w:pPr>
      <w:r w:rsidRPr="00E13D3B">
        <w:rPr>
          <w:rFonts w:eastAsia="Times New Roman" w:cstheme="minorHAnsi"/>
          <w:bCs/>
          <w:i/>
          <w:iCs/>
        </w:rPr>
        <w:t>An example of State Level guidance to facilitate WDB MOU development can be found in the</w:t>
      </w:r>
      <w:r w:rsidRPr="00E13D3B">
        <w:rPr>
          <w:rFonts w:eastAsia="Times New Roman" w:cstheme="minorHAnsi"/>
          <w:bCs/>
        </w:rPr>
        <w:t xml:space="preserve"> </w:t>
      </w:r>
      <w:hyperlink r:id="rId242" w:tgtFrame="_blank" w:history="1">
        <w:r w:rsidRPr="00E13D3B">
          <w:rPr>
            <w:rStyle w:val="Hyperlink"/>
            <w:rFonts w:eastAsia="Times New Roman" w:cstheme="minorHAnsi"/>
            <w:bCs/>
          </w:rPr>
          <w:t>New Jersey WIOA MOU Presentation</w:t>
        </w:r>
      </w:hyperlink>
      <w:r w:rsidRPr="00E13D3B">
        <w:rPr>
          <w:rFonts w:eastAsia="Times New Roman" w:cstheme="minorHAnsi"/>
          <w:bCs/>
        </w:rPr>
        <w:t>.</w:t>
      </w:r>
    </w:p>
    <w:p w14:paraId="2426EDBE" w14:textId="77777777" w:rsidR="00FC51B7" w:rsidRPr="00E13D3B" w:rsidRDefault="00FC51B7" w:rsidP="00C575C8">
      <w:pPr>
        <w:pStyle w:val="ListParagraph"/>
        <w:numPr>
          <w:ilvl w:val="1"/>
          <w:numId w:val="33"/>
        </w:numPr>
        <w:spacing w:before="80" w:after="0"/>
        <w:rPr>
          <w:rFonts w:eastAsia="Times New Roman" w:cstheme="minorHAnsi"/>
          <w:bCs/>
        </w:rPr>
      </w:pPr>
      <w:r w:rsidRPr="00E13D3B">
        <w:rPr>
          <w:rFonts w:eastAsia="Times New Roman" w:cstheme="minorHAnsi"/>
          <w:bCs/>
        </w:rPr>
        <w:t>Infrastructure Funding Agreements (IFA) and other Cost Sharing Agreements.</w:t>
      </w:r>
    </w:p>
    <w:p w14:paraId="047B62F3" w14:textId="77777777" w:rsidR="00FC51B7" w:rsidRPr="00E13D3B" w:rsidRDefault="0084664F" w:rsidP="00C575C8">
      <w:pPr>
        <w:pStyle w:val="ListParagraph"/>
        <w:numPr>
          <w:ilvl w:val="2"/>
          <w:numId w:val="33"/>
        </w:numPr>
        <w:spacing w:before="80" w:after="0"/>
        <w:rPr>
          <w:rFonts w:eastAsia="Times New Roman" w:cstheme="minorHAnsi"/>
          <w:bCs/>
        </w:rPr>
      </w:pPr>
      <w:hyperlink r:id="rId243" w:history="1">
        <w:r w:rsidR="00FC51B7" w:rsidRPr="00E13D3B">
          <w:rPr>
            <w:rStyle w:val="Hyperlink"/>
            <w:rFonts w:eastAsia="Times New Roman" w:cstheme="minorHAnsi"/>
            <w:bCs/>
          </w:rPr>
          <w:t>RSA TAC 17-03</w:t>
        </w:r>
      </w:hyperlink>
      <w:r w:rsidR="00FC51B7" w:rsidRPr="00E13D3B">
        <w:rPr>
          <w:rFonts w:eastAsia="Times New Roman" w:cstheme="minorHAnsi"/>
          <w:bCs/>
        </w:rPr>
        <w:t xml:space="preserve"> provides guidance to SVRAs in establishing IFA and Other or Additional Cost Sharing Agreements with Local WDBs and Partner agencies</w:t>
      </w:r>
    </w:p>
    <w:p w14:paraId="0C8FBE5A" w14:textId="77777777" w:rsidR="00FC51B7" w:rsidRPr="00E13D3B" w:rsidRDefault="00FC51B7" w:rsidP="00C575C8">
      <w:pPr>
        <w:pStyle w:val="ListParagraph"/>
        <w:numPr>
          <w:ilvl w:val="2"/>
          <w:numId w:val="33"/>
        </w:numPr>
        <w:spacing w:before="80" w:after="0"/>
        <w:rPr>
          <w:rFonts w:eastAsia="Times New Roman" w:cstheme="minorHAnsi"/>
          <w:bCs/>
        </w:rPr>
      </w:pPr>
      <w:r w:rsidRPr="00E13D3B">
        <w:rPr>
          <w:rFonts w:eastAsia="Times New Roman" w:cstheme="minorHAnsi"/>
          <w:bCs/>
        </w:rPr>
        <w:t xml:space="preserve">Related Regulations </w:t>
      </w:r>
      <w:hyperlink r:id="rId244" w:history="1">
        <w:r w:rsidRPr="00E13D3B">
          <w:rPr>
            <w:rStyle w:val="Hyperlink"/>
            <w:rFonts w:eastAsia="Times New Roman" w:cstheme="minorHAnsi"/>
            <w:bCs/>
          </w:rPr>
          <w:t>Regulations Related to IFA Agreements</w:t>
        </w:r>
      </w:hyperlink>
      <w:r w:rsidRPr="00E13D3B">
        <w:rPr>
          <w:rFonts w:eastAsia="Times New Roman" w:cstheme="minorHAnsi"/>
          <w:bCs/>
        </w:rPr>
        <w:t xml:space="preserve"> for IFAs and Other Cost Sharing Agreements</w:t>
      </w:r>
    </w:p>
    <w:p w14:paraId="01862D69" w14:textId="77777777" w:rsidR="00FC51B7" w:rsidRPr="00E13D3B" w:rsidRDefault="00FC51B7" w:rsidP="00C575C8">
      <w:pPr>
        <w:pStyle w:val="ListParagraph"/>
        <w:numPr>
          <w:ilvl w:val="2"/>
          <w:numId w:val="33"/>
        </w:numPr>
        <w:spacing w:before="80" w:after="0"/>
        <w:rPr>
          <w:rFonts w:eastAsia="Times New Roman" w:cstheme="minorHAnsi"/>
          <w:bCs/>
        </w:rPr>
      </w:pPr>
      <w:r w:rsidRPr="00E13D3B">
        <w:rPr>
          <w:rFonts w:eastAsia="Times New Roman" w:cstheme="minorHAnsi"/>
          <w:bCs/>
        </w:rPr>
        <w:t xml:space="preserve">Resources on the GPS ION Site </w:t>
      </w:r>
    </w:p>
    <w:p w14:paraId="1388B6CA" w14:textId="77777777" w:rsidR="00FC51B7" w:rsidRPr="00E13D3B" w:rsidRDefault="0084664F" w:rsidP="00C575C8">
      <w:pPr>
        <w:pStyle w:val="ListParagraph"/>
        <w:numPr>
          <w:ilvl w:val="3"/>
          <w:numId w:val="33"/>
        </w:numPr>
        <w:spacing w:before="80" w:after="0"/>
        <w:rPr>
          <w:rFonts w:eastAsia="Times New Roman" w:cstheme="minorHAnsi"/>
          <w:bCs/>
        </w:rPr>
      </w:pPr>
      <w:hyperlink r:id="rId245" w:tgtFrame="_blank" w:history="1">
        <w:r w:rsidR="00FC51B7" w:rsidRPr="00E13D3B">
          <w:rPr>
            <w:rStyle w:val="Hyperlink"/>
            <w:rFonts w:eastAsia="Times New Roman" w:cstheme="minorHAnsi"/>
            <w:bCs/>
          </w:rPr>
          <w:t>WIOA Wednesday - Memorandum of Understanding (MOU) Part I: Overview &amp; Development</w:t>
        </w:r>
      </w:hyperlink>
    </w:p>
    <w:p w14:paraId="7ED92C36" w14:textId="77777777" w:rsidR="00FC51B7" w:rsidRPr="00E13D3B" w:rsidRDefault="0084664F" w:rsidP="00C575C8">
      <w:pPr>
        <w:pStyle w:val="ListParagraph"/>
        <w:numPr>
          <w:ilvl w:val="3"/>
          <w:numId w:val="33"/>
        </w:numPr>
        <w:spacing w:before="80" w:after="0"/>
        <w:rPr>
          <w:rFonts w:eastAsia="Times New Roman" w:cstheme="minorHAnsi"/>
          <w:bCs/>
        </w:rPr>
      </w:pPr>
      <w:hyperlink r:id="rId246" w:tgtFrame="_blank" w:history="1">
        <w:r w:rsidR="00FC51B7" w:rsidRPr="00E13D3B">
          <w:rPr>
            <w:rStyle w:val="Hyperlink"/>
            <w:rFonts w:eastAsia="Times New Roman" w:cstheme="minorHAnsi"/>
            <w:bCs/>
          </w:rPr>
          <w:t>WIOA Wednesday - Memorandum of Understanding (MOU) Part II: Local vs. State Funding Mechanism</w:t>
        </w:r>
      </w:hyperlink>
    </w:p>
    <w:p w14:paraId="6C820E3C" w14:textId="77777777" w:rsidR="00FC51B7" w:rsidRPr="00E13D3B" w:rsidRDefault="0084664F" w:rsidP="00C575C8">
      <w:pPr>
        <w:pStyle w:val="ListParagraph"/>
        <w:numPr>
          <w:ilvl w:val="3"/>
          <w:numId w:val="33"/>
        </w:numPr>
        <w:spacing w:before="80" w:after="0"/>
        <w:rPr>
          <w:rFonts w:eastAsia="Times New Roman" w:cstheme="minorHAnsi"/>
          <w:bCs/>
        </w:rPr>
      </w:pPr>
      <w:hyperlink r:id="rId247" w:tgtFrame="_blank" w:history="1">
        <w:r w:rsidR="00FC51B7" w:rsidRPr="00E13D3B">
          <w:rPr>
            <w:rStyle w:val="Hyperlink"/>
            <w:rFonts w:eastAsia="Times New Roman" w:cstheme="minorHAnsi"/>
            <w:bCs/>
          </w:rPr>
          <w:t>WIOA Wednesday - Infrastructure Part III: Wisconsin's Cost Database</w:t>
        </w:r>
      </w:hyperlink>
    </w:p>
    <w:p w14:paraId="54690AB5" w14:textId="77777777" w:rsidR="00FC51B7" w:rsidRPr="00E13D3B" w:rsidRDefault="0084664F" w:rsidP="00C575C8">
      <w:pPr>
        <w:pStyle w:val="ListParagraph"/>
        <w:numPr>
          <w:ilvl w:val="2"/>
          <w:numId w:val="33"/>
        </w:numPr>
        <w:spacing w:before="80" w:after="0"/>
        <w:rPr>
          <w:rFonts w:eastAsia="Times New Roman" w:cstheme="minorHAnsi"/>
          <w:bCs/>
        </w:rPr>
      </w:pPr>
      <w:hyperlink r:id="rId248" w:tgtFrame="_blank" w:history="1">
        <w:r w:rsidR="00FC51B7" w:rsidRPr="00E13D3B">
          <w:rPr>
            <w:rStyle w:val="Hyperlink"/>
            <w:rFonts w:eastAsia="Times New Roman" w:cstheme="minorHAnsi"/>
            <w:bCs/>
          </w:rPr>
          <w:t>Sharing American Job Center Costs Using “Customer Count”: One Approach to Cost Allocation Under WIOA</w:t>
        </w:r>
      </w:hyperlink>
    </w:p>
    <w:p w14:paraId="5CCCA5C8" w14:textId="77777777" w:rsidR="00FC51B7" w:rsidRPr="00E13D3B" w:rsidRDefault="0084664F" w:rsidP="00C575C8">
      <w:pPr>
        <w:pStyle w:val="ListParagraph"/>
        <w:numPr>
          <w:ilvl w:val="2"/>
          <w:numId w:val="33"/>
        </w:numPr>
        <w:spacing w:before="80" w:after="0"/>
        <w:rPr>
          <w:rFonts w:eastAsia="Times New Roman" w:cstheme="minorHAnsi"/>
          <w:bCs/>
        </w:rPr>
      </w:pPr>
      <w:hyperlink r:id="rId249" w:tgtFrame="_blank" w:history="1">
        <w:r w:rsidR="00FC51B7" w:rsidRPr="00E13D3B">
          <w:rPr>
            <w:rStyle w:val="Hyperlink"/>
            <w:rFonts w:eastAsia="Times New Roman" w:cstheme="minorHAnsi"/>
            <w:bCs/>
          </w:rPr>
          <w:t>Model Cooperative Agreements Between VR Agency and Medicaid, Mental Health, and Intellectual and Developmental Disabilities Agencies</w:t>
        </w:r>
      </w:hyperlink>
    </w:p>
    <w:p w14:paraId="3200D64E" w14:textId="77777777" w:rsidR="00FC51B7" w:rsidRPr="00E13D3B" w:rsidRDefault="00FC51B7" w:rsidP="00C575C8">
      <w:pPr>
        <w:pStyle w:val="ListParagraph"/>
        <w:numPr>
          <w:ilvl w:val="2"/>
          <w:numId w:val="33"/>
        </w:numPr>
        <w:spacing w:before="80" w:after="0"/>
        <w:rPr>
          <w:rFonts w:eastAsia="Times New Roman" w:cstheme="minorHAnsi"/>
          <w:bCs/>
        </w:rPr>
      </w:pPr>
      <w:r w:rsidRPr="00E13D3B">
        <w:rPr>
          <w:rFonts w:eastAsia="Times New Roman" w:cstheme="minorHAnsi"/>
          <w:bCs/>
        </w:rPr>
        <w:t>State VR agencies agreement</w:t>
      </w:r>
      <w:r>
        <w:rPr>
          <w:rFonts w:eastAsia="Times New Roman" w:cstheme="minorHAnsi"/>
          <w:bCs/>
        </w:rPr>
        <w:t>s</w:t>
      </w:r>
      <w:r w:rsidRPr="00E13D3B">
        <w:rPr>
          <w:rFonts w:eastAsia="Times New Roman" w:cstheme="minorHAnsi"/>
          <w:bCs/>
        </w:rPr>
        <w:t xml:space="preserve"> with American Indian Vocational Rehabilitation Services grant recipient</w:t>
      </w:r>
      <w:r>
        <w:rPr>
          <w:rFonts w:eastAsia="Times New Roman" w:cstheme="minorHAnsi"/>
          <w:bCs/>
        </w:rPr>
        <w:t>s</w:t>
      </w:r>
      <w:r w:rsidRPr="00E13D3B">
        <w:rPr>
          <w:rFonts w:eastAsia="Times New Roman" w:cstheme="minorHAnsi"/>
          <w:bCs/>
        </w:rPr>
        <w:t xml:space="preserve">. This </w:t>
      </w:r>
      <w:hyperlink r:id="rId250" w:tgtFrame="_blank" w:history="1">
        <w:r w:rsidRPr="00E13D3B">
          <w:rPr>
            <w:rStyle w:val="Hyperlink"/>
            <w:rFonts w:eastAsia="Times New Roman" w:cstheme="minorHAnsi"/>
            <w:bCs/>
          </w:rPr>
          <w:t>language</w:t>
        </w:r>
      </w:hyperlink>
      <w:r w:rsidRPr="00E13D3B">
        <w:rPr>
          <w:rFonts w:eastAsia="Times New Roman" w:cstheme="minorHAnsi"/>
          <w:bCs/>
        </w:rPr>
        <w:t xml:space="preserve"> describes what is required.</w:t>
      </w:r>
    </w:p>
    <w:p w14:paraId="652A3059" w14:textId="77777777" w:rsidR="00FC51B7" w:rsidRPr="00E13D3B" w:rsidRDefault="00FC51B7" w:rsidP="00C575C8">
      <w:pPr>
        <w:pStyle w:val="ListParagraph"/>
        <w:numPr>
          <w:ilvl w:val="1"/>
          <w:numId w:val="33"/>
        </w:numPr>
        <w:spacing w:before="80" w:after="0"/>
        <w:rPr>
          <w:rFonts w:eastAsia="Times New Roman" w:cstheme="minorHAnsi"/>
          <w:bCs/>
        </w:rPr>
      </w:pPr>
      <w:r w:rsidRPr="00E13D3B">
        <w:rPr>
          <w:rFonts w:eastAsia="Times New Roman" w:cstheme="minorHAnsi"/>
          <w:bCs/>
        </w:rPr>
        <w:t>Data Sharing Agreements</w:t>
      </w:r>
    </w:p>
    <w:p w14:paraId="1E8DA126" w14:textId="77777777" w:rsidR="00FC51B7" w:rsidRPr="00E13D3B" w:rsidRDefault="00FC51B7" w:rsidP="00C575C8">
      <w:pPr>
        <w:pStyle w:val="ListParagraph"/>
        <w:numPr>
          <w:ilvl w:val="2"/>
          <w:numId w:val="33"/>
        </w:numPr>
        <w:spacing w:before="80" w:after="0"/>
        <w:rPr>
          <w:rFonts w:eastAsia="Times New Roman" w:cstheme="minorHAnsi"/>
          <w:bCs/>
        </w:rPr>
      </w:pPr>
      <w:r w:rsidRPr="00E13D3B">
        <w:rPr>
          <w:rFonts w:eastAsia="Times New Roman" w:cstheme="minorHAnsi"/>
          <w:bCs/>
          <w:i/>
          <w:iCs/>
        </w:rPr>
        <w:t xml:space="preserve">This </w:t>
      </w:r>
      <w:hyperlink r:id="rId251" w:tgtFrame="_blank" w:history="1">
        <w:r w:rsidRPr="00E13D3B">
          <w:rPr>
            <w:rStyle w:val="Hyperlink"/>
            <w:rFonts w:eastAsia="Times New Roman" w:cstheme="minorHAnsi"/>
            <w:bCs/>
            <w:i/>
            <w:iCs/>
          </w:rPr>
          <w:t xml:space="preserve">Toolkit </w:t>
        </w:r>
      </w:hyperlink>
      <w:r w:rsidRPr="00E13D3B">
        <w:rPr>
          <w:rFonts w:eastAsia="Times New Roman" w:cstheme="minorHAnsi"/>
          <w:bCs/>
          <w:i/>
          <w:iCs/>
        </w:rPr>
        <w:t>was developed by WINTAC staff with input from RSA and through discussions with state representatives facilitated by CSAVR</w:t>
      </w:r>
      <w:r w:rsidRPr="00E13D3B">
        <w:rPr>
          <w:rFonts w:eastAsia="Times New Roman" w:cstheme="minorHAnsi"/>
          <w:bCs/>
        </w:rPr>
        <w:t>.</w:t>
      </w:r>
    </w:p>
    <w:p w14:paraId="3A6BE7FA" w14:textId="77777777" w:rsidR="00FC51B7" w:rsidRPr="00E13D3B" w:rsidRDefault="00FC51B7" w:rsidP="00C575C8">
      <w:pPr>
        <w:pStyle w:val="ListParagraph"/>
        <w:numPr>
          <w:ilvl w:val="2"/>
          <w:numId w:val="33"/>
        </w:numPr>
        <w:spacing w:before="80" w:after="0"/>
        <w:rPr>
          <w:rFonts w:eastAsia="Times New Roman" w:cstheme="minorHAnsi"/>
          <w:bCs/>
        </w:rPr>
      </w:pPr>
      <w:r w:rsidRPr="00E13D3B">
        <w:rPr>
          <w:rFonts w:eastAsia="Times New Roman" w:cstheme="minorHAnsi"/>
          <w:bCs/>
          <w:i/>
          <w:iCs/>
        </w:rPr>
        <w:t xml:space="preserve">This </w:t>
      </w:r>
      <w:hyperlink r:id="rId252" w:tgtFrame="_blank" w:history="1">
        <w:r w:rsidRPr="00E13D3B">
          <w:rPr>
            <w:rStyle w:val="Hyperlink"/>
            <w:rFonts w:eastAsia="Times New Roman" w:cstheme="minorHAnsi"/>
            <w:bCs/>
            <w:i/>
            <w:iCs/>
          </w:rPr>
          <w:t>joint guidance</w:t>
        </w:r>
      </w:hyperlink>
      <w:r w:rsidRPr="00E13D3B">
        <w:rPr>
          <w:rFonts w:eastAsia="Times New Roman" w:cstheme="minorHAnsi"/>
          <w:bCs/>
          <w:i/>
          <w:iCs/>
        </w:rPr>
        <w:t xml:space="preserve"> by the U.S. Departments of Labor and Education</w:t>
      </w:r>
      <w:r>
        <w:rPr>
          <w:rFonts w:eastAsia="Times New Roman" w:cstheme="minorHAnsi"/>
          <w:bCs/>
          <w:i/>
          <w:iCs/>
        </w:rPr>
        <w:t>.</w:t>
      </w:r>
    </w:p>
    <w:p w14:paraId="58AF2C00" w14:textId="77777777" w:rsidR="00FC51B7" w:rsidRPr="00E13D3B" w:rsidRDefault="00FC51B7" w:rsidP="00C575C8">
      <w:pPr>
        <w:pStyle w:val="ListParagraph"/>
        <w:numPr>
          <w:ilvl w:val="1"/>
          <w:numId w:val="33"/>
        </w:numPr>
        <w:spacing w:before="80" w:after="0"/>
        <w:rPr>
          <w:rFonts w:eastAsia="Times New Roman" w:cstheme="minorHAnsi"/>
          <w:bCs/>
        </w:rPr>
      </w:pPr>
      <w:r w:rsidRPr="00E13D3B">
        <w:rPr>
          <w:rFonts w:eastAsia="Times New Roman" w:cstheme="minorHAnsi"/>
          <w:bCs/>
        </w:rPr>
        <w:t>Partnership Plus Agreements</w:t>
      </w:r>
    </w:p>
    <w:p w14:paraId="5337CF18" w14:textId="77777777" w:rsidR="00FC51B7" w:rsidRPr="00E13D3B" w:rsidRDefault="0084664F" w:rsidP="00C575C8">
      <w:pPr>
        <w:pStyle w:val="ListParagraph"/>
        <w:numPr>
          <w:ilvl w:val="2"/>
          <w:numId w:val="33"/>
        </w:numPr>
        <w:spacing w:before="80" w:after="0"/>
        <w:rPr>
          <w:rFonts w:eastAsia="Times New Roman" w:cstheme="minorHAnsi"/>
          <w:bCs/>
        </w:rPr>
      </w:pPr>
      <w:hyperlink r:id="rId253" w:tgtFrame="_blank" w:history="1">
        <w:r w:rsidR="00FC51B7" w:rsidRPr="00E13D3B">
          <w:rPr>
            <w:rStyle w:val="Hyperlink"/>
            <w:rFonts w:eastAsia="Times New Roman" w:cstheme="minorHAnsi"/>
            <w:bCs/>
          </w:rPr>
          <w:t>Ticket to Work FAQs</w:t>
        </w:r>
      </w:hyperlink>
      <w:r w:rsidR="00FC51B7" w:rsidRPr="00844C62">
        <w:rPr>
          <w:rFonts w:eastAsia="Times New Roman" w:cstheme="minorHAnsi"/>
          <w:bCs/>
        </w:rPr>
        <w:t xml:space="preserve"> (</w:t>
      </w:r>
      <w:hyperlink r:id="rId254" w:tgtFrame="_blank" w:history="1">
        <w:r w:rsidR="00FC51B7" w:rsidRPr="00E13D3B">
          <w:rPr>
            <w:rStyle w:val="Hyperlink"/>
            <w:rFonts w:eastAsia="Times New Roman" w:cstheme="minorHAnsi"/>
            <w:bCs/>
          </w:rPr>
          <w:t>Abbreviated version</w:t>
        </w:r>
      </w:hyperlink>
      <w:r w:rsidR="00FC51B7">
        <w:rPr>
          <w:rFonts w:eastAsia="Times New Roman" w:cstheme="minorHAnsi"/>
          <w:bCs/>
        </w:rPr>
        <w:t>)</w:t>
      </w:r>
    </w:p>
    <w:p w14:paraId="1F10B66B" w14:textId="77777777" w:rsidR="00FC51B7" w:rsidRPr="00E13D3B" w:rsidRDefault="0084664F" w:rsidP="00C575C8">
      <w:pPr>
        <w:pStyle w:val="ListParagraph"/>
        <w:numPr>
          <w:ilvl w:val="2"/>
          <w:numId w:val="33"/>
        </w:numPr>
        <w:spacing w:before="80" w:after="0"/>
        <w:rPr>
          <w:rFonts w:eastAsia="Times New Roman" w:cstheme="minorHAnsi"/>
          <w:bCs/>
        </w:rPr>
      </w:pPr>
      <w:hyperlink r:id="rId255" w:tgtFrame="_blank" w:history="1">
        <w:r w:rsidR="00FC51B7" w:rsidRPr="00E13D3B">
          <w:rPr>
            <w:rStyle w:val="Hyperlink"/>
            <w:rFonts w:eastAsia="Times New Roman" w:cstheme="minorHAnsi"/>
            <w:bCs/>
          </w:rPr>
          <w:t>Partnership Plus and Ticket Assignment Chart</w:t>
        </w:r>
      </w:hyperlink>
    </w:p>
    <w:p w14:paraId="5F32F385" w14:textId="77777777" w:rsidR="00FC51B7" w:rsidRPr="00E13D3B" w:rsidRDefault="0084664F" w:rsidP="00C575C8">
      <w:pPr>
        <w:pStyle w:val="ListParagraph"/>
        <w:numPr>
          <w:ilvl w:val="2"/>
          <w:numId w:val="33"/>
        </w:numPr>
        <w:spacing w:before="80" w:after="0"/>
        <w:rPr>
          <w:rFonts w:eastAsia="Times New Roman" w:cstheme="minorHAnsi"/>
          <w:bCs/>
        </w:rPr>
      </w:pPr>
      <w:hyperlink r:id="rId256" w:tgtFrame="_blank" w:history="1">
        <w:r w:rsidR="00FC51B7" w:rsidRPr="00E13D3B">
          <w:rPr>
            <w:rStyle w:val="Hyperlink"/>
            <w:rFonts w:eastAsia="Times New Roman" w:cstheme="minorHAnsi"/>
            <w:bCs/>
          </w:rPr>
          <w:t>Ticket Payment Chart</w:t>
        </w:r>
      </w:hyperlink>
      <w:r w:rsidR="00FC51B7" w:rsidRPr="00844C62">
        <w:rPr>
          <w:rFonts w:eastAsia="Times New Roman" w:cstheme="minorHAnsi"/>
          <w:bCs/>
        </w:rPr>
        <w:t xml:space="preserve"> and </w:t>
      </w:r>
      <w:r w:rsidR="00FC51B7" w:rsidRPr="00E13D3B">
        <w:rPr>
          <w:rFonts w:eastAsia="Times New Roman" w:cstheme="minorHAnsi"/>
          <w:bCs/>
        </w:rPr>
        <w:t>Examples</w:t>
      </w:r>
      <w:r w:rsidR="00FC51B7" w:rsidRPr="00844C62">
        <w:rPr>
          <w:rFonts w:eastAsia="Times New Roman" w:cstheme="minorHAnsi"/>
          <w:bCs/>
        </w:rPr>
        <w:t xml:space="preserve">: </w:t>
      </w:r>
      <w:hyperlink r:id="rId257" w:tgtFrame="_blank" w:history="1">
        <w:r w:rsidR="00FC51B7" w:rsidRPr="00E13D3B">
          <w:rPr>
            <w:rStyle w:val="Hyperlink"/>
            <w:rFonts w:eastAsia="Times New Roman" w:cstheme="minorHAnsi"/>
            <w:bCs/>
          </w:rPr>
          <w:t>Alaska</w:t>
        </w:r>
      </w:hyperlink>
      <w:r w:rsidR="00FC51B7" w:rsidRPr="00844C62">
        <w:rPr>
          <w:rFonts w:eastAsia="Times New Roman" w:cstheme="minorHAnsi"/>
          <w:bCs/>
        </w:rPr>
        <w:t xml:space="preserve"> and </w:t>
      </w:r>
      <w:hyperlink r:id="rId258" w:tgtFrame="_blank" w:history="1">
        <w:r w:rsidR="00FC51B7" w:rsidRPr="00E13D3B">
          <w:rPr>
            <w:rStyle w:val="Hyperlink"/>
            <w:rFonts w:eastAsia="Times New Roman" w:cstheme="minorHAnsi"/>
            <w:bCs/>
          </w:rPr>
          <w:t>Iowa</w:t>
        </w:r>
      </w:hyperlink>
    </w:p>
    <w:p w14:paraId="40B52E8D" w14:textId="77777777" w:rsidR="00FC51B7" w:rsidRDefault="00FC51B7" w:rsidP="00C575C8">
      <w:pPr>
        <w:pStyle w:val="ListParagraph"/>
        <w:numPr>
          <w:ilvl w:val="0"/>
          <w:numId w:val="33"/>
        </w:numPr>
        <w:spacing w:before="80" w:after="0"/>
        <w:rPr>
          <w:rFonts w:eastAsia="Times New Roman" w:cstheme="minorHAnsi"/>
          <w:b/>
        </w:rPr>
      </w:pPr>
      <w:bookmarkStart w:id="98" w:name="job_seeker_services"/>
      <w:bookmarkEnd w:id="98"/>
      <w:r w:rsidRPr="00DC13BD">
        <w:rPr>
          <w:rFonts w:eastAsia="Times New Roman" w:cstheme="minorHAnsi"/>
          <w:b/>
        </w:rPr>
        <w:t xml:space="preserve">Career Pathways </w:t>
      </w:r>
    </w:p>
    <w:p w14:paraId="01C7AD05" w14:textId="77777777" w:rsidR="00FC51B7" w:rsidRPr="00DC13BD" w:rsidRDefault="0084664F" w:rsidP="00C575C8">
      <w:pPr>
        <w:pStyle w:val="ListParagraph"/>
        <w:numPr>
          <w:ilvl w:val="1"/>
          <w:numId w:val="33"/>
        </w:numPr>
        <w:spacing w:before="80" w:after="0"/>
        <w:rPr>
          <w:rFonts w:eastAsia="Times New Roman" w:cstheme="minorHAnsi"/>
          <w:bCs/>
        </w:rPr>
      </w:pPr>
      <w:hyperlink r:id="rId259" w:history="1">
        <w:r w:rsidR="00FC51B7" w:rsidRPr="00DC13BD">
          <w:rPr>
            <w:rStyle w:val="Hyperlink"/>
            <w:rFonts w:eastAsia="Times New Roman" w:cstheme="minorHAnsi"/>
            <w:bCs/>
          </w:rPr>
          <w:t>Are you ready for a Career Pathways Approach with WIOA Implementation checklist</w:t>
        </w:r>
      </w:hyperlink>
    </w:p>
    <w:p w14:paraId="64454B77" w14:textId="77777777" w:rsidR="00FC51B7" w:rsidRPr="00E13D3B" w:rsidRDefault="00FC51B7" w:rsidP="00C575C8">
      <w:pPr>
        <w:pStyle w:val="ListParagraph"/>
        <w:numPr>
          <w:ilvl w:val="0"/>
          <w:numId w:val="33"/>
        </w:numPr>
        <w:spacing w:before="80" w:after="0"/>
        <w:rPr>
          <w:rFonts w:eastAsia="Times New Roman" w:cstheme="minorHAnsi"/>
          <w:b/>
        </w:rPr>
      </w:pPr>
      <w:r w:rsidRPr="00E13D3B">
        <w:rPr>
          <w:rFonts w:eastAsia="Times New Roman" w:cstheme="minorHAnsi"/>
          <w:b/>
        </w:rPr>
        <w:t>Job Seeker Services</w:t>
      </w:r>
    </w:p>
    <w:p w14:paraId="516D0C58" w14:textId="77777777" w:rsidR="00FC51B7" w:rsidRPr="00E13D3B" w:rsidRDefault="00FC51B7" w:rsidP="00C575C8">
      <w:pPr>
        <w:pStyle w:val="ListParagraph"/>
        <w:numPr>
          <w:ilvl w:val="1"/>
          <w:numId w:val="33"/>
        </w:numPr>
        <w:spacing w:before="80" w:after="0"/>
        <w:rPr>
          <w:rFonts w:eastAsia="Times New Roman" w:cstheme="minorHAnsi"/>
          <w:bCs/>
        </w:rPr>
      </w:pPr>
      <w:r w:rsidRPr="00E13D3B">
        <w:rPr>
          <w:rFonts w:eastAsia="Times New Roman" w:cstheme="minorHAnsi"/>
          <w:bCs/>
        </w:rPr>
        <w:t xml:space="preserve">The </w:t>
      </w:r>
      <w:hyperlink r:id="rId260" w:tgtFrame="_blank" w:history="1">
        <w:r w:rsidRPr="00E13D3B">
          <w:rPr>
            <w:rStyle w:val="Hyperlink"/>
            <w:rFonts w:eastAsia="Times New Roman" w:cstheme="minorHAnsi"/>
            <w:bCs/>
          </w:rPr>
          <w:t>Basic Financial Assessment Tool</w:t>
        </w:r>
      </w:hyperlink>
      <w:r w:rsidRPr="00E13D3B">
        <w:rPr>
          <w:rFonts w:eastAsia="Times New Roman" w:cstheme="minorHAnsi"/>
          <w:bCs/>
        </w:rPr>
        <w:t xml:space="preserve"> is a tool that Career Counselors and other AJC staff can use in assessing a job seeker’s financial situation and awareness.</w:t>
      </w:r>
    </w:p>
    <w:p w14:paraId="5F7F5CF7" w14:textId="77777777" w:rsidR="00FC51B7" w:rsidRPr="00E13D3B" w:rsidRDefault="0084664F" w:rsidP="00C575C8">
      <w:pPr>
        <w:pStyle w:val="ListParagraph"/>
        <w:numPr>
          <w:ilvl w:val="1"/>
          <w:numId w:val="33"/>
        </w:numPr>
        <w:spacing w:before="80" w:after="0"/>
        <w:rPr>
          <w:rFonts w:eastAsia="Times New Roman" w:cstheme="minorHAnsi"/>
          <w:bCs/>
        </w:rPr>
      </w:pPr>
      <w:hyperlink r:id="rId261" w:anchor="resc-ce" w:history="1">
        <w:r w:rsidR="00FC51B7" w:rsidRPr="00E13D3B">
          <w:rPr>
            <w:rStyle w:val="Hyperlink"/>
            <w:rFonts w:eastAsia="Times New Roman" w:cstheme="minorHAnsi"/>
            <w:bCs/>
          </w:rPr>
          <w:t>Customized Employment</w:t>
        </w:r>
      </w:hyperlink>
    </w:p>
    <w:p w14:paraId="341E5722" w14:textId="77777777" w:rsidR="00FC51B7" w:rsidRPr="00B33425" w:rsidRDefault="00FC51B7" w:rsidP="00C575C8">
      <w:pPr>
        <w:pStyle w:val="ListParagraph"/>
        <w:numPr>
          <w:ilvl w:val="1"/>
          <w:numId w:val="33"/>
        </w:numPr>
        <w:spacing w:before="80" w:after="0"/>
        <w:rPr>
          <w:rFonts w:eastAsia="Times New Roman" w:cstheme="minorHAnsi"/>
          <w:bCs/>
        </w:rPr>
      </w:pPr>
      <w:r w:rsidRPr="00E13D3B">
        <w:rPr>
          <w:rFonts w:eastAsia="Times New Roman" w:cstheme="minorHAnsi"/>
          <w:bCs/>
        </w:rPr>
        <w:t xml:space="preserve">An </w:t>
      </w:r>
      <w:hyperlink r:id="rId262" w:tgtFrame="_blank" w:history="1">
        <w:r w:rsidRPr="00E13D3B">
          <w:rPr>
            <w:rStyle w:val="Hyperlink"/>
            <w:rFonts w:eastAsia="Times New Roman" w:cstheme="minorHAnsi"/>
            <w:bCs/>
          </w:rPr>
          <w:t>Integrated Resource Team (IRT)</w:t>
        </w:r>
      </w:hyperlink>
      <w:r w:rsidRPr="00E13D3B">
        <w:rPr>
          <w:rFonts w:eastAsia="Times New Roman" w:cstheme="minorHAnsi"/>
          <w:bCs/>
        </w:rPr>
        <w:t xml:space="preserve">is used effectively in many Virginia AJCs as a structure for sharing customers in Career Pathway activity. </w:t>
      </w:r>
    </w:p>
    <w:p w14:paraId="0B01804E" w14:textId="77777777" w:rsidR="00FC51B7" w:rsidRPr="00E13D3B" w:rsidRDefault="0084664F" w:rsidP="00C575C8">
      <w:pPr>
        <w:pStyle w:val="ListParagraph"/>
        <w:numPr>
          <w:ilvl w:val="1"/>
          <w:numId w:val="33"/>
        </w:numPr>
        <w:spacing w:before="80" w:after="0"/>
        <w:rPr>
          <w:rFonts w:eastAsia="Times New Roman" w:cstheme="minorHAnsi"/>
          <w:bCs/>
        </w:rPr>
      </w:pPr>
      <w:hyperlink r:id="rId263" w:tgtFrame="_blank" w:history="1">
        <w:r w:rsidR="00FC51B7" w:rsidRPr="00E13D3B">
          <w:rPr>
            <w:rStyle w:val="Hyperlink"/>
            <w:rFonts w:eastAsia="Times New Roman" w:cstheme="minorHAnsi"/>
            <w:bCs/>
          </w:rPr>
          <w:t>Integrated service delivery</w:t>
        </w:r>
      </w:hyperlink>
    </w:p>
    <w:p w14:paraId="53A3F8B7" w14:textId="77777777" w:rsidR="00FC51B7" w:rsidRPr="00E13D3B" w:rsidRDefault="0084664F" w:rsidP="00C575C8">
      <w:pPr>
        <w:pStyle w:val="ListParagraph"/>
        <w:numPr>
          <w:ilvl w:val="1"/>
          <w:numId w:val="33"/>
        </w:numPr>
        <w:spacing w:before="80" w:after="0"/>
        <w:rPr>
          <w:rFonts w:eastAsia="Times New Roman" w:cstheme="minorHAnsi"/>
          <w:bCs/>
        </w:rPr>
      </w:pPr>
      <w:hyperlink r:id="rId264" w:tgtFrame="_blank" w:history="1">
        <w:r w:rsidR="00FC51B7" w:rsidRPr="00E13D3B">
          <w:rPr>
            <w:rStyle w:val="Hyperlink"/>
            <w:rFonts w:eastAsia="Times New Roman" w:cstheme="minorHAnsi"/>
            <w:bCs/>
          </w:rPr>
          <w:t>Opening Doors</w:t>
        </w:r>
      </w:hyperlink>
    </w:p>
    <w:p w14:paraId="54897027" w14:textId="77777777" w:rsidR="00FC51B7" w:rsidRPr="00E13D3B" w:rsidRDefault="00FC51B7" w:rsidP="00C575C8">
      <w:pPr>
        <w:pStyle w:val="ListParagraph"/>
        <w:numPr>
          <w:ilvl w:val="1"/>
          <w:numId w:val="33"/>
        </w:numPr>
        <w:spacing w:before="80" w:after="0"/>
        <w:rPr>
          <w:rFonts w:eastAsia="Times New Roman" w:cstheme="minorHAnsi"/>
          <w:bCs/>
        </w:rPr>
      </w:pPr>
      <w:r w:rsidRPr="00E13D3B">
        <w:rPr>
          <w:rFonts w:eastAsia="Times New Roman" w:cstheme="minorHAnsi"/>
          <w:bCs/>
        </w:rPr>
        <w:t xml:space="preserve">These </w:t>
      </w:r>
      <w:hyperlink r:id="rId265" w:history="1">
        <w:r w:rsidRPr="00E13D3B">
          <w:rPr>
            <w:rStyle w:val="Hyperlink"/>
            <w:rFonts w:eastAsia="Times New Roman" w:cstheme="minorHAnsi"/>
            <w:bCs/>
          </w:rPr>
          <w:t>regulations</w:t>
        </w:r>
      </w:hyperlink>
      <w:r w:rsidRPr="00E13D3B">
        <w:rPr>
          <w:rFonts w:eastAsia="Times New Roman" w:cstheme="minorHAnsi"/>
          <w:bCs/>
        </w:rPr>
        <w:t xml:space="preserve"> apply to Career Services in an American Job Center.</w:t>
      </w:r>
    </w:p>
    <w:p w14:paraId="37A062AF" w14:textId="77777777" w:rsidR="00FC51B7" w:rsidRPr="00E13D3B" w:rsidRDefault="00FC51B7" w:rsidP="00C575C8">
      <w:pPr>
        <w:pStyle w:val="ListParagraph"/>
        <w:numPr>
          <w:ilvl w:val="1"/>
          <w:numId w:val="33"/>
        </w:numPr>
        <w:spacing w:before="80" w:after="0"/>
        <w:rPr>
          <w:rFonts w:eastAsia="Times New Roman" w:cstheme="minorHAnsi"/>
          <w:bCs/>
        </w:rPr>
      </w:pPr>
      <w:r w:rsidRPr="00E13D3B">
        <w:rPr>
          <w:rFonts w:eastAsia="Times New Roman" w:cstheme="minorHAnsi"/>
          <w:bCs/>
        </w:rPr>
        <w:lastRenderedPageBreak/>
        <w:t xml:space="preserve">“Hello. Is Anybody Here?” A Support for Workforce Partners in Including Job Seekers that are Blind and Visually Impaired in AJC Services” </w:t>
      </w:r>
    </w:p>
    <w:p w14:paraId="1EF6973D" w14:textId="77777777" w:rsidR="00FC51B7" w:rsidRPr="00E13D3B" w:rsidRDefault="0084664F" w:rsidP="00C575C8">
      <w:pPr>
        <w:pStyle w:val="ListParagraph"/>
        <w:numPr>
          <w:ilvl w:val="2"/>
          <w:numId w:val="33"/>
        </w:numPr>
        <w:spacing w:before="80" w:after="0"/>
        <w:rPr>
          <w:rFonts w:eastAsia="Times New Roman" w:cstheme="minorHAnsi"/>
          <w:bCs/>
        </w:rPr>
      </w:pPr>
      <w:hyperlink r:id="rId266" w:tgtFrame="_blank" w:history="1">
        <w:r w:rsidR="00FC51B7" w:rsidRPr="00E13D3B">
          <w:rPr>
            <w:rStyle w:val="Hyperlink"/>
            <w:rFonts w:eastAsia="Times New Roman" w:cstheme="minorHAnsi"/>
            <w:bCs/>
          </w:rPr>
          <w:t>Videos of Training Simulation</w:t>
        </w:r>
      </w:hyperlink>
    </w:p>
    <w:p w14:paraId="7514B375" w14:textId="77777777" w:rsidR="00FC51B7" w:rsidRPr="00E13D3B" w:rsidRDefault="0084664F" w:rsidP="00C575C8">
      <w:pPr>
        <w:pStyle w:val="ListParagraph"/>
        <w:numPr>
          <w:ilvl w:val="2"/>
          <w:numId w:val="33"/>
        </w:numPr>
        <w:spacing w:before="80" w:after="0"/>
        <w:rPr>
          <w:rFonts w:eastAsia="Times New Roman" w:cstheme="minorHAnsi"/>
          <w:bCs/>
        </w:rPr>
      </w:pPr>
      <w:hyperlink r:id="rId267" w:tgtFrame="_blank" w:history="1">
        <w:r w:rsidR="00FC51B7" w:rsidRPr="00E13D3B">
          <w:rPr>
            <w:rStyle w:val="Hyperlink"/>
            <w:rFonts w:eastAsia="Times New Roman" w:cstheme="minorHAnsi"/>
            <w:bCs/>
          </w:rPr>
          <w:t>Videos of Training with Descriptive Narration</w:t>
        </w:r>
      </w:hyperlink>
    </w:p>
    <w:p w14:paraId="36358777" w14:textId="77777777" w:rsidR="00FC51B7" w:rsidRPr="00E13D3B" w:rsidRDefault="0084664F" w:rsidP="00C575C8">
      <w:pPr>
        <w:pStyle w:val="ListParagraph"/>
        <w:numPr>
          <w:ilvl w:val="2"/>
          <w:numId w:val="33"/>
        </w:numPr>
        <w:spacing w:before="80" w:after="0"/>
        <w:rPr>
          <w:rFonts w:eastAsia="Times New Roman" w:cstheme="minorHAnsi"/>
          <w:bCs/>
        </w:rPr>
      </w:pPr>
      <w:hyperlink r:id="rId268" w:tgtFrame="_blank" w:history="1">
        <w:r w:rsidR="00FC51B7" w:rsidRPr="00E13D3B">
          <w:rPr>
            <w:rStyle w:val="Hyperlink"/>
            <w:rFonts w:eastAsia="Times New Roman" w:cstheme="minorHAnsi"/>
            <w:bCs/>
          </w:rPr>
          <w:t>Facilitator’s Guide</w:t>
        </w:r>
      </w:hyperlink>
    </w:p>
    <w:p w14:paraId="3E9AB2BA" w14:textId="77777777" w:rsidR="00FC51B7" w:rsidRPr="00E13D3B" w:rsidRDefault="00FC51B7" w:rsidP="00C575C8">
      <w:pPr>
        <w:pStyle w:val="ListParagraph"/>
        <w:numPr>
          <w:ilvl w:val="0"/>
          <w:numId w:val="33"/>
        </w:numPr>
        <w:spacing w:before="80" w:after="0"/>
        <w:rPr>
          <w:rFonts w:eastAsia="Times New Roman" w:cstheme="minorHAnsi"/>
          <w:b/>
        </w:rPr>
      </w:pPr>
      <w:bookmarkStart w:id="99" w:name="business_services"/>
      <w:bookmarkEnd w:id="99"/>
      <w:r w:rsidRPr="00E13D3B">
        <w:rPr>
          <w:rFonts w:eastAsia="Times New Roman" w:cstheme="minorHAnsi"/>
          <w:b/>
        </w:rPr>
        <w:t>Business Service Practices</w:t>
      </w:r>
    </w:p>
    <w:p w14:paraId="4FC762E2" w14:textId="77777777" w:rsidR="00FC51B7" w:rsidRPr="00E13D3B" w:rsidRDefault="00FC51B7" w:rsidP="00C575C8">
      <w:pPr>
        <w:pStyle w:val="ListParagraph"/>
        <w:numPr>
          <w:ilvl w:val="1"/>
          <w:numId w:val="33"/>
        </w:numPr>
        <w:spacing w:before="80" w:after="0"/>
        <w:rPr>
          <w:rFonts w:eastAsia="Times New Roman" w:cstheme="minorHAnsi"/>
          <w:bCs/>
        </w:rPr>
      </w:pPr>
      <w:r w:rsidRPr="00E13D3B">
        <w:rPr>
          <w:rFonts w:eastAsia="Times New Roman" w:cstheme="minorHAnsi"/>
          <w:bCs/>
        </w:rPr>
        <w:t xml:space="preserve">WINTAC, JDVRTAC and CSAVR reviewed collaborative business service approaches in a variety of states and facilitated discussion with practitioners nationally. </w:t>
      </w:r>
      <w:hyperlink r:id="rId269" w:tgtFrame="_blank" w:history="1">
        <w:r w:rsidRPr="00E13D3B">
          <w:rPr>
            <w:rStyle w:val="Hyperlink"/>
            <w:rFonts w:eastAsia="Times New Roman" w:cstheme="minorHAnsi"/>
            <w:bCs/>
          </w:rPr>
          <w:t>This summary reviews those practices, and includes recommendations to the field resulting from the Community dialogue</w:t>
        </w:r>
      </w:hyperlink>
      <w:r w:rsidRPr="00E13D3B">
        <w:rPr>
          <w:rFonts w:eastAsia="Times New Roman" w:cstheme="minorHAnsi"/>
          <w:bCs/>
        </w:rPr>
        <w:t xml:space="preserve">. </w:t>
      </w:r>
    </w:p>
    <w:p w14:paraId="2F2965B9" w14:textId="77777777" w:rsidR="00FC51B7" w:rsidRPr="00E13D3B" w:rsidRDefault="0084664F" w:rsidP="00C575C8">
      <w:pPr>
        <w:pStyle w:val="ListParagraph"/>
        <w:numPr>
          <w:ilvl w:val="1"/>
          <w:numId w:val="33"/>
        </w:numPr>
        <w:spacing w:before="80" w:after="0"/>
        <w:rPr>
          <w:rFonts w:eastAsia="Times New Roman" w:cstheme="minorHAnsi"/>
          <w:bCs/>
        </w:rPr>
      </w:pPr>
      <w:hyperlink r:id="rId270" w:history="1">
        <w:r w:rsidR="00FC51B7" w:rsidRPr="00E13D3B">
          <w:rPr>
            <w:rStyle w:val="Hyperlink"/>
            <w:rFonts w:eastAsia="Times New Roman" w:cstheme="minorHAnsi"/>
            <w:bCs/>
          </w:rPr>
          <w:t>Click this link for more information about Business Engagement and related resources</w:t>
        </w:r>
      </w:hyperlink>
      <w:r w:rsidR="00FC51B7" w:rsidRPr="00E13D3B">
        <w:rPr>
          <w:rFonts w:eastAsia="Times New Roman" w:cstheme="minorHAnsi"/>
          <w:bCs/>
        </w:rPr>
        <w:t>.</w:t>
      </w:r>
    </w:p>
    <w:p w14:paraId="62303A14" w14:textId="77777777" w:rsidR="00FC51B7" w:rsidRPr="00E13D3B" w:rsidRDefault="00FC51B7" w:rsidP="00C575C8">
      <w:pPr>
        <w:pStyle w:val="ListParagraph"/>
        <w:numPr>
          <w:ilvl w:val="1"/>
          <w:numId w:val="33"/>
        </w:numPr>
        <w:spacing w:before="80" w:after="0"/>
        <w:rPr>
          <w:rFonts w:eastAsia="Times New Roman" w:cstheme="minorHAnsi"/>
          <w:bCs/>
        </w:rPr>
      </w:pPr>
      <w:r w:rsidRPr="00E13D3B">
        <w:rPr>
          <w:rFonts w:eastAsia="Times New Roman" w:cstheme="minorHAnsi"/>
          <w:bCs/>
        </w:rPr>
        <w:t xml:space="preserve">Disability Employment Initiative (DEI) -- </w:t>
      </w:r>
      <w:hyperlink r:id="rId271" w:tgtFrame="_blank" w:history="1">
        <w:r w:rsidRPr="00E13D3B">
          <w:rPr>
            <w:rStyle w:val="Hyperlink"/>
            <w:rFonts w:eastAsia="Times New Roman" w:cstheme="minorHAnsi"/>
            <w:bCs/>
          </w:rPr>
          <w:t>Business Engagement CoP</w:t>
        </w:r>
      </w:hyperlink>
    </w:p>
    <w:p w14:paraId="6F31033B" w14:textId="77777777" w:rsidR="00FC51B7" w:rsidRPr="00E13D3B" w:rsidRDefault="0084664F" w:rsidP="00C575C8">
      <w:pPr>
        <w:pStyle w:val="ListParagraph"/>
        <w:numPr>
          <w:ilvl w:val="1"/>
          <w:numId w:val="33"/>
        </w:numPr>
        <w:spacing w:before="80" w:after="0"/>
        <w:rPr>
          <w:rFonts w:eastAsia="Times New Roman" w:cstheme="minorHAnsi"/>
          <w:bCs/>
        </w:rPr>
      </w:pPr>
      <w:hyperlink r:id="rId272" w:tgtFrame="_blank" w:history="1">
        <w:r w:rsidR="00FC51B7" w:rsidRPr="00E13D3B">
          <w:rPr>
            <w:rStyle w:val="Hyperlink"/>
            <w:rFonts w:eastAsia="Times New Roman" w:cstheme="minorHAnsi"/>
            <w:bCs/>
          </w:rPr>
          <w:t>Resources</w:t>
        </w:r>
      </w:hyperlink>
      <w:r w:rsidR="00FC51B7" w:rsidRPr="00E13D3B">
        <w:rPr>
          <w:rFonts w:eastAsia="Times New Roman" w:cstheme="minorHAnsi"/>
          <w:bCs/>
        </w:rPr>
        <w:t xml:space="preserve"> through the Job Driven Vocational Rehabilitation Technical Assistance Center</w:t>
      </w:r>
    </w:p>
    <w:p w14:paraId="4655D2D6" w14:textId="77777777" w:rsidR="00FC51B7" w:rsidRPr="00E13D3B" w:rsidRDefault="00FC51B7" w:rsidP="00C575C8">
      <w:pPr>
        <w:pStyle w:val="ListParagraph"/>
        <w:numPr>
          <w:ilvl w:val="0"/>
          <w:numId w:val="33"/>
        </w:numPr>
        <w:spacing w:before="80" w:after="0"/>
        <w:rPr>
          <w:rFonts w:eastAsia="Times New Roman" w:cstheme="minorHAnsi"/>
          <w:b/>
        </w:rPr>
      </w:pPr>
      <w:bookmarkStart w:id="100" w:name="financial"/>
      <w:bookmarkEnd w:id="100"/>
      <w:r w:rsidRPr="00E13D3B">
        <w:rPr>
          <w:rFonts w:eastAsia="Times New Roman" w:cstheme="minorHAnsi"/>
          <w:b/>
        </w:rPr>
        <w:t>Financial Literacy</w:t>
      </w:r>
    </w:p>
    <w:p w14:paraId="658644DD" w14:textId="77777777" w:rsidR="00FC51B7" w:rsidRPr="00E13D3B" w:rsidRDefault="00FC51B7" w:rsidP="00C575C8">
      <w:pPr>
        <w:pStyle w:val="ListParagraph"/>
        <w:numPr>
          <w:ilvl w:val="1"/>
          <w:numId w:val="33"/>
        </w:numPr>
        <w:spacing w:before="80" w:after="0"/>
        <w:rPr>
          <w:rFonts w:eastAsia="Times New Roman" w:cstheme="minorHAnsi"/>
          <w:bCs/>
        </w:rPr>
      </w:pPr>
      <w:r w:rsidRPr="00E13D3B">
        <w:rPr>
          <w:rFonts w:eastAsia="Times New Roman" w:cstheme="minorHAnsi"/>
          <w:bCs/>
        </w:rPr>
        <w:t xml:space="preserve">An Analysis of the Legislation and Notice of Proposed Rule Making related to </w:t>
      </w:r>
      <w:hyperlink r:id="rId273" w:history="1">
        <w:r w:rsidRPr="00E13D3B">
          <w:rPr>
            <w:rStyle w:val="Hyperlink"/>
            <w:rFonts w:eastAsia="Times New Roman" w:cstheme="minorHAnsi"/>
            <w:bCs/>
          </w:rPr>
          <w:t>Financial Literacy in WIOA</w:t>
        </w:r>
      </w:hyperlink>
    </w:p>
    <w:p w14:paraId="6B0CCC6A" w14:textId="77777777" w:rsidR="00FC51B7" w:rsidRPr="00E13D3B" w:rsidRDefault="0084664F" w:rsidP="00C575C8">
      <w:pPr>
        <w:pStyle w:val="ListParagraph"/>
        <w:numPr>
          <w:ilvl w:val="1"/>
          <w:numId w:val="33"/>
        </w:numPr>
        <w:spacing w:before="80" w:after="0"/>
        <w:rPr>
          <w:rFonts w:eastAsia="Times New Roman" w:cstheme="minorHAnsi"/>
          <w:bCs/>
        </w:rPr>
      </w:pPr>
      <w:hyperlink r:id="rId274" w:tgtFrame="_blank" w:history="1">
        <w:r w:rsidR="00FC51B7" w:rsidRPr="00E13D3B">
          <w:rPr>
            <w:rStyle w:val="Hyperlink"/>
            <w:rFonts w:eastAsia="Times New Roman" w:cstheme="minorHAnsi"/>
            <w:bCs/>
          </w:rPr>
          <w:t>Promoting Employment and Economic Advancement: A Toolkit for CILs and AJCs</w:t>
        </w:r>
      </w:hyperlink>
    </w:p>
    <w:p w14:paraId="650B018E" w14:textId="77777777" w:rsidR="00FC51B7" w:rsidRPr="00E13D3B" w:rsidRDefault="00FC51B7" w:rsidP="00C575C8">
      <w:pPr>
        <w:pStyle w:val="ListParagraph"/>
        <w:numPr>
          <w:ilvl w:val="1"/>
          <w:numId w:val="33"/>
        </w:numPr>
        <w:spacing w:before="80" w:after="0"/>
        <w:rPr>
          <w:rFonts w:eastAsia="Times New Roman" w:cstheme="minorHAnsi"/>
          <w:bCs/>
        </w:rPr>
      </w:pPr>
      <w:r w:rsidRPr="00E13D3B">
        <w:rPr>
          <w:rFonts w:eastAsia="Times New Roman" w:cstheme="minorHAnsi"/>
          <w:bCs/>
        </w:rPr>
        <w:t xml:space="preserve">LEAD Releases </w:t>
      </w:r>
      <w:hyperlink r:id="rId275" w:tgtFrame="_blank" w:history="1">
        <w:r w:rsidRPr="00E13D3B">
          <w:rPr>
            <w:rStyle w:val="Hyperlink"/>
            <w:rFonts w:eastAsia="Times New Roman" w:cstheme="minorHAnsi"/>
            <w:bCs/>
          </w:rPr>
          <w:t>New Toolkit</w:t>
        </w:r>
      </w:hyperlink>
      <w:r w:rsidRPr="00E13D3B">
        <w:rPr>
          <w:rFonts w:eastAsia="Times New Roman" w:cstheme="minorHAnsi"/>
          <w:bCs/>
        </w:rPr>
        <w:t xml:space="preserve"> to Promote Collaboration between Centers for Independent Living and American Job Centers</w:t>
      </w:r>
    </w:p>
    <w:p w14:paraId="724798F2" w14:textId="77777777" w:rsidR="00FC51B7" w:rsidRPr="00E13D3B" w:rsidRDefault="00FC51B7" w:rsidP="00C575C8">
      <w:pPr>
        <w:pStyle w:val="ListParagraph"/>
        <w:numPr>
          <w:ilvl w:val="1"/>
          <w:numId w:val="33"/>
        </w:numPr>
        <w:spacing w:before="80" w:after="0"/>
        <w:rPr>
          <w:rFonts w:eastAsia="Times New Roman" w:cstheme="minorHAnsi"/>
          <w:bCs/>
        </w:rPr>
      </w:pPr>
      <w:r w:rsidRPr="00E13D3B">
        <w:rPr>
          <w:rFonts w:eastAsia="Times New Roman" w:cstheme="minorHAnsi"/>
          <w:bCs/>
        </w:rPr>
        <w:t xml:space="preserve">Building Financial Capability: A </w:t>
      </w:r>
      <w:hyperlink r:id="rId276" w:tgtFrame="_blank" w:history="1">
        <w:r w:rsidRPr="00E13D3B">
          <w:rPr>
            <w:rStyle w:val="Hyperlink"/>
            <w:rFonts w:eastAsia="Times New Roman" w:cstheme="minorHAnsi"/>
            <w:bCs/>
          </w:rPr>
          <w:t>Planning Guide</w:t>
        </w:r>
      </w:hyperlink>
      <w:r w:rsidRPr="00E13D3B">
        <w:rPr>
          <w:rFonts w:eastAsia="Times New Roman" w:cstheme="minorHAnsi"/>
          <w:bCs/>
        </w:rPr>
        <w:t xml:space="preserve"> for Integrated Services</w:t>
      </w:r>
    </w:p>
    <w:p w14:paraId="3FC37F7D" w14:textId="77777777" w:rsidR="00FC51B7" w:rsidRPr="00E13D3B" w:rsidRDefault="0084664F" w:rsidP="00C575C8">
      <w:pPr>
        <w:pStyle w:val="ListParagraph"/>
        <w:numPr>
          <w:ilvl w:val="1"/>
          <w:numId w:val="33"/>
        </w:numPr>
        <w:spacing w:before="80" w:after="0"/>
        <w:rPr>
          <w:rFonts w:eastAsia="Times New Roman" w:cstheme="minorHAnsi"/>
          <w:bCs/>
        </w:rPr>
      </w:pPr>
      <w:hyperlink r:id="rId277" w:tgtFrame="_blank" w:history="1">
        <w:r w:rsidR="00FC51B7" w:rsidRPr="00E13D3B">
          <w:rPr>
            <w:rStyle w:val="Hyperlink"/>
            <w:rFonts w:eastAsia="Times New Roman" w:cstheme="minorHAnsi"/>
            <w:bCs/>
          </w:rPr>
          <w:t>Enabling Financial Capability Along the Road to Financial Inclusion</w:t>
        </w:r>
      </w:hyperlink>
    </w:p>
    <w:p w14:paraId="49FEB6C0" w14:textId="77777777" w:rsidR="00FC51B7" w:rsidRPr="00E13D3B" w:rsidRDefault="00FC51B7" w:rsidP="00C575C8">
      <w:pPr>
        <w:pStyle w:val="ListParagraph"/>
        <w:numPr>
          <w:ilvl w:val="0"/>
          <w:numId w:val="33"/>
        </w:numPr>
        <w:spacing w:before="80" w:after="0"/>
        <w:rPr>
          <w:rFonts w:eastAsia="Times New Roman" w:cstheme="minorHAnsi"/>
          <w:b/>
        </w:rPr>
      </w:pPr>
      <w:bookmarkStart w:id="101" w:name="advisory_committee"/>
      <w:bookmarkEnd w:id="101"/>
      <w:r w:rsidRPr="00E13D3B">
        <w:rPr>
          <w:rFonts w:eastAsia="Times New Roman" w:cstheme="minorHAnsi"/>
          <w:b/>
        </w:rPr>
        <w:t>Advisory Committee</w:t>
      </w:r>
    </w:p>
    <w:p w14:paraId="4BB5C382" w14:textId="77777777" w:rsidR="00FC51B7" w:rsidRPr="00E13D3B" w:rsidRDefault="00FC51B7" w:rsidP="00C575C8">
      <w:pPr>
        <w:pStyle w:val="ListParagraph"/>
        <w:numPr>
          <w:ilvl w:val="1"/>
          <w:numId w:val="33"/>
        </w:numPr>
        <w:spacing w:before="80" w:after="0"/>
        <w:rPr>
          <w:rFonts w:eastAsia="Times New Roman" w:cstheme="minorHAnsi"/>
          <w:bCs/>
        </w:rPr>
      </w:pPr>
      <w:r w:rsidRPr="00E13D3B">
        <w:rPr>
          <w:rFonts w:eastAsia="Times New Roman" w:cstheme="minorHAnsi"/>
          <w:bCs/>
        </w:rPr>
        <w:t xml:space="preserve">WIOA established the Advisory Committee on Increasing Competitive Integrated Employment for Individuals with Disabilities. </w:t>
      </w:r>
      <w:hyperlink r:id="rId278" w:tgtFrame="_blank" w:history="1">
        <w:r w:rsidRPr="00E13D3B">
          <w:rPr>
            <w:rStyle w:val="Hyperlink"/>
            <w:rFonts w:eastAsia="Times New Roman" w:cstheme="minorHAnsi"/>
            <w:bCs/>
          </w:rPr>
          <w:t>Committee's Final Report</w:t>
        </w:r>
      </w:hyperlink>
      <w:r w:rsidRPr="00E13D3B">
        <w:rPr>
          <w:rFonts w:eastAsia="Times New Roman" w:cstheme="minorHAnsi"/>
          <w:bCs/>
        </w:rPr>
        <w:t xml:space="preserve"> </w:t>
      </w:r>
    </w:p>
    <w:p w14:paraId="171A3150" w14:textId="77777777" w:rsidR="00FC51B7" w:rsidRPr="008863E3" w:rsidRDefault="00FC51B7" w:rsidP="00C575C8">
      <w:pPr>
        <w:pStyle w:val="ListParagraph"/>
        <w:numPr>
          <w:ilvl w:val="0"/>
          <w:numId w:val="33"/>
        </w:numPr>
        <w:spacing w:before="80" w:after="0"/>
        <w:rPr>
          <w:rFonts w:eastAsia="Times New Roman" w:cstheme="minorHAnsi"/>
          <w:b/>
        </w:rPr>
      </w:pPr>
      <w:bookmarkStart w:id="102" w:name="accessibility"/>
      <w:bookmarkEnd w:id="102"/>
      <w:r w:rsidRPr="00E13D3B">
        <w:rPr>
          <w:rFonts w:eastAsia="Times New Roman" w:cstheme="minorHAnsi"/>
          <w:b/>
        </w:rPr>
        <w:t>Accessibility</w:t>
      </w:r>
      <w:r w:rsidRPr="008863E3">
        <w:rPr>
          <w:rFonts w:eastAsia="Times New Roman" w:cstheme="minorHAnsi"/>
          <w:b/>
        </w:rPr>
        <w:t xml:space="preserve"> of Workforce Development System</w:t>
      </w:r>
    </w:p>
    <w:p w14:paraId="62E290CB" w14:textId="77777777" w:rsidR="00FC51B7" w:rsidRPr="00E13D3B" w:rsidRDefault="0084664F" w:rsidP="00C575C8">
      <w:pPr>
        <w:pStyle w:val="ListParagraph"/>
        <w:numPr>
          <w:ilvl w:val="1"/>
          <w:numId w:val="33"/>
        </w:numPr>
        <w:spacing w:before="80" w:after="0"/>
        <w:rPr>
          <w:rFonts w:eastAsia="Times New Roman" w:cstheme="minorHAnsi"/>
          <w:bCs/>
        </w:rPr>
      </w:pPr>
      <w:hyperlink r:id="rId279" w:tgtFrame="_blank" w:history="1">
        <w:r w:rsidR="00FC51B7" w:rsidRPr="00E13D3B">
          <w:rPr>
            <w:rStyle w:val="Hyperlink"/>
            <w:rFonts w:eastAsia="Times New Roman" w:cstheme="minorHAnsi"/>
            <w:bCs/>
          </w:rPr>
          <w:t>ADA Related Resources</w:t>
        </w:r>
      </w:hyperlink>
      <w:r w:rsidR="00FC51B7" w:rsidRPr="00E13D3B">
        <w:rPr>
          <w:rFonts w:eastAsia="Times New Roman" w:cstheme="minorHAnsi"/>
          <w:bCs/>
        </w:rPr>
        <w:t xml:space="preserve"> </w:t>
      </w:r>
    </w:p>
    <w:p w14:paraId="28D9A792" w14:textId="77777777" w:rsidR="00FC51B7" w:rsidRPr="00E13D3B" w:rsidRDefault="0084664F" w:rsidP="00C575C8">
      <w:pPr>
        <w:pStyle w:val="ListParagraph"/>
        <w:numPr>
          <w:ilvl w:val="1"/>
          <w:numId w:val="33"/>
        </w:numPr>
        <w:spacing w:before="80" w:after="0"/>
        <w:rPr>
          <w:rFonts w:eastAsia="Times New Roman" w:cstheme="minorHAnsi"/>
          <w:bCs/>
        </w:rPr>
      </w:pPr>
      <w:hyperlink r:id="rId280" w:tgtFrame="_blank" w:history="1">
        <w:r w:rsidR="00FC51B7" w:rsidRPr="00E13D3B">
          <w:rPr>
            <w:rStyle w:val="Hyperlink"/>
            <w:rFonts w:eastAsia="Times New Roman" w:cstheme="minorHAnsi"/>
            <w:bCs/>
          </w:rPr>
          <w:t xml:space="preserve">Section 188 Guide </w:t>
        </w:r>
      </w:hyperlink>
    </w:p>
    <w:p w14:paraId="40FE4E20" w14:textId="77777777" w:rsidR="00FC51B7" w:rsidRPr="00E13D3B" w:rsidRDefault="00FC51B7" w:rsidP="00C575C8">
      <w:pPr>
        <w:pStyle w:val="ListParagraph"/>
        <w:numPr>
          <w:ilvl w:val="0"/>
          <w:numId w:val="33"/>
        </w:numPr>
        <w:spacing w:before="80" w:after="0"/>
        <w:rPr>
          <w:rFonts w:eastAsia="Times New Roman" w:cstheme="minorHAnsi"/>
          <w:b/>
        </w:rPr>
      </w:pPr>
      <w:bookmarkStart w:id="103" w:name="career_pathways"/>
      <w:bookmarkEnd w:id="103"/>
      <w:r w:rsidRPr="00E13D3B">
        <w:rPr>
          <w:rFonts w:eastAsia="Times New Roman" w:cstheme="minorHAnsi"/>
          <w:b/>
        </w:rPr>
        <w:t>Career Pathways</w:t>
      </w:r>
    </w:p>
    <w:p w14:paraId="77080367" w14:textId="77777777" w:rsidR="00FC51B7" w:rsidRPr="00E13D3B" w:rsidRDefault="00FC51B7" w:rsidP="00C575C8">
      <w:pPr>
        <w:pStyle w:val="ListParagraph"/>
        <w:numPr>
          <w:ilvl w:val="1"/>
          <w:numId w:val="33"/>
        </w:numPr>
        <w:spacing w:before="80" w:after="0"/>
        <w:rPr>
          <w:rFonts w:eastAsia="Times New Roman" w:cstheme="minorHAnsi"/>
          <w:bCs/>
        </w:rPr>
      </w:pPr>
      <w:r w:rsidRPr="00E13D3B">
        <w:rPr>
          <w:rFonts w:eastAsia="Times New Roman" w:cstheme="minorHAnsi"/>
          <w:bCs/>
        </w:rPr>
        <w:t xml:space="preserve">This </w:t>
      </w:r>
      <w:hyperlink r:id="rId281" w:tgtFrame="_blank" w:history="1">
        <w:r w:rsidRPr="00E13D3B">
          <w:rPr>
            <w:rStyle w:val="Hyperlink"/>
            <w:rFonts w:eastAsia="Times New Roman" w:cstheme="minorHAnsi"/>
            <w:bCs/>
          </w:rPr>
          <w:t>checklist</w:t>
        </w:r>
      </w:hyperlink>
      <w:r w:rsidRPr="00E13D3B">
        <w:rPr>
          <w:rFonts w:eastAsia="Times New Roman" w:cstheme="minorHAnsi"/>
          <w:bCs/>
        </w:rPr>
        <w:t xml:space="preserve"> includes a broad-range perspective that supports agencies in providing services for the people (and industries) they serve. </w:t>
      </w:r>
    </w:p>
    <w:p w14:paraId="09778833" w14:textId="77777777" w:rsidR="00FC51B7" w:rsidRPr="00E13D3B" w:rsidRDefault="00FC51B7" w:rsidP="00C575C8">
      <w:pPr>
        <w:pStyle w:val="ListParagraph"/>
        <w:numPr>
          <w:ilvl w:val="0"/>
          <w:numId w:val="33"/>
        </w:numPr>
        <w:spacing w:before="80" w:after="0"/>
        <w:rPr>
          <w:rFonts w:eastAsia="Times New Roman" w:cstheme="minorHAnsi"/>
          <w:b/>
        </w:rPr>
      </w:pPr>
      <w:bookmarkStart w:id="104" w:name="related_initiatives"/>
      <w:bookmarkEnd w:id="104"/>
      <w:r w:rsidRPr="00E13D3B">
        <w:rPr>
          <w:rFonts w:eastAsia="Times New Roman" w:cstheme="minorHAnsi"/>
          <w:b/>
        </w:rPr>
        <w:t>Related Initiatives</w:t>
      </w:r>
    </w:p>
    <w:p w14:paraId="49B0B0B8" w14:textId="77777777" w:rsidR="00FC51B7" w:rsidRPr="00E13D3B" w:rsidRDefault="0084664F" w:rsidP="00C575C8">
      <w:pPr>
        <w:pStyle w:val="ListParagraph"/>
        <w:numPr>
          <w:ilvl w:val="1"/>
          <w:numId w:val="33"/>
        </w:numPr>
        <w:spacing w:before="80" w:after="0"/>
        <w:rPr>
          <w:rFonts w:eastAsia="Times New Roman" w:cstheme="minorHAnsi"/>
          <w:bCs/>
        </w:rPr>
      </w:pPr>
      <w:hyperlink r:id="rId282" w:tgtFrame="_blank" w:history="1">
        <w:r w:rsidR="00FC51B7" w:rsidRPr="00E13D3B">
          <w:rPr>
            <w:rStyle w:val="Hyperlink"/>
            <w:rFonts w:eastAsia="Times New Roman" w:cstheme="minorHAnsi"/>
            <w:bCs/>
          </w:rPr>
          <w:t>DEI Information Brief October 2015</w:t>
        </w:r>
      </w:hyperlink>
    </w:p>
    <w:p w14:paraId="1A78526C" w14:textId="77777777" w:rsidR="00FC51B7" w:rsidRPr="00E13D3B" w:rsidRDefault="0084664F" w:rsidP="00C575C8">
      <w:pPr>
        <w:pStyle w:val="ListParagraph"/>
        <w:numPr>
          <w:ilvl w:val="1"/>
          <w:numId w:val="33"/>
        </w:numPr>
        <w:spacing w:before="80" w:after="0"/>
        <w:rPr>
          <w:rFonts w:eastAsia="Times New Roman" w:cstheme="minorHAnsi"/>
          <w:bCs/>
        </w:rPr>
      </w:pPr>
      <w:hyperlink r:id="rId283" w:tgtFrame="_blank" w:history="1">
        <w:r w:rsidR="00FC51B7" w:rsidRPr="00E13D3B">
          <w:rPr>
            <w:rStyle w:val="Hyperlink"/>
            <w:rFonts w:eastAsia="Times New Roman" w:cstheme="minorHAnsi"/>
            <w:bCs/>
          </w:rPr>
          <w:t>DEI Map with Text October 2015</w:t>
        </w:r>
      </w:hyperlink>
    </w:p>
    <w:p w14:paraId="14FEA8F7" w14:textId="77777777" w:rsidR="00FC51B7" w:rsidRPr="00E13D3B" w:rsidRDefault="0084664F" w:rsidP="00C575C8">
      <w:pPr>
        <w:pStyle w:val="ListParagraph"/>
        <w:numPr>
          <w:ilvl w:val="1"/>
          <w:numId w:val="33"/>
        </w:numPr>
        <w:spacing w:before="80" w:after="0"/>
        <w:rPr>
          <w:rFonts w:eastAsia="Times New Roman" w:cstheme="minorHAnsi"/>
          <w:bCs/>
        </w:rPr>
      </w:pPr>
      <w:hyperlink r:id="rId284" w:tgtFrame="_blank" w:history="1">
        <w:r w:rsidR="00FC51B7" w:rsidRPr="00E13D3B">
          <w:rPr>
            <w:rStyle w:val="Hyperlink"/>
            <w:rFonts w:eastAsia="Times New Roman" w:cstheme="minorHAnsi"/>
            <w:bCs/>
          </w:rPr>
          <w:t>DEI Project Examples of VR Partnerships</w:t>
        </w:r>
      </w:hyperlink>
    </w:p>
    <w:p w14:paraId="08A4DA42" w14:textId="77777777" w:rsidR="00FC51B7" w:rsidRPr="00E13D3B" w:rsidRDefault="0084664F" w:rsidP="00C575C8">
      <w:pPr>
        <w:pStyle w:val="ListParagraph"/>
        <w:numPr>
          <w:ilvl w:val="1"/>
          <w:numId w:val="33"/>
        </w:numPr>
        <w:spacing w:before="80" w:after="0"/>
        <w:rPr>
          <w:rFonts w:eastAsia="Times New Roman" w:cstheme="minorHAnsi"/>
          <w:bCs/>
        </w:rPr>
      </w:pPr>
      <w:hyperlink r:id="rId285" w:tgtFrame="_blank" w:history="1">
        <w:r w:rsidR="00FC51B7" w:rsidRPr="00E13D3B">
          <w:rPr>
            <w:rStyle w:val="Hyperlink"/>
            <w:rFonts w:eastAsia="Times New Roman" w:cstheme="minorHAnsi"/>
            <w:bCs/>
          </w:rPr>
          <w:t>Partnership Plus</w:t>
        </w:r>
      </w:hyperlink>
      <w:r w:rsidR="00FC51B7" w:rsidRPr="00E13D3B">
        <w:rPr>
          <w:rFonts w:eastAsia="Times New Roman" w:cstheme="minorHAnsi"/>
          <w:bCs/>
        </w:rPr>
        <w:t xml:space="preserve"> can expand a state's capacity to provide long-term supports</w:t>
      </w:r>
      <w:r w:rsidR="00FC51B7">
        <w:rPr>
          <w:rFonts w:eastAsia="Times New Roman" w:cstheme="minorHAnsi"/>
          <w:bCs/>
        </w:rPr>
        <w:t>.</w:t>
      </w:r>
      <w:r w:rsidR="00FC51B7" w:rsidRPr="00E13D3B">
        <w:rPr>
          <w:rFonts w:eastAsia="Times New Roman" w:cstheme="minorHAnsi"/>
          <w:bCs/>
        </w:rPr>
        <w:t xml:space="preserve"> </w:t>
      </w:r>
    </w:p>
    <w:p w14:paraId="3755D73D" w14:textId="77777777" w:rsidR="00FC51B7" w:rsidRPr="00E13D3B" w:rsidRDefault="00FC51B7" w:rsidP="00C575C8">
      <w:pPr>
        <w:pStyle w:val="ListParagraph"/>
        <w:numPr>
          <w:ilvl w:val="0"/>
          <w:numId w:val="33"/>
        </w:numPr>
        <w:spacing w:before="80" w:after="0"/>
        <w:rPr>
          <w:rFonts w:eastAsia="Times New Roman" w:cstheme="minorHAnsi"/>
          <w:b/>
        </w:rPr>
      </w:pPr>
      <w:bookmarkStart w:id="105" w:name="implement"/>
      <w:bookmarkEnd w:id="105"/>
      <w:r w:rsidRPr="00E13D3B">
        <w:rPr>
          <w:rFonts w:eastAsia="Times New Roman" w:cstheme="minorHAnsi"/>
          <w:b/>
        </w:rPr>
        <w:t>WIOA Implementation</w:t>
      </w:r>
    </w:p>
    <w:p w14:paraId="732F2104" w14:textId="77777777" w:rsidR="00FC51B7" w:rsidRPr="00E13D3B" w:rsidRDefault="0084664F" w:rsidP="00C575C8">
      <w:pPr>
        <w:pStyle w:val="ListParagraph"/>
        <w:numPr>
          <w:ilvl w:val="1"/>
          <w:numId w:val="33"/>
        </w:numPr>
        <w:spacing w:before="80" w:after="0"/>
        <w:rPr>
          <w:rFonts w:eastAsia="Times New Roman" w:cstheme="minorHAnsi"/>
          <w:bCs/>
        </w:rPr>
      </w:pPr>
      <w:hyperlink r:id="rId286" w:tgtFrame="_blank" w:history="1">
        <w:r w:rsidR="00FC51B7" w:rsidRPr="00E13D3B">
          <w:rPr>
            <w:rStyle w:val="Hyperlink"/>
            <w:rFonts w:eastAsia="Times New Roman" w:cstheme="minorHAnsi"/>
            <w:bCs/>
          </w:rPr>
          <w:t>Click this link to view the WIOA Vison Self-Pace Training.</w:t>
        </w:r>
      </w:hyperlink>
      <w:r w:rsidR="00FC51B7" w:rsidRPr="00E13D3B">
        <w:rPr>
          <w:rFonts w:eastAsia="Times New Roman" w:cstheme="minorHAnsi"/>
          <w:bCs/>
        </w:rPr>
        <w:t xml:space="preserve"> </w:t>
      </w:r>
      <w:hyperlink r:id="rId287" w:tgtFrame="_blank" w:history="1">
        <w:r w:rsidR="00FC51B7" w:rsidRPr="00E13D3B">
          <w:rPr>
            <w:rStyle w:val="Hyperlink"/>
            <w:rFonts w:eastAsia="Times New Roman" w:cstheme="minorHAnsi"/>
            <w:bCs/>
          </w:rPr>
          <w:t>(Transcript for WIOA Vision Self-Paced Training)</w:t>
        </w:r>
      </w:hyperlink>
    </w:p>
    <w:p w14:paraId="721278D5" w14:textId="77777777" w:rsidR="00FC51B7" w:rsidRDefault="00FC51B7" w:rsidP="00C575C8">
      <w:pPr>
        <w:pStyle w:val="ListParagraph"/>
        <w:numPr>
          <w:ilvl w:val="1"/>
          <w:numId w:val="33"/>
        </w:numPr>
        <w:spacing w:before="80" w:after="0" w:line="240" w:lineRule="auto"/>
        <w:rPr>
          <w:rFonts w:eastAsia="Times New Roman" w:cstheme="minorHAnsi"/>
        </w:rPr>
      </w:pPr>
      <w:r w:rsidRPr="00330FB3">
        <w:rPr>
          <w:rFonts w:eastAsia="Times New Roman" w:cstheme="minorHAnsi"/>
        </w:rPr>
        <w:t>"</w:t>
      </w:r>
      <w:hyperlink r:id="rId288" w:history="1">
        <w:r w:rsidRPr="00330FB3">
          <w:rPr>
            <w:rFonts w:eastAsia="Times New Roman" w:cstheme="minorHAnsi"/>
            <w:color w:val="0000FF"/>
            <w:u w:val="single"/>
          </w:rPr>
          <w:t>Are You Ready for Integrated Services in the American Job Centers?</w:t>
        </w:r>
      </w:hyperlink>
      <w:r w:rsidRPr="00330FB3">
        <w:rPr>
          <w:rFonts w:eastAsia="Times New Roman" w:cstheme="minorHAnsi"/>
        </w:rPr>
        <w:t xml:space="preserve">" </w:t>
      </w:r>
    </w:p>
    <w:p w14:paraId="49B27040" w14:textId="77777777" w:rsidR="00FC51B7" w:rsidRDefault="00FC51B7" w:rsidP="00FC51B7">
      <w:pPr>
        <w:rPr>
          <w:rFonts w:eastAsia="Times New Roman" w:cstheme="minorHAnsi"/>
          <w:b/>
          <w:bCs/>
        </w:rPr>
      </w:pPr>
      <w:r>
        <w:rPr>
          <w:rFonts w:cstheme="minorHAnsi"/>
          <w:b/>
          <w:bCs/>
        </w:rPr>
        <w:br w:type="page"/>
      </w:r>
    </w:p>
    <w:p w14:paraId="5D891E3E" w14:textId="43FBDF92" w:rsidR="00FC51B7" w:rsidRPr="00BF3652" w:rsidRDefault="00FC51B7" w:rsidP="00BF3652">
      <w:pPr>
        <w:pStyle w:val="Heading2"/>
      </w:pPr>
      <w:bookmarkStart w:id="106" w:name="_Toc41940235"/>
      <w:r w:rsidRPr="00BF3652">
        <w:lastRenderedPageBreak/>
        <w:t xml:space="preserve">Workforce Integration </w:t>
      </w:r>
      <w:r w:rsidR="00BF3652">
        <w:t>ITAs</w:t>
      </w:r>
      <w:r w:rsidR="00BF3652" w:rsidRPr="00BF3652">
        <w:t xml:space="preserve">: </w:t>
      </w:r>
      <w:r w:rsidR="006169BB" w:rsidRPr="00BF3652">
        <w:t>Progress Narrative</w:t>
      </w:r>
      <w:bookmarkEnd w:id="106"/>
    </w:p>
    <w:p w14:paraId="705A05F0" w14:textId="77777777" w:rsidR="00FC51B7" w:rsidRPr="00BF3652" w:rsidRDefault="00FC51B7" w:rsidP="0067196C">
      <w:pPr>
        <w:pStyle w:val="Heading3"/>
      </w:pPr>
      <w:bookmarkStart w:id="107" w:name="_Toc41940236"/>
      <w:r w:rsidRPr="00BF3652">
        <w:t>National Lens</w:t>
      </w:r>
      <w:bookmarkEnd w:id="107"/>
    </w:p>
    <w:p w14:paraId="48A2CB16" w14:textId="77777777" w:rsidR="00FC51B7" w:rsidRDefault="00FC51B7" w:rsidP="00FC51B7">
      <w:pPr>
        <w:ind w:firstLine="360"/>
      </w:pPr>
      <w:r>
        <w:t xml:space="preserve">Nationally, there is extensive literature on interagency collaboration and its effectiveness for improving public efforts to improve social, economic, and health outcomes for various populations.  In terms of WIOA’s mandate to integrate VR into the workforce development system, recent literature is still sparse as to WIOA’s impact on VR integration specifically.  As noted in government reports and literature, WIOA identifies six programs as “core” programs that must work together and report on “common performance measures.”  In order to report effectively, data sharing agreements and collaboration is required and effective interagency collaboration supports this set of requirements (GAO, 2015).  A relatively recent example of effective interagency collaboration in the era of WIOA comes from a national survey of SVRAs working with Veterans Affairs (VA) agencies to serve veterans of color with disabilities.  Johnson, Moore, Aref, Washington, Ward, and Webb (2017) identified effective co-service practices in five domains: (1) job placement services, (2) referral services, (3) cultural diversity, (4) co-service agreements, and (5) co-agency procedures.  Examining multi-system collaboration to support individuals with intellectual and/or developmental disability (IDD), Kennedy-Lizotte, Sass, and Zlockie (2018) noted that effective collaboration requires “shared, unambiguous goals and defined roles” which can clearly be extrapolated to facilitate success for other disability populations as well.  Similarly, Butterworth, Christensen, and Flippo (2017) highlight the Partnerships in Employment project for young adults with IDD, noting its “holistic model for addressing systems change [to] reflect[s] the importance of intentional investment in relationships and connecting activities that link stakeholders across state governmental systems change…” as another example of effective collaboration improving outcomes.  </w:t>
      </w:r>
    </w:p>
    <w:p w14:paraId="2855F16C" w14:textId="77777777" w:rsidR="00FC51B7" w:rsidRDefault="00FC51B7" w:rsidP="00FC51B7">
      <w:pPr>
        <w:ind w:firstLine="360"/>
      </w:pPr>
      <w:r>
        <w:t>Most notably, in a survey of SVRA directors, Fong et al., (2017) solicited importance ratings of 41 different knowledge domains for VRCs using a 5-point Likert-type scale and “collaboration with other core programs in the workforce development and adult education systems” was ranked 7</w:t>
      </w:r>
      <w:r w:rsidRPr="001E25E7">
        <w:rPr>
          <w:vertAlign w:val="superscript"/>
        </w:rPr>
        <w:t>th</w:t>
      </w:r>
      <w:r>
        <w:t xml:space="preserve"> highest.  Importantly, for the top 10 highest ranked concerns, there were significant differences between their importance rankings and VR directors’ perceptions of VRC preparedness in these domains, conveying a critical need for training and TA in them.</w:t>
      </w:r>
    </w:p>
    <w:p w14:paraId="041B7B54" w14:textId="77777777" w:rsidR="00FC51B7" w:rsidRPr="00BF3652" w:rsidRDefault="00FC51B7" w:rsidP="0067196C">
      <w:pPr>
        <w:pStyle w:val="Heading3"/>
      </w:pPr>
      <w:bookmarkStart w:id="108" w:name="_Toc41940237"/>
      <w:r w:rsidRPr="00BF3652">
        <w:t>WINTAC Lens</w:t>
      </w:r>
      <w:bookmarkEnd w:id="108"/>
    </w:p>
    <w:p w14:paraId="2D56F6BF" w14:textId="77777777" w:rsidR="00FC51B7" w:rsidRDefault="00FC51B7" w:rsidP="00FC51B7">
      <w:r>
        <w:t xml:space="preserve">Integration of VR into the Workforce Development System is a popular subject area in terms of ITAAs, as demonstrated by the 17 formal intensive technical assistance agreements (ITAAs) in place.  These ITAAs draw from a menu of activities identified in the logic model, which each have an associated output and contribute to a set of defined short-term outcomes expected to be achieved within this funding cycle.  </w:t>
      </w:r>
    </w:p>
    <w:p w14:paraId="7C44BDD2" w14:textId="31BD4EC5" w:rsidR="00FC51B7" w:rsidRDefault="00FC51B7" w:rsidP="00FC51B7">
      <w:pPr>
        <w:tabs>
          <w:tab w:val="left" w:pos="360"/>
        </w:tabs>
        <w:rPr>
          <w:szCs w:val="14"/>
        </w:rPr>
      </w:pPr>
      <w:r w:rsidRPr="00533653">
        <w:rPr>
          <w:b/>
          <w:bCs/>
          <w:i/>
          <w:iCs/>
          <w:szCs w:val="14"/>
          <w:u w:val="single"/>
        </w:rPr>
        <w:t>TA Progress</w:t>
      </w:r>
      <w:r>
        <w:rPr>
          <w:b/>
          <w:bCs/>
          <w:i/>
          <w:iCs/>
          <w:szCs w:val="14"/>
          <w:u w:val="single"/>
        </w:rPr>
        <w:t>: Activities and Outputs</w:t>
      </w:r>
      <w:r w:rsidRPr="00533653">
        <w:rPr>
          <w:b/>
          <w:bCs/>
          <w:i/>
          <w:iCs/>
          <w:szCs w:val="14"/>
          <w:u w:val="single"/>
        </w:rPr>
        <w:t>.</w:t>
      </w:r>
      <w:r>
        <w:rPr>
          <w:szCs w:val="14"/>
        </w:rPr>
        <w:t xml:space="preserve"> Across the topic area of Integration (first dashboard), we see a</w:t>
      </w:r>
      <w:r w:rsidRPr="00A64E91">
        <w:rPr>
          <w:szCs w:val="14"/>
        </w:rPr>
        <w:t xml:space="preserve">cross 64 activities articulated in ITAAs, most are complete (64%) or moving to completion (5%).  </w:t>
      </w:r>
      <w:r>
        <w:rPr>
          <w:szCs w:val="14"/>
        </w:rPr>
        <w:t xml:space="preserve">Below this first dashboard – the average activity progress bar - the progress rate is broken out by specific activity with the linked outputs’ progress rates provided side-by-side using “thermometer charts.”  </w:t>
      </w:r>
      <w:r w:rsidRPr="00342A21">
        <w:t>Activities showing complete or good progress include assessments and trainings</w:t>
      </w:r>
      <w:r>
        <w:t xml:space="preserve">, such as assessing readiness and capacity as an agency, or system-wide, for workforce integration and/or career </w:t>
      </w:r>
      <w:r>
        <w:lastRenderedPageBreak/>
        <w:t>pathways and/or IRTs.  Policies and procedures, pilot site development, and partnership / collaborative-oriented agreements and MOUs show slower progress.</w:t>
      </w:r>
    </w:p>
    <w:p w14:paraId="74332995" w14:textId="071EB852" w:rsidR="00FC51B7" w:rsidRPr="00CD5EAA" w:rsidRDefault="00FC51B7" w:rsidP="00FC51B7">
      <w:pPr>
        <w:tabs>
          <w:tab w:val="left" w:pos="360"/>
        </w:tabs>
      </w:pPr>
      <w:r w:rsidRPr="00533653">
        <w:rPr>
          <w:b/>
          <w:bCs/>
          <w:i/>
          <w:iCs/>
          <w:szCs w:val="14"/>
          <w:u w:val="single"/>
        </w:rPr>
        <w:t>TA Progress</w:t>
      </w:r>
      <w:r>
        <w:rPr>
          <w:b/>
          <w:bCs/>
          <w:i/>
          <w:iCs/>
          <w:szCs w:val="14"/>
          <w:u w:val="single"/>
        </w:rPr>
        <w:t>: Outcomes</w:t>
      </w:r>
      <w:r w:rsidRPr="00533653">
        <w:rPr>
          <w:b/>
          <w:bCs/>
          <w:i/>
          <w:iCs/>
          <w:szCs w:val="14"/>
          <w:u w:val="single"/>
        </w:rPr>
        <w:t>.</w:t>
      </w:r>
      <w:r>
        <w:rPr>
          <w:szCs w:val="14"/>
        </w:rPr>
        <w:t xml:space="preserve"> The outcomes </w:t>
      </w:r>
      <w:r>
        <w:t>speedometer</w:t>
      </w:r>
      <w:r w:rsidRPr="00445388">
        <w:t xml:space="preserve"> shows </w:t>
      </w:r>
      <w:r>
        <w:t>one-fifth</w:t>
      </w:r>
      <w:r w:rsidRPr="00445388">
        <w:t xml:space="preserve"> (</w:t>
      </w:r>
      <w:r>
        <w:t>19</w:t>
      </w:r>
      <w:r w:rsidRPr="00445388">
        <w:t xml:space="preserve">%) of outcomes 75% or more complete </w:t>
      </w:r>
      <w:r>
        <w:t>and</w:t>
      </w:r>
      <w:r w:rsidRPr="00445388">
        <w:t xml:space="preserve"> </w:t>
      </w:r>
      <w:r>
        <w:t>6</w:t>
      </w:r>
      <w:r w:rsidRPr="00445388">
        <w:t>1% not yet started</w:t>
      </w:r>
      <w:r>
        <w:t xml:space="preserve"> for an overall progress of 24%</w:t>
      </w:r>
      <w:r w:rsidRPr="00445388">
        <w:t>.</w:t>
      </w:r>
      <w:r>
        <w:t xml:space="preserve">  The next dashboard presents a table </w:t>
      </w:r>
      <w:r w:rsidRPr="005E0478">
        <w:t xml:space="preserve">of outcomes </w:t>
      </w:r>
      <w:r>
        <w:t>regarding</w:t>
      </w:r>
      <w:r w:rsidRPr="005E0478">
        <w:t xml:space="preserve"> progress on strategic self-assessment planning, collaborative outcomes such as events, career pathways being implemented for clients, integrated resource teams, and co-</w:t>
      </w:r>
      <w:r w:rsidRPr="00CD5EAA">
        <w:t>enrollments. Over the past quarter, the Evaluation Team worked with all TA Teams to develop targeted lists of measurable outcomes more specific than those that may have been originally articulated in in ITAAs to ensure representation of all the changes created by the TA Team and SVRA’s collaborations on ITAAs.  Within just this one quarter, the Integration TA Team was able to collect data from some agencies</w:t>
      </w:r>
      <w:r>
        <w:t xml:space="preserve">, though baseline levels and target levels for most of the measures have yet to be established.  Five agencies are establishing strategic self-assessment planning with most (3) at the evaluation-expansion-sustainability phases.  Across 12 SVRAs, 2 are in the planning phase, 6 in the design phase, and 4 in the implementation phase and there are 417 consumers engaged in just one state in career pathways.  One SVRA identifies 18 IRTs in place with 9 consumers employed and 3 meeting career objectives.  Beyond simple metrics, the TA Team identifies several “success” stories (integrated in the program report) regarding client experiences with IRTs and agency leadership in multiple agencies recognizing the importance and value of career pathway and IRB processes.  </w:t>
      </w:r>
    </w:p>
    <w:p w14:paraId="69CF228D" w14:textId="4091CD2C" w:rsidR="00FC51B7" w:rsidRDefault="00FC51B7" w:rsidP="00FC51B7">
      <w:pPr>
        <w:tabs>
          <w:tab w:val="left" w:pos="360"/>
        </w:tabs>
        <w:rPr>
          <w:szCs w:val="14"/>
        </w:rPr>
      </w:pPr>
      <w:r w:rsidRPr="00743A56">
        <w:rPr>
          <w:b/>
          <w:bCs/>
          <w:i/>
          <w:iCs/>
          <w:u w:val="single"/>
        </w:rPr>
        <w:t>Covid-19 Impacts.</w:t>
      </w:r>
      <w:r w:rsidRPr="002806E0">
        <w:t xml:space="preserve">  </w:t>
      </w:r>
      <w:r>
        <w:t>The pandemic has affected SVRA implementation in this topic area.  Initially 4 IRT projects were on hold, but 2 are ready to move forward again.  Strategic Self-Assessment Planning is continuing using online web conferencing platforms.</w:t>
      </w:r>
    </w:p>
    <w:p w14:paraId="62AC72B8" w14:textId="1ECF8713" w:rsidR="00FC51B7" w:rsidRDefault="00FC51B7" w:rsidP="00BF3652">
      <w:pPr>
        <w:tabs>
          <w:tab w:val="left" w:pos="360"/>
        </w:tabs>
        <w:rPr>
          <w:szCs w:val="14"/>
        </w:rPr>
      </w:pPr>
      <w:bookmarkStart w:id="109" w:name="_Hlk41734574"/>
      <w:r>
        <w:rPr>
          <w:b/>
          <w:bCs/>
          <w:i/>
          <w:iCs/>
          <w:u w:val="single"/>
        </w:rPr>
        <w:t>Sustainability.</w:t>
      </w:r>
      <w:r>
        <w:t xml:space="preserve">  </w:t>
      </w:r>
      <w:bookmarkEnd w:id="109"/>
      <w:r>
        <w:t>The team uses “Road Maps” as guides for SVRAs to achieve systems change, as well as the Strategic Service Alignment Planning process described above in the outcomes progress.  By operationalizing constructive collaborations to engage in effective career pathways, apprenticeships, and create IRTs, this topic area guides SVRAs through the process of creating integration with other agencies and the workforce development system.  Similarly, through modeling collaboration and engaging other WINTAC topic areas such as LMI and CPMs, SVRAs are able to see the concrete ways in which collaboration and integration lead to improved services and outcomes.</w:t>
      </w:r>
    </w:p>
    <w:p w14:paraId="0CB9EE83" w14:textId="77777777" w:rsidR="00FC51B7" w:rsidRPr="003531A4" w:rsidRDefault="00FC51B7" w:rsidP="00FC51B7">
      <w:pPr>
        <w:rPr>
          <w:rFonts w:cstheme="minorHAnsi"/>
          <w:b/>
          <w:bCs/>
          <w:i/>
          <w:iCs/>
          <w:color w:val="C00000"/>
        </w:rPr>
      </w:pPr>
      <w:bookmarkStart w:id="110" w:name="_Hlk41734529"/>
      <w:r w:rsidRPr="003531A4">
        <w:rPr>
          <w:rFonts w:cstheme="minorHAnsi"/>
          <w:b/>
          <w:bCs/>
          <w:i/>
          <w:iCs/>
          <w:color w:val="C00000"/>
        </w:rPr>
        <w:t>“Challenges Overcome,” “Changes Made,” and “Evaluation Recommendations” will be updated as part of the Year 5 Annual Evaluation Report.  But important findings presented in the Year 4 Annual Evaluation Report (2 quarters ago) are reproduced below for ease of reference and context as to the significant and valuable work that has been done by the Pre-ETS TA Team.</w:t>
      </w:r>
      <w:bookmarkEnd w:id="110"/>
    </w:p>
    <w:p w14:paraId="53FFE01F" w14:textId="1A7DB008" w:rsidR="00FC51B7" w:rsidRDefault="00FC51B7" w:rsidP="00FC51B7">
      <w:pPr>
        <w:tabs>
          <w:tab w:val="left" w:pos="360"/>
        </w:tabs>
        <w:rPr>
          <w:rFonts w:cstheme="minorHAnsi"/>
        </w:rPr>
      </w:pPr>
      <w:r>
        <w:rPr>
          <w:b/>
          <w:bCs/>
          <w:i/>
          <w:iCs/>
          <w:szCs w:val="14"/>
          <w:u w:val="single"/>
        </w:rPr>
        <w:t>Challenges Overcome.</w:t>
      </w:r>
      <w:r>
        <w:rPr>
          <w:i/>
          <w:iCs/>
          <w:szCs w:val="14"/>
        </w:rPr>
        <w:t xml:space="preserve"> </w:t>
      </w:r>
      <w:r>
        <w:rPr>
          <w:szCs w:val="14"/>
        </w:rPr>
        <w:t xml:space="preserve"> Unlike the Pre-ETS and CPMs areas, the pressures to implement workforce integration are less driven by RSA deadlines.  As a result, many agencies that chose integration as a topic area for their ITAA began engaging the TA Team and then slowed down progress or explicitly put it on hold.  As reported elsewhere many states are plagued by staff and leadership turnover and these challenges impact progress – particularly when leadership changes or is absent since interagency collaboration work so often requires leadership direction.  Nevertheless, some agencies are making important headway with different aspects of workforce integration involving the use of integrated resource teams, career pathways, and collaborative meetings and events.  In addition, these agencies are setting “baseline” measurements in place, against which to explicitly measure progress and success.  Due to staff turnover, some agencies may be experiencing fluctuating rates as reported (e.g., in </w:t>
      </w:r>
      <w:r>
        <w:rPr>
          <w:szCs w:val="14"/>
        </w:rPr>
        <w:lastRenderedPageBreak/>
        <w:t>one state where co-enrollment appears to have dropped very significantly).  This can be due to under-reporting, but also the need to acculturate newer staff and train them on collaborative working with the workforce development system that is being implemented within a given state since this is a significant systems – and importantly – culture change relative to what staff may have experienced previously.</w:t>
      </w:r>
    </w:p>
    <w:p w14:paraId="1A45D882" w14:textId="26289BF6" w:rsidR="00FC51B7" w:rsidRDefault="00BF3652" w:rsidP="00FC51B7">
      <w:pPr>
        <w:tabs>
          <w:tab w:val="left" w:pos="360"/>
        </w:tabs>
        <w:rPr>
          <w:rFonts w:cstheme="minorHAnsi"/>
        </w:rPr>
      </w:pPr>
      <w:r w:rsidRPr="00BF3652">
        <w:rPr>
          <w:rFonts w:cstheme="minorHAnsi"/>
          <w:b/>
          <w:bCs/>
          <w:i/>
          <w:iCs/>
          <w:u w:val="single"/>
        </w:rPr>
        <w:t>Changes Made</w:t>
      </w:r>
      <w:r w:rsidR="00FC51B7">
        <w:rPr>
          <w:rFonts w:cstheme="minorHAnsi"/>
          <w:i/>
          <w:iCs/>
        </w:rPr>
        <w:t>.</w:t>
      </w:r>
      <w:r w:rsidR="00FC51B7">
        <w:rPr>
          <w:rFonts w:cstheme="minorHAnsi"/>
        </w:rPr>
        <w:t xml:space="preserve">  With respect to the “Integration Continuum” and its associated self-assessments to inform planning for improved integration, six states have participated in self- and joint-assessments with workforce partners and four have established their initial scores as “baselines.”  (See “Outcomes Snapshot” infographic above).  This is significant as a documented commitment to understanding how one operationalizes “collaboration” and progresses over time to more and more meaningful integrated work.  Nowhere is this clearer than in one state that has engaged its core partners, required partners, and others that conducted a system-wide self-assessment and is now requiring all its 22 Local Workforce Innovation Boards to do the same as part of an annual assessment process!  This systems change effort is being followed by the state’s Workforce Innovation Board (WIB) and included in the Unified State Plan and the policy and reporting systems, as well as in the Governor’s Executive Order Report on workforce development.  Further, the WIB’s Continuous Improvement Committee itself has asked for an evaluation and monitoring of service integration activities.  So far, the state VR agency reports seeing an increase its co-enrollment and direct referral rates as a result.  In the future, follow-up data collection should include not only changes in scores, but information about what the change process has looked like in each state to enhance understanding of the impact and changes that have resulted and inform a set of promising practices that other states and systems can consider.  </w:t>
      </w:r>
    </w:p>
    <w:p w14:paraId="048FC580" w14:textId="7EF3E5C2" w:rsidR="00FC51B7" w:rsidRDefault="00FC51B7" w:rsidP="00FC51B7">
      <w:pPr>
        <w:tabs>
          <w:tab w:val="left" w:pos="360"/>
        </w:tabs>
        <w:rPr>
          <w:rFonts w:cstheme="minorHAnsi"/>
        </w:rPr>
      </w:pPr>
      <w:r>
        <w:rPr>
          <w:rFonts w:cstheme="minorHAnsi"/>
        </w:rPr>
        <w:t xml:space="preserve">A great example of creating resources for other states and systems is seen in one state’s work with the Integration TA Team in relation to IRTs.  As part of an onsite collaborative event across state agencies, vignettes regarding the challenges and barriers faced by people who are blind were developed.  The TA Team recognized this as a valuable resource and has translated it into online training modules with facilitator guides available online (see resources above).  </w:t>
      </w:r>
    </w:p>
    <w:p w14:paraId="1A9883EA" w14:textId="6DC248EC" w:rsidR="00FC51B7" w:rsidRDefault="00FC51B7" w:rsidP="00FC51B7">
      <w:pPr>
        <w:tabs>
          <w:tab w:val="left" w:pos="360"/>
        </w:tabs>
        <w:rPr>
          <w:rFonts w:cstheme="minorHAnsi"/>
        </w:rPr>
      </w:pPr>
      <w:r>
        <w:rPr>
          <w:rFonts w:cstheme="minorHAnsi"/>
        </w:rPr>
        <w:t>Integration is connecting across many other WINTAC areas and thus supporting joint and enhanced impacts.  For example they are working with the Pre-ETS team to see Career Pathway work begin at IEP development and increase work-based learning experiences – see one state’s “Explore” program.  They are collaborating (</w:t>
      </w:r>
      <w:r w:rsidRPr="00D65057">
        <w:rPr>
          <mc:AlternateContent>
            <mc:Choice Requires="w16se">
              <w:rFonts w:cs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cstheme="minorHAnsi"/>
        </w:rPr>
        <w:t>) with the Business Engagement team and The Career Index/Labor Market Information as well to support efforts by American Job Centers (AJCs), and Peer Mentoring to ensure Career Pathway work is built into the career planning work that is considered by mentors and mentees.  Outside of WINTAC, the Integration TA Team has also collaborated with YTAC and DEI’s TA Center to leverage and support resources and agency engagements already ongoing with AJCs.</w:t>
      </w:r>
    </w:p>
    <w:p w14:paraId="68095543" w14:textId="77777777" w:rsidR="00FC51B7" w:rsidRPr="00D43F44" w:rsidRDefault="00FC51B7" w:rsidP="00FC51B7">
      <w:pPr>
        <w:tabs>
          <w:tab w:val="left" w:pos="360"/>
        </w:tabs>
        <w:rPr>
          <w:rFonts w:cstheme="minorHAnsi"/>
        </w:rPr>
      </w:pPr>
      <w:r>
        <w:rPr>
          <w:rFonts w:cstheme="minorHAnsi"/>
        </w:rPr>
        <w:t>In other notable impacts, it is important to connect the work of this team to the successes of agencies in the area of Pre-ETS.  With teamwork involving agencies, the Pre-ETS TA Team, the CPM TA Team (and RSA), agencies have been able to access data regarding performance and understand their work better in multiple areas.  As noted in the Pre-ETS chapter, the requirements to track spending on new Pre-ETS services and the numbers of students served and potentially eligible for services – as well as the requirements to track performance according to CPMs – will allow for a deeper look at effectiveness of services and fiscal analyses of cost for services or per student, and return-on-investment/cost-benefit analyses.</w:t>
      </w:r>
    </w:p>
    <w:p w14:paraId="4918E074" w14:textId="77777777" w:rsidR="00FC51B7" w:rsidRDefault="00FC51B7" w:rsidP="00FC51B7">
      <w:pPr>
        <w:tabs>
          <w:tab w:val="left" w:pos="360"/>
        </w:tabs>
        <w:ind w:firstLine="360"/>
        <w:rPr>
          <w:rFonts w:cstheme="minorHAnsi"/>
        </w:rPr>
      </w:pPr>
      <w:r w:rsidRPr="00AD2F4E">
        <w:rPr>
          <w:rFonts w:cstheme="minorHAnsi"/>
          <w:b/>
          <w:bCs/>
          <w:i/>
          <w:iCs/>
          <w:u w:val="single"/>
        </w:rPr>
        <w:lastRenderedPageBreak/>
        <w:t>Evaluation Recommendations.</w:t>
      </w:r>
      <w:r w:rsidRPr="00AD2F4E">
        <w:rPr>
          <w:rFonts w:cstheme="minorHAnsi"/>
        </w:rPr>
        <w:t xml:space="preserve">  </w:t>
      </w:r>
      <w:r>
        <w:rPr>
          <w:rFonts w:cstheme="minorHAnsi"/>
        </w:rPr>
        <w:t xml:space="preserve">Some states are clearly tracking efforts at integration as seen in the outcomes snapshot infographic above.  Other states are not yet doing this as reported in the narratives, therefore it is suggested to prioritize as possible in Year 5 that all states establish a flag in their system to track and thus “count” outcomes o f their efforts (e.g., # involved in career pathways, # of IRTs) in a way that complements already ongoing tracking in this vein (e.g., co-enrollment).  Over time, one will be able to connect these types of “service pathways” directly to client outcomes.  One such outcome for Career Pathways for example, would include examining State Occupational Codes for recorded employment outcomes and whether they connect to high growth industries and IEP or IPE goals.  </w:t>
      </w:r>
    </w:p>
    <w:p w14:paraId="5A67984F" w14:textId="2A2D6B03" w:rsidR="00FC51B7" w:rsidRPr="006F029E" w:rsidRDefault="00FC51B7" w:rsidP="00FC51B7">
      <w:pPr>
        <w:tabs>
          <w:tab w:val="left" w:pos="360"/>
        </w:tabs>
        <w:rPr>
          <w:rFonts w:cstheme="minorHAnsi"/>
        </w:rPr>
      </w:pPr>
      <w:r>
        <w:rPr>
          <w:rFonts w:cstheme="minorHAnsi"/>
        </w:rPr>
        <w:t>In addition to numbers and rates, processes and descriptions of changes being made would benefit from elaboration as states move forward in their systems change efforts to integrate.  For example, what kinds of collaborative events, committees, or plans are being established.  As clients receive joint service delivery, what outcomes are they experiencing.  These impacts will take place over time, but establishing a process for tracking them with states will ensure the opportunity to do so is not lost by them.  Future TA Centers and Evaluators can document them and examine patterns and highlight success stories for replication.</w:t>
      </w:r>
    </w:p>
    <w:p w14:paraId="534AE431" w14:textId="77777777" w:rsidR="00FC51B7" w:rsidRPr="0094648D" w:rsidRDefault="00FC51B7" w:rsidP="00FC51B7">
      <w:pPr>
        <w:rPr>
          <w:rFonts w:cstheme="minorHAnsi"/>
        </w:rPr>
      </w:pPr>
    </w:p>
    <w:p w14:paraId="5E01742A" w14:textId="77777777" w:rsidR="00BF3652" w:rsidRDefault="00BF3652" w:rsidP="005466F3">
      <w:pPr>
        <w:tabs>
          <w:tab w:val="left" w:pos="360"/>
        </w:tabs>
        <w:rPr>
          <w:rFonts w:cstheme="minorHAnsi"/>
        </w:rPr>
        <w:sectPr w:rsidR="00BF3652" w:rsidSect="0042504C">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docGrid w:linePitch="360"/>
        </w:sectPr>
      </w:pPr>
    </w:p>
    <w:p w14:paraId="5BCFB056" w14:textId="51196582" w:rsidR="00F404FB" w:rsidRPr="00F404FB" w:rsidRDefault="00F404FB" w:rsidP="00F404FB">
      <w:pPr>
        <w:pStyle w:val="Heading1"/>
        <w:ind w:right="-450" w:firstLine="0"/>
      </w:pPr>
      <w:bookmarkStart w:id="111" w:name="_Toc41940238"/>
      <w:r w:rsidRPr="00F404FB">
        <w:lastRenderedPageBreak/>
        <w:t>E. COMPETITIVE INTEGRATED EMPLOYMENT</w:t>
      </w:r>
      <w:r w:rsidRPr="00F404FB">
        <w:br/>
        <w:t>INCLUDING SUPPORTED EMPLOYMENT</w:t>
      </w:r>
      <w:bookmarkEnd w:id="111"/>
    </w:p>
    <w:p w14:paraId="49ACCB34" w14:textId="77777777" w:rsidR="00F404FB" w:rsidRDefault="00F404FB" w:rsidP="00F404FB">
      <w:pPr>
        <w:jc w:val="center"/>
        <w:rPr>
          <w:noProof/>
        </w:rPr>
      </w:pPr>
    </w:p>
    <w:p w14:paraId="04FC5C51" w14:textId="0E7A9943" w:rsidR="00F404FB" w:rsidRDefault="00F404FB" w:rsidP="00187C02">
      <w:pPr>
        <w:ind w:firstLine="0"/>
        <w:jc w:val="center"/>
        <w:rPr>
          <w:noProof/>
        </w:rPr>
      </w:pPr>
      <w:r>
        <w:rPr>
          <w:noProof/>
          <w:lang w:eastAsia="ko-KR"/>
        </w:rPr>
        <w:drawing>
          <wp:inline distT="0" distB="0" distL="0" distR="0" wp14:anchorId="294753DB" wp14:editId="0FFD49AE">
            <wp:extent cx="5943600" cy="4448175"/>
            <wp:effectExtent l="0" t="0" r="0" b="9525"/>
            <wp:docPr id="101" name="Picture 101" descr="Map of the United States depicting states with Competitive Integrated Employment &amp; Supported Employment, which include: AK, MN">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9">
                      <a:extLst>
                        <a:ext uri="{28A0092B-C50C-407E-A947-70E740481C1C}">
                          <a14:useLocalDpi xmlns:a14="http://schemas.microsoft.com/office/drawing/2010/main"/>
                        </a:ext>
                      </a:extLst>
                    </a:blip>
                    <a:srcRect/>
                    <a:stretch>
                      <a:fillRect/>
                    </a:stretch>
                  </pic:blipFill>
                  <pic:spPr bwMode="auto">
                    <a:xfrm>
                      <a:off x="0" y="0"/>
                      <a:ext cx="5943600" cy="4448175"/>
                    </a:xfrm>
                    <a:prstGeom prst="rect">
                      <a:avLst/>
                    </a:prstGeom>
                    <a:noFill/>
                    <a:ln>
                      <a:noFill/>
                    </a:ln>
                  </pic:spPr>
                </pic:pic>
              </a:graphicData>
            </a:graphic>
          </wp:inline>
        </w:drawing>
      </w:r>
    </w:p>
    <w:p w14:paraId="606E3B68" w14:textId="77777777" w:rsidR="00F404FB" w:rsidRDefault="00F404FB" w:rsidP="00F404FB"/>
    <w:p w14:paraId="7FE9F685" w14:textId="77777777" w:rsidR="00F404FB" w:rsidRDefault="00F404FB" w:rsidP="00F404FB">
      <w:pPr>
        <w:spacing w:after="0"/>
        <w:sectPr w:rsidR="00F404FB" w:rsidSect="00EC24EB">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cols w:space="720"/>
          <w:vAlign w:val="center"/>
        </w:sectPr>
      </w:pPr>
    </w:p>
    <w:p w14:paraId="4DA3422E" w14:textId="51E2C10D" w:rsidR="00F404FB" w:rsidRPr="00F404FB" w:rsidRDefault="00F404FB" w:rsidP="00F404FB">
      <w:pPr>
        <w:pStyle w:val="Heading2"/>
      </w:pPr>
      <w:bookmarkStart w:id="112" w:name="_Toc11010581"/>
      <w:bookmarkStart w:id="113" w:name="_Toc41940239"/>
      <w:r w:rsidRPr="00F404FB">
        <w:lastRenderedPageBreak/>
        <w:t xml:space="preserve">CIE: </w:t>
      </w:r>
      <w:r w:rsidR="004E4615" w:rsidRPr="00F404FB">
        <w:t>Progress Narrative</w:t>
      </w:r>
      <w:bookmarkEnd w:id="112"/>
      <w:bookmarkEnd w:id="113"/>
    </w:p>
    <w:p w14:paraId="0B2EADEA" w14:textId="77777777" w:rsidR="00F404FB" w:rsidRPr="00F404FB" w:rsidRDefault="00F404FB" w:rsidP="0067196C">
      <w:pPr>
        <w:pStyle w:val="Heading3"/>
      </w:pPr>
      <w:bookmarkStart w:id="114" w:name="_Toc41940240"/>
      <w:r w:rsidRPr="00F404FB">
        <w:t>National Lens</w:t>
      </w:r>
      <w:bookmarkEnd w:id="114"/>
    </w:p>
    <w:p w14:paraId="18D29D43" w14:textId="3F336E7E" w:rsidR="00F404FB" w:rsidRDefault="00F404FB" w:rsidP="00F404FB">
      <w:pPr>
        <w:tabs>
          <w:tab w:val="left" w:pos="360"/>
        </w:tabs>
        <w:rPr>
          <w:b/>
          <w:color w:val="FF0000"/>
        </w:rPr>
      </w:pPr>
      <w:r>
        <w:t>Competitive integrated employment (CIE) is the foundation of the Workforce Innovation and Opportunity Act (WIOA) and regulations (Wehman et al., 2018). It is the common theme in all of the WINTAC topical areas, as well as the work of other technical assistance centers. Successful competitive integrated employment outcomes for people with disabilities correspond with effective VR engagement with a wide range of businesses and workforce development partners.</w:t>
      </w:r>
    </w:p>
    <w:p w14:paraId="62E7D01B" w14:textId="33229D75" w:rsidR="00F404FB" w:rsidRDefault="00F404FB" w:rsidP="00F404FB">
      <w:pPr>
        <w:tabs>
          <w:tab w:val="left" w:pos="360"/>
        </w:tabs>
      </w:pPr>
      <w:r>
        <w:t xml:space="preserve">WIOA and final regulations emphasize the need for VR agencies to increase strategies for successful competitive integrated employment including Supported Employment (SE) and Customized Employment (CE) for those individuals with the most significant disabilities, with contemporary research from national project evaluations demonstrating that every state can chart a path to successful outcomes despite different contexts or approaches (Tucker, Feng, Gruman, &amp; Crossen, 2017).  </w:t>
      </w:r>
    </w:p>
    <w:p w14:paraId="7227818F" w14:textId="77777777" w:rsidR="00F404FB" w:rsidRPr="00F404FB" w:rsidRDefault="00F404FB" w:rsidP="0067196C">
      <w:pPr>
        <w:pStyle w:val="Heading3"/>
      </w:pPr>
      <w:bookmarkStart w:id="115" w:name="_Toc27904603"/>
      <w:bookmarkStart w:id="116" w:name="_Toc41940241"/>
      <w:r w:rsidRPr="00F404FB">
        <w:t>WINTAC Lens</w:t>
      </w:r>
      <w:bookmarkEnd w:id="115"/>
      <w:bookmarkEnd w:id="116"/>
    </w:p>
    <w:p w14:paraId="70A23E69" w14:textId="51FF687F" w:rsidR="00F404FB" w:rsidRDefault="00F404FB" w:rsidP="00F404FB">
      <w:pPr>
        <w:tabs>
          <w:tab w:val="left" w:pos="360"/>
        </w:tabs>
      </w:pPr>
      <w:r>
        <w:t xml:space="preserve">In the first few years of this project, WINTAC entered into 31 Intensive TA agreements to assist SVRAs in improving their understanding of the rationale, concepts, implications and WIOA requirements associated with CIE, as well as best practices in supported and customized employment services. Over time, this assistance resulted in changing needs and WINTAC adjusted accordingly. For some SVRAs, issues were resolved to the point where diminishing levels of intervention were needed, and WINTAC shifted to targeted TA with them. For others, the response to issues and needs evolved to specific pilot projects and other strategies related to supported and customized employment. Those focused on Supported Employment are addressed in this chapter. Those focused on Customized Employment are addressed in the following chapter. </w:t>
      </w:r>
      <w:r>
        <w:rPr>
          <w:color w:val="000000" w:themeColor="text1"/>
        </w:rPr>
        <w:t>Ex</w:t>
      </w:r>
      <w:r>
        <w:rPr>
          <w:rFonts w:cstheme="minorHAnsi"/>
          <w:color w:val="000000" w:themeColor="text1"/>
        </w:rPr>
        <w:t>amples</w:t>
      </w:r>
      <w:r>
        <w:rPr>
          <w:color w:val="000000" w:themeColor="text1"/>
        </w:rPr>
        <w:t xml:space="preserve"> of </w:t>
      </w:r>
      <w:r>
        <w:t>CIE</w:t>
      </w:r>
      <w:r>
        <w:rPr>
          <w:color w:val="000000" w:themeColor="text1"/>
        </w:rPr>
        <w:t>-related TA with broad and long range impactful implications include:</w:t>
      </w:r>
    </w:p>
    <w:p w14:paraId="1B413EE7" w14:textId="77777777" w:rsidR="00F404FB" w:rsidRDefault="00F404FB" w:rsidP="00C575C8">
      <w:pPr>
        <w:pStyle w:val="ListParagraph"/>
        <w:numPr>
          <w:ilvl w:val="0"/>
          <w:numId w:val="36"/>
        </w:numPr>
        <w:spacing w:after="120" w:line="256" w:lineRule="auto"/>
        <w:ind w:left="360"/>
      </w:pPr>
      <w:r>
        <w:t>Under the CIE umbrella, WINTAC</w:t>
      </w:r>
      <w:r>
        <w:rPr>
          <w:color w:val="000000" w:themeColor="text1"/>
        </w:rPr>
        <w:t xml:space="preserve"> has continued to work with RSA to provide guidance to SVRAs in interpreting and applying regulatory expectations relating to CIE, developed companion tools and resources to support CIE implementation, facilitated communities of practice to share practical application knowledge and experiences including a recently launched a Self-Employment Community of Practice to assist in the sharing, development and improvement of existing self-employment services.</w:t>
      </w:r>
    </w:p>
    <w:p w14:paraId="3116E807" w14:textId="77777777" w:rsidR="00F404FB" w:rsidRDefault="00F404FB" w:rsidP="00C575C8">
      <w:pPr>
        <w:pStyle w:val="ListParagraph"/>
        <w:numPr>
          <w:ilvl w:val="0"/>
          <w:numId w:val="36"/>
        </w:numPr>
        <w:spacing w:after="120" w:line="256" w:lineRule="auto"/>
        <w:ind w:left="360"/>
        <w:rPr>
          <w:b/>
        </w:rPr>
      </w:pPr>
      <w:r>
        <w:t>On a national scale, WINTAC has been in a unique position to identify the need for and take a leadership role in building consensus around the essential elements of CIE practices. These foundational principles have been articulated in WINTAC documents such as the “Essential Elements of Customized Employment for Universal Application” and “Supported Employment Quality Features” that are recognized and cited in setting standards for excellence and measuring performance in vocational rehabilitation practice. WINTAC continues to provide a platform for ongoing dialogue and refinement of national standards and their practical application in CIE.</w:t>
      </w:r>
    </w:p>
    <w:p w14:paraId="56D032A7" w14:textId="77777777" w:rsidR="00F404FB" w:rsidRDefault="00F404FB" w:rsidP="00C575C8">
      <w:pPr>
        <w:pStyle w:val="ListParagraph"/>
        <w:numPr>
          <w:ilvl w:val="0"/>
          <w:numId w:val="36"/>
        </w:numPr>
        <w:spacing w:after="120" w:line="256" w:lineRule="auto"/>
        <w:ind w:left="360"/>
        <w:rPr>
          <w:color w:val="000000" w:themeColor="text1"/>
        </w:rPr>
      </w:pPr>
      <w:r>
        <w:rPr>
          <w:color w:val="000000" w:themeColor="text1"/>
        </w:rPr>
        <w:t xml:space="preserve">WINTAC, in partnership with the Youth Technical Assistance Center (YTAC), is currently in process of developing a tool to assist in analyzing and identifying current Supported Employment status and a plan to improve the future delivery of those services. This includes a checklist tool for both VRC’s and VR leadership to review Supported Employment services delivered by providers. </w:t>
      </w:r>
    </w:p>
    <w:p w14:paraId="0C340FE8" w14:textId="77777777" w:rsidR="00F404FB" w:rsidRDefault="00F404FB" w:rsidP="00C575C8">
      <w:pPr>
        <w:pStyle w:val="ListParagraph"/>
        <w:numPr>
          <w:ilvl w:val="0"/>
          <w:numId w:val="36"/>
        </w:numPr>
        <w:spacing w:after="120" w:line="256" w:lineRule="auto"/>
        <w:ind w:left="360"/>
        <w:rPr>
          <w:color w:val="000000" w:themeColor="text1"/>
        </w:rPr>
      </w:pPr>
      <w:r>
        <w:rPr>
          <w:color w:val="000000" w:themeColor="text1"/>
        </w:rPr>
        <w:lastRenderedPageBreak/>
        <w:t>WINTAC is currently developing tools to help SVRAs map, sequence and braid existing services between key partners such as Medicaid/DD services. This helps operationalize and compliment MOUs designed to provide those services. It also serves as a model for other SVRAs and DD agencies encountering barriers to collaboration.</w:t>
      </w:r>
    </w:p>
    <w:p w14:paraId="4452E596" w14:textId="77777777" w:rsidR="00F404FB" w:rsidRDefault="00F404FB" w:rsidP="00C575C8">
      <w:pPr>
        <w:pStyle w:val="ListParagraph"/>
        <w:numPr>
          <w:ilvl w:val="0"/>
          <w:numId w:val="36"/>
        </w:numPr>
        <w:spacing w:after="120" w:line="256" w:lineRule="auto"/>
        <w:ind w:left="360"/>
        <w:rPr>
          <w:color w:val="000000" w:themeColor="text1"/>
        </w:rPr>
      </w:pPr>
      <w:r>
        <w:rPr>
          <w:color w:val="000000" w:themeColor="text1"/>
        </w:rPr>
        <w:t>The recently launched self-employment community of practice will help WINTAC understand needs and develop tools to help SVRAs evaluate and enhance their delivery of self-employment services based on current successful practices.</w:t>
      </w:r>
    </w:p>
    <w:p w14:paraId="3B3E8F13" w14:textId="4E58A58E" w:rsidR="00F404FB" w:rsidRDefault="00F404FB" w:rsidP="00F404FB">
      <w:pPr>
        <w:tabs>
          <w:tab w:val="left" w:pos="360"/>
        </w:tabs>
        <w:rPr>
          <w:color w:val="000000" w:themeColor="text1"/>
        </w:rPr>
      </w:pPr>
      <w:r>
        <w:rPr>
          <w:color w:val="000000" w:themeColor="text1"/>
        </w:rPr>
        <w:t xml:space="preserve">One ITAA focused on the general topic area of competitive integrated employment. The intensive TA activity and associated output of this ITAA focus on development of an MOU between the SVRA and the DD agency on sequencing of services in alignment with WIOA. Both have been successfully completed as displayed below. This negotiation of a framework for unprecedented collaboration and resource-sharing between the two agencies has already led to an important expansion of service definitions and consideration of a new employment category, positioning the state to significantly improve access to and achievement of CIE outcomes. </w:t>
      </w:r>
    </w:p>
    <w:p w14:paraId="6A038EBC" w14:textId="37338754" w:rsidR="00F404FB" w:rsidRDefault="00F404FB" w:rsidP="00F404FB">
      <w:pPr>
        <w:tabs>
          <w:tab w:val="left" w:pos="360"/>
        </w:tabs>
        <w:ind w:firstLine="0"/>
        <w:jc w:val="center"/>
        <w:rPr>
          <w:szCs w:val="14"/>
        </w:rPr>
      </w:pPr>
      <w:r>
        <w:rPr>
          <w:sz w:val="36"/>
          <w:szCs w:val="36"/>
        </w:rPr>
        <w:t>Activity Unique</w:t>
      </w:r>
      <w:r>
        <w:rPr>
          <w:szCs w:val="14"/>
        </w:rPr>
        <w:br/>
      </w:r>
      <w:r>
        <w:rPr>
          <w:noProof/>
          <w:lang w:eastAsia="ko-KR"/>
        </w:rPr>
        <w:drawing>
          <wp:inline distT="0" distB="0" distL="0" distR="0" wp14:anchorId="3068D40C" wp14:editId="52C620F3">
            <wp:extent cx="1428750" cy="4572000"/>
            <wp:effectExtent l="0" t="0" r="0" b="0"/>
            <wp:docPr id="95" name="Picture 95" descr="Activity &amp; Outputs Progress Unique showing 100% complete">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0">
                      <a:extLst>
                        <a:ext uri="{28A0092B-C50C-407E-A947-70E740481C1C}">
                          <a14:useLocalDpi xmlns:a14="http://schemas.microsoft.com/office/drawing/2010/main"/>
                        </a:ext>
                      </a:extLst>
                    </a:blip>
                    <a:srcRect/>
                    <a:stretch>
                      <a:fillRect/>
                    </a:stretch>
                  </pic:blipFill>
                  <pic:spPr bwMode="auto">
                    <a:xfrm>
                      <a:off x="0" y="0"/>
                      <a:ext cx="1428750" cy="4572000"/>
                    </a:xfrm>
                    <a:prstGeom prst="rect">
                      <a:avLst/>
                    </a:prstGeom>
                    <a:noFill/>
                    <a:ln>
                      <a:noFill/>
                    </a:ln>
                  </pic:spPr>
                </pic:pic>
              </a:graphicData>
            </a:graphic>
          </wp:inline>
        </w:drawing>
      </w:r>
      <w:r>
        <w:rPr>
          <w:sz w:val="36"/>
          <w:szCs w:val="36"/>
        </w:rPr>
        <w:br/>
      </w:r>
      <w:r>
        <w:rPr>
          <w:noProof/>
          <w:lang w:eastAsia="ko-KR"/>
        </w:rPr>
        <w:drawing>
          <wp:inline distT="0" distB="0" distL="0" distR="0" wp14:anchorId="409BA1E2" wp14:editId="1D693BA2">
            <wp:extent cx="2085975" cy="371475"/>
            <wp:effectExtent l="0" t="0" r="9525" b="9525"/>
            <wp:docPr id="94" name="Picture 94"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2085975" cy="371475"/>
                    </a:xfrm>
                    <a:prstGeom prst="rect">
                      <a:avLst/>
                    </a:prstGeom>
                    <a:noFill/>
                    <a:ln>
                      <a:noFill/>
                    </a:ln>
                  </pic:spPr>
                </pic:pic>
              </a:graphicData>
            </a:graphic>
          </wp:inline>
        </w:drawing>
      </w:r>
    </w:p>
    <w:p w14:paraId="2587C366" w14:textId="18919913" w:rsidR="00F404FB" w:rsidRDefault="00F404FB" w:rsidP="00F404FB">
      <w:pPr>
        <w:pStyle w:val="Heading2"/>
      </w:pPr>
      <w:bookmarkStart w:id="117" w:name="_Toc41940242"/>
      <w:r>
        <w:lastRenderedPageBreak/>
        <w:t xml:space="preserve">Competitive </w:t>
      </w:r>
      <w:r w:rsidRPr="00F404FB">
        <w:t>Integrated</w:t>
      </w:r>
      <w:r>
        <w:t xml:space="preserve"> Employment: Resources</w:t>
      </w:r>
      <w:bookmarkEnd w:id="117"/>
    </w:p>
    <w:p w14:paraId="50D1BA10" w14:textId="15EAF5CD" w:rsidR="00F404FB" w:rsidRPr="00257E45" w:rsidRDefault="00F404FB" w:rsidP="00257E45">
      <w:pPr>
        <w:rPr>
          <w:rFonts w:eastAsia="Times New Roman" w:cstheme="minorHAnsi"/>
          <w:sz w:val="24"/>
          <w:szCs w:val="24"/>
        </w:rPr>
      </w:pPr>
      <w:r>
        <w:rPr>
          <w:rFonts w:eastAsia="Times New Roman" w:cstheme="minorHAnsi"/>
          <w:sz w:val="24"/>
          <w:szCs w:val="24"/>
        </w:rPr>
        <w:t>WINTAC has developed or facilitated the development of a number of resources to support TA and training and provide guidance to SVRAs as they develop and implement strategies to meet the requirements for competitive integrated employment under WIOA, and as they plan for expansion and sustainability:</w:t>
      </w:r>
    </w:p>
    <w:p w14:paraId="18DBCA89" w14:textId="77777777" w:rsidR="00F404FB" w:rsidRDefault="0084664F" w:rsidP="00C575C8">
      <w:pPr>
        <w:numPr>
          <w:ilvl w:val="0"/>
          <w:numId w:val="37"/>
        </w:numPr>
        <w:spacing w:line="256" w:lineRule="auto"/>
        <w:rPr>
          <w:rStyle w:val="Hyperlink"/>
          <w:sz w:val="24"/>
          <w:szCs w:val="24"/>
        </w:rPr>
      </w:pPr>
      <w:hyperlink r:id="rId291" w:tgtFrame="_blank" w:history="1">
        <w:r w:rsidR="00F404FB">
          <w:rPr>
            <w:rStyle w:val="Hyperlink"/>
            <w:rFonts w:cstheme="minorHAnsi"/>
            <w:sz w:val="24"/>
            <w:szCs w:val="24"/>
          </w:rPr>
          <w:t>Michigan Rehabilitation Services CIE Checklist</w:t>
        </w:r>
      </w:hyperlink>
    </w:p>
    <w:p w14:paraId="42F5B1A0" w14:textId="77777777" w:rsidR="00F404FB" w:rsidRDefault="0084664F" w:rsidP="00C575C8">
      <w:pPr>
        <w:numPr>
          <w:ilvl w:val="0"/>
          <w:numId w:val="37"/>
        </w:numPr>
        <w:spacing w:line="256" w:lineRule="auto"/>
      </w:pPr>
      <w:hyperlink r:id="rId292" w:history="1">
        <w:r w:rsidR="00F404FB">
          <w:rPr>
            <w:rStyle w:val="Hyperlink"/>
            <w:rFonts w:cstheme="minorHAnsi"/>
            <w:sz w:val="24"/>
            <w:szCs w:val="24"/>
          </w:rPr>
          <w:t>Understanding Individuals with Autism Spectrum Conditions within VR services (Recorded training)</w:t>
        </w:r>
      </w:hyperlink>
    </w:p>
    <w:p w14:paraId="66AC2861" w14:textId="77777777" w:rsidR="00F404FB" w:rsidRDefault="0084664F" w:rsidP="00C575C8">
      <w:pPr>
        <w:numPr>
          <w:ilvl w:val="0"/>
          <w:numId w:val="37"/>
        </w:numPr>
        <w:spacing w:line="256" w:lineRule="auto"/>
        <w:rPr>
          <w:rFonts w:cstheme="minorHAnsi"/>
          <w:sz w:val="24"/>
          <w:szCs w:val="24"/>
        </w:rPr>
      </w:pPr>
      <w:hyperlink r:id="rId293" w:history="1">
        <w:r w:rsidR="00F404FB">
          <w:rPr>
            <w:rStyle w:val="Hyperlink"/>
            <w:rFonts w:cstheme="minorHAnsi"/>
            <w:sz w:val="24"/>
            <w:szCs w:val="24"/>
          </w:rPr>
          <w:t>Integrated Location Criteria of the Definition of "Competitive Integrated Employment" FAQ</w:t>
        </w:r>
      </w:hyperlink>
    </w:p>
    <w:p w14:paraId="75960899" w14:textId="77777777" w:rsidR="00F404FB" w:rsidRDefault="0084664F" w:rsidP="00C575C8">
      <w:pPr>
        <w:numPr>
          <w:ilvl w:val="0"/>
          <w:numId w:val="37"/>
        </w:numPr>
        <w:spacing w:line="256" w:lineRule="auto"/>
        <w:rPr>
          <w:rFonts w:cstheme="minorHAnsi"/>
          <w:sz w:val="24"/>
          <w:szCs w:val="24"/>
        </w:rPr>
      </w:pPr>
      <w:hyperlink r:id="rId294" w:history="1">
        <w:r w:rsidR="00F404FB">
          <w:rPr>
            <w:rStyle w:val="Hyperlink"/>
            <w:rFonts w:cstheme="minorHAnsi"/>
            <w:sz w:val="24"/>
            <w:szCs w:val="24"/>
          </w:rPr>
          <w:t>Advisory Committee on Increasing Competitive Integrated Employment for Individuals with Disabilities Interim Report</w:t>
        </w:r>
      </w:hyperlink>
    </w:p>
    <w:p w14:paraId="17D4BCFC" w14:textId="77777777" w:rsidR="00F404FB" w:rsidRDefault="0084664F" w:rsidP="00C575C8">
      <w:pPr>
        <w:numPr>
          <w:ilvl w:val="0"/>
          <w:numId w:val="37"/>
        </w:numPr>
        <w:spacing w:line="256" w:lineRule="auto"/>
        <w:rPr>
          <w:rFonts w:cstheme="minorHAnsi"/>
          <w:sz w:val="24"/>
          <w:szCs w:val="24"/>
        </w:rPr>
      </w:pPr>
      <w:hyperlink r:id="rId295" w:history="1">
        <w:r w:rsidR="00F404FB">
          <w:rPr>
            <w:rStyle w:val="Hyperlink"/>
            <w:rFonts w:cstheme="minorHAnsi"/>
            <w:sz w:val="24"/>
            <w:szCs w:val="24"/>
          </w:rPr>
          <w:t>Work Accommodations &amp; Natural Supports for Maintaining Employment</w:t>
        </w:r>
      </w:hyperlink>
    </w:p>
    <w:p w14:paraId="5762DC7F" w14:textId="77777777" w:rsidR="00F404FB" w:rsidRDefault="0084664F" w:rsidP="00C575C8">
      <w:pPr>
        <w:numPr>
          <w:ilvl w:val="0"/>
          <w:numId w:val="37"/>
        </w:numPr>
        <w:spacing w:line="256" w:lineRule="auto"/>
        <w:rPr>
          <w:rFonts w:cstheme="minorHAnsi"/>
          <w:sz w:val="24"/>
          <w:szCs w:val="24"/>
        </w:rPr>
      </w:pPr>
      <w:hyperlink r:id="rId296" w:history="1">
        <w:r w:rsidR="00F404FB">
          <w:rPr>
            <w:rStyle w:val="Hyperlink"/>
            <w:rFonts w:cstheme="minorHAnsi"/>
            <w:sz w:val="24"/>
            <w:szCs w:val="24"/>
          </w:rPr>
          <w:t>AICIED Final Report</w:t>
        </w:r>
      </w:hyperlink>
    </w:p>
    <w:p w14:paraId="06B1E2E2" w14:textId="77777777" w:rsidR="00F404FB" w:rsidRDefault="0084664F" w:rsidP="00C575C8">
      <w:pPr>
        <w:numPr>
          <w:ilvl w:val="0"/>
          <w:numId w:val="37"/>
        </w:numPr>
        <w:spacing w:line="256" w:lineRule="auto"/>
        <w:rPr>
          <w:rFonts w:cstheme="minorHAnsi"/>
          <w:sz w:val="24"/>
          <w:szCs w:val="24"/>
        </w:rPr>
      </w:pPr>
      <w:hyperlink r:id="rId297" w:history="1">
        <w:r w:rsidR="00F404FB">
          <w:rPr>
            <w:rStyle w:val="Hyperlink"/>
            <w:rFonts w:cstheme="minorHAnsi"/>
            <w:sz w:val="24"/>
            <w:szCs w:val="24"/>
          </w:rPr>
          <w:t>Fact Sheet - Advisory Co Advisory Committee on Increasing Competitive Integrated Employment for Individuals with Disabilities - Final Report</w:t>
        </w:r>
      </w:hyperlink>
    </w:p>
    <w:p w14:paraId="7159BD68" w14:textId="77777777" w:rsidR="00F404FB" w:rsidRDefault="0084664F" w:rsidP="00C575C8">
      <w:pPr>
        <w:numPr>
          <w:ilvl w:val="0"/>
          <w:numId w:val="37"/>
        </w:numPr>
        <w:spacing w:line="256" w:lineRule="auto"/>
        <w:rPr>
          <w:rFonts w:cstheme="minorHAnsi"/>
          <w:sz w:val="24"/>
          <w:szCs w:val="24"/>
        </w:rPr>
      </w:pPr>
      <w:hyperlink r:id="rId298" w:history="1">
        <w:r w:rsidR="00F404FB">
          <w:rPr>
            <w:rStyle w:val="Hyperlink"/>
            <w:rFonts w:cstheme="minorHAnsi"/>
            <w:sz w:val="24"/>
            <w:szCs w:val="24"/>
          </w:rPr>
          <w:t>Employment First</w:t>
        </w:r>
      </w:hyperlink>
    </w:p>
    <w:p w14:paraId="75CAFA0D" w14:textId="77777777" w:rsidR="00F404FB" w:rsidRDefault="00F404FB" w:rsidP="00F404FB">
      <w:pPr>
        <w:rPr>
          <w:b/>
          <w:i/>
        </w:rPr>
      </w:pPr>
      <w:r>
        <w:rPr>
          <w:b/>
          <w:i/>
        </w:rPr>
        <w:t>Website analytics</w:t>
      </w:r>
    </w:p>
    <w:p w14:paraId="06E7C5C1" w14:textId="77777777" w:rsidR="00F404FB" w:rsidRDefault="00F404FB" w:rsidP="00F404FB">
      <w:r>
        <w:t xml:space="preserve">Analysis of WINTAC website traffic shows 2,226 page views &amp; 385 entrances since October 2019 for the CIE resources webpage </w:t>
      </w:r>
      <w:hyperlink r:id="rId299" w:history="1">
        <w:r>
          <w:rPr>
            <w:rStyle w:val="Hyperlink"/>
            <w:rFonts w:ascii="Calibri" w:hAnsi="Calibri" w:cs="Calibri"/>
            <w:shd w:val="clear" w:color="auto" w:fill="FFFFFF"/>
          </w:rPr>
          <w:t>http://www.wintac.org/topic-areas/resources-and-strategies-competitive-integrated-employment/resources</w:t>
        </w:r>
      </w:hyperlink>
      <w:r>
        <w:rPr>
          <w:rFonts w:ascii="Calibri" w:hAnsi="Calibri" w:cs="Calibri"/>
          <w:shd w:val="clear" w:color="auto" w:fill="FFFFFF"/>
        </w:rPr>
        <w:t>.</w:t>
      </w:r>
    </w:p>
    <w:p w14:paraId="2910707F" w14:textId="44834AFB" w:rsidR="00F404FB" w:rsidRDefault="00F404FB" w:rsidP="00F404FB">
      <w:pPr>
        <w:ind w:firstLine="0"/>
        <w:rPr>
          <w:color w:val="C45911" w:themeColor="accent2" w:themeShade="BF"/>
        </w:rPr>
      </w:pPr>
      <w:r>
        <w:rPr>
          <w:noProof/>
          <w:lang w:eastAsia="ko-KR"/>
        </w:rPr>
        <w:drawing>
          <wp:inline distT="0" distB="0" distL="0" distR="0" wp14:anchorId="2D9E268E" wp14:editId="3D0F101D">
            <wp:extent cx="5943600" cy="1314450"/>
            <wp:effectExtent l="0" t="0" r="0" b="0"/>
            <wp:docPr id="93" name="Picture 93" descr="Web analytics chart showing entrances and page views">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0">
                      <a:extLst>
                        <a:ext uri="{28A0092B-C50C-407E-A947-70E740481C1C}">
                          <a14:useLocalDpi xmlns:a14="http://schemas.microsoft.com/office/drawing/2010/main"/>
                        </a:ext>
                      </a:extLst>
                    </a:blip>
                    <a:srcRect/>
                    <a:stretch>
                      <a:fillRect/>
                    </a:stretch>
                  </pic:blipFill>
                  <pic:spPr bwMode="auto">
                    <a:xfrm>
                      <a:off x="0" y="0"/>
                      <a:ext cx="5943600" cy="1314450"/>
                    </a:xfrm>
                    <a:prstGeom prst="rect">
                      <a:avLst/>
                    </a:prstGeom>
                    <a:noFill/>
                    <a:ln>
                      <a:noFill/>
                    </a:ln>
                  </pic:spPr>
                </pic:pic>
              </a:graphicData>
            </a:graphic>
          </wp:inline>
        </w:drawing>
      </w:r>
    </w:p>
    <w:p w14:paraId="76B8823D" w14:textId="77777777" w:rsidR="00F404FB" w:rsidRDefault="00F404FB" w:rsidP="00F404FB">
      <w:pPr>
        <w:rPr>
          <w:rFonts w:cstheme="minorHAnsi"/>
          <w:b/>
          <w:color w:val="C45911" w:themeColor="accent2" w:themeShade="BF"/>
          <w:sz w:val="36"/>
        </w:rPr>
      </w:pPr>
      <w:r>
        <w:rPr>
          <w:color w:val="C45911" w:themeColor="accent2" w:themeShade="BF"/>
        </w:rPr>
        <w:br w:type="page"/>
      </w:r>
    </w:p>
    <w:p w14:paraId="2647DF20" w14:textId="4C3851D0" w:rsidR="00F404FB" w:rsidRPr="00F404FB" w:rsidRDefault="00F404FB" w:rsidP="00F404FB">
      <w:pPr>
        <w:pStyle w:val="Heading2"/>
      </w:pPr>
      <w:bookmarkStart w:id="118" w:name="_Toc41940243"/>
      <w:r w:rsidRPr="00F404FB">
        <w:lastRenderedPageBreak/>
        <w:t>C</w:t>
      </w:r>
      <w:r>
        <w:t>IE</w:t>
      </w:r>
      <w:r w:rsidRPr="00F404FB">
        <w:t>: Supported Employment</w:t>
      </w:r>
      <w:bookmarkEnd w:id="118"/>
    </w:p>
    <w:p w14:paraId="2E479AE7" w14:textId="5DABCD49" w:rsidR="00F404FB" w:rsidRDefault="00F404FB" w:rsidP="00F404FB">
      <w:pPr>
        <w:pStyle w:val="Heading2"/>
        <w:shd w:val="clear" w:color="auto" w:fill="8EAADB" w:themeFill="accent1" w:themeFillTint="99"/>
        <w:rPr>
          <w:color w:val="FF0000"/>
        </w:rPr>
      </w:pPr>
      <w:bookmarkStart w:id="119" w:name="_Toc41940244"/>
      <w:r>
        <w:t>Supported Employment Logic Model</w:t>
      </w:r>
      <w:bookmarkEnd w:id="119"/>
    </w:p>
    <w:tbl>
      <w:tblPr>
        <w:tblW w:w="5000" w:type="pct"/>
        <w:tblLook w:val="04A0" w:firstRow="1" w:lastRow="0" w:firstColumn="1" w:lastColumn="0" w:noHBand="0" w:noVBand="1"/>
      </w:tblPr>
      <w:tblGrid>
        <w:gridCol w:w="4675"/>
        <w:gridCol w:w="4675"/>
      </w:tblGrid>
      <w:tr w:rsidR="00F404FB" w14:paraId="5250C939" w14:textId="77777777" w:rsidTr="00F404FB">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C0E6650" w14:textId="235900CC" w:rsidR="00F404FB" w:rsidRDefault="00F404FB">
            <w:pPr>
              <w:spacing w:line="240" w:lineRule="auto"/>
              <w:jc w:val="center"/>
              <w:rPr>
                <w:b/>
                <w:bCs/>
                <w:color w:val="000000"/>
              </w:rPr>
            </w:pPr>
            <w:r>
              <w:rPr>
                <w:b/>
                <w:bCs/>
                <w:color w:val="000000"/>
              </w:rPr>
              <w:t>Activit</w:t>
            </w:r>
            <w:r w:rsidR="00257E45">
              <w:rPr>
                <w:b/>
                <w:bCs/>
                <w:color w:val="000000"/>
              </w:rPr>
              <w:t>y</w:t>
            </w:r>
          </w:p>
        </w:tc>
        <w:tc>
          <w:tcPr>
            <w:tcW w:w="2500"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1F77CF1A" w14:textId="77777777" w:rsidR="00F404FB" w:rsidRDefault="00F404FB">
            <w:pPr>
              <w:spacing w:line="240" w:lineRule="auto"/>
              <w:jc w:val="center"/>
              <w:rPr>
                <w:b/>
                <w:bCs/>
                <w:color w:val="000000"/>
              </w:rPr>
            </w:pPr>
            <w:r>
              <w:rPr>
                <w:b/>
                <w:bCs/>
                <w:color w:val="000000"/>
              </w:rPr>
              <w:t>Output</w:t>
            </w:r>
          </w:p>
        </w:tc>
      </w:tr>
      <w:tr w:rsidR="00F404FB" w14:paraId="3DDA4FE9" w14:textId="77777777" w:rsidTr="00F404FB">
        <w:trPr>
          <w:trHeight w:val="20"/>
        </w:trPr>
        <w:tc>
          <w:tcPr>
            <w:tcW w:w="2500" w:type="pct"/>
            <w:tcBorders>
              <w:top w:val="nil"/>
              <w:left w:val="single" w:sz="4" w:space="0" w:color="000000"/>
              <w:bottom w:val="single" w:sz="4" w:space="0" w:color="000000"/>
              <w:right w:val="single" w:sz="4" w:space="0" w:color="000000"/>
            </w:tcBorders>
            <w:vAlign w:val="center"/>
            <w:hideMark/>
          </w:tcPr>
          <w:p w14:paraId="00447311" w14:textId="77777777" w:rsidR="00F404FB" w:rsidRPr="00F404FB" w:rsidRDefault="00F404FB" w:rsidP="00C575C8">
            <w:pPr>
              <w:pStyle w:val="ListParagraph"/>
              <w:numPr>
                <w:ilvl w:val="0"/>
                <w:numId w:val="40"/>
              </w:numPr>
              <w:spacing w:line="240" w:lineRule="auto"/>
              <w:rPr>
                <w:rFonts w:ascii="Calibri" w:eastAsia="Calibri" w:hAnsi="Calibri" w:cs="Times New Roman"/>
              </w:rPr>
            </w:pPr>
            <w:bookmarkStart w:id="120" w:name="_Hlk17792548"/>
            <w:r w:rsidRPr="00F404FB">
              <w:rPr>
                <w:rFonts w:ascii="Calibri" w:eastAsia="Calibri" w:hAnsi="Calibri" w:cs="Times New Roman"/>
              </w:rPr>
              <w:t>Provide overview  training and targeted  technical assistance (TA) related  to WIOA requirements and the SE Quality Features relative to Supported Employment</w:t>
            </w:r>
          </w:p>
        </w:tc>
        <w:tc>
          <w:tcPr>
            <w:tcW w:w="2500" w:type="pct"/>
            <w:tcBorders>
              <w:top w:val="nil"/>
              <w:left w:val="nil"/>
              <w:bottom w:val="single" w:sz="4" w:space="0" w:color="auto"/>
              <w:right w:val="single" w:sz="4" w:space="0" w:color="auto"/>
            </w:tcBorders>
            <w:vAlign w:val="center"/>
            <w:hideMark/>
          </w:tcPr>
          <w:p w14:paraId="5CFF011B" w14:textId="77777777" w:rsidR="00F404FB" w:rsidRDefault="00F404FB" w:rsidP="00C575C8">
            <w:pPr>
              <w:pStyle w:val="ListParagraph"/>
              <w:numPr>
                <w:ilvl w:val="0"/>
                <w:numId w:val="38"/>
              </w:numPr>
              <w:spacing w:line="240" w:lineRule="auto"/>
              <w:ind w:left="340"/>
              <w:rPr>
                <w:color w:val="000000"/>
              </w:rPr>
            </w:pPr>
            <w:r>
              <w:rPr>
                <w:color w:val="000000"/>
              </w:rPr>
              <w:t>Completed trainings</w:t>
            </w:r>
          </w:p>
        </w:tc>
      </w:tr>
      <w:tr w:rsidR="00F404FB" w14:paraId="42E717E4" w14:textId="77777777" w:rsidTr="00F404FB">
        <w:trPr>
          <w:trHeight w:val="20"/>
        </w:trPr>
        <w:tc>
          <w:tcPr>
            <w:tcW w:w="2500" w:type="pct"/>
            <w:tcBorders>
              <w:top w:val="nil"/>
              <w:left w:val="single" w:sz="4" w:space="0" w:color="000000"/>
              <w:bottom w:val="single" w:sz="4" w:space="0" w:color="000000"/>
              <w:right w:val="single" w:sz="4" w:space="0" w:color="000000"/>
            </w:tcBorders>
            <w:vAlign w:val="center"/>
            <w:hideMark/>
          </w:tcPr>
          <w:p w14:paraId="7B388378" w14:textId="77777777" w:rsidR="00F404FB" w:rsidRPr="00F404FB" w:rsidRDefault="00F404FB" w:rsidP="00C575C8">
            <w:pPr>
              <w:pStyle w:val="ListParagraph"/>
              <w:numPr>
                <w:ilvl w:val="0"/>
                <w:numId w:val="40"/>
              </w:numPr>
              <w:spacing w:line="240" w:lineRule="auto"/>
              <w:rPr>
                <w:rFonts w:ascii="Calibri" w:eastAsia="Calibri" w:hAnsi="Calibri" w:cs="Times New Roman"/>
              </w:rPr>
            </w:pPr>
            <w:r w:rsidRPr="00F404FB">
              <w:rPr>
                <w:rFonts w:ascii="Calibri" w:eastAsia="Calibri" w:hAnsi="Calibri" w:cs="Times New Roman"/>
              </w:rPr>
              <w:t>Provide TA related to the development of MOUs with partner agencies as required by WIOA</w:t>
            </w:r>
          </w:p>
        </w:tc>
        <w:tc>
          <w:tcPr>
            <w:tcW w:w="2500" w:type="pct"/>
            <w:tcBorders>
              <w:top w:val="nil"/>
              <w:left w:val="nil"/>
              <w:bottom w:val="single" w:sz="4" w:space="0" w:color="auto"/>
              <w:right w:val="single" w:sz="4" w:space="0" w:color="auto"/>
            </w:tcBorders>
            <w:vAlign w:val="center"/>
            <w:hideMark/>
          </w:tcPr>
          <w:p w14:paraId="42188D07" w14:textId="77777777" w:rsidR="00F404FB" w:rsidRDefault="00F404FB" w:rsidP="00C575C8">
            <w:pPr>
              <w:pStyle w:val="ListParagraph"/>
              <w:numPr>
                <w:ilvl w:val="0"/>
                <w:numId w:val="38"/>
              </w:numPr>
              <w:spacing w:line="240" w:lineRule="auto"/>
              <w:ind w:left="340"/>
              <w:rPr>
                <w:color w:val="000000"/>
              </w:rPr>
            </w:pPr>
            <w:r>
              <w:rPr>
                <w:color w:val="000000"/>
              </w:rPr>
              <w:t>Draft MOUs</w:t>
            </w:r>
          </w:p>
        </w:tc>
      </w:tr>
      <w:tr w:rsidR="00F404FB" w14:paraId="612C143C" w14:textId="77777777" w:rsidTr="00F404FB">
        <w:trPr>
          <w:trHeight w:val="20"/>
        </w:trPr>
        <w:tc>
          <w:tcPr>
            <w:tcW w:w="2500" w:type="pct"/>
            <w:tcBorders>
              <w:top w:val="nil"/>
              <w:left w:val="single" w:sz="4" w:space="0" w:color="auto"/>
              <w:bottom w:val="single" w:sz="4" w:space="0" w:color="auto"/>
              <w:right w:val="single" w:sz="4" w:space="0" w:color="auto"/>
            </w:tcBorders>
            <w:vAlign w:val="center"/>
            <w:hideMark/>
          </w:tcPr>
          <w:p w14:paraId="368C5135" w14:textId="0C11A1A7" w:rsidR="00F404FB" w:rsidRPr="00F404FB" w:rsidRDefault="00F404FB" w:rsidP="00C575C8">
            <w:pPr>
              <w:pStyle w:val="ListParagraph"/>
              <w:numPr>
                <w:ilvl w:val="0"/>
                <w:numId w:val="40"/>
              </w:numPr>
              <w:spacing w:line="240" w:lineRule="auto"/>
              <w:rPr>
                <w:color w:val="000000"/>
              </w:rPr>
            </w:pPr>
            <w:r w:rsidRPr="00F404FB">
              <w:rPr>
                <w:rFonts w:ascii="Calibri" w:eastAsia="Calibri" w:hAnsi="Calibri" w:cs="Times New Roman"/>
              </w:rPr>
              <w:t>Develop new and/or review existing documentation policies and procedures, related to  Supported Employment</w:t>
            </w:r>
          </w:p>
        </w:tc>
        <w:tc>
          <w:tcPr>
            <w:tcW w:w="2500" w:type="pct"/>
            <w:tcBorders>
              <w:top w:val="nil"/>
              <w:left w:val="nil"/>
              <w:bottom w:val="single" w:sz="4" w:space="0" w:color="auto"/>
              <w:right w:val="single" w:sz="4" w:space="0" w:color="auto"/>
            </w:tcBorders>
            <w:vAlign w:val="center"/>
            <w:hideMark/>
          </w:tcPr>
          <w:p w14:paraId="40142DC1" w14:textId="77777777" w:rsidR="00F404FB" w:rsidRDefault="00F404FB" w:rsidP="00C575C8">
            <w:pPr>
              <w:pStyle w:val="ListParagraph"/>
              <w:numPr>
                <w:ilvl w:val="0"/>
                <w:numId w:val="38"/>
              </w:numPr>
              <w:spacing w:line="240" w:lineRule="auto"/>
              <w:ind w:left="340"/>
              <w:rPr>
                <w:color w:val="000000"/>
              </w:rPr>
            </w:pPr>
            <w:r>
              <w:rPr>
                <w:color w:val="000000"/>
              </w:rPr>
              <w:t>New or revised draft policies that meet WIOA requirements</w:t>
            </w:r>
          </w:p>
        </w:tc>
      </w:tr>
      <w:tr w:rsidR="00F404FB" w14:paraId="4FB3A985" w14:textId="77777777" w:rsidTr="00F404FB">
        <w:trPr>
          <w:trHeight w:val="20"/>
        </w:trPr>
        <w:tc>
          <w:tcPr>
            <w:tcW w:w="2500" w:type="pct"/>
            <w:tcBorders>
              <w:top w:val="nil"/>
              <w:left w:val="single" w:sz="4" w:space="0" w:color="000000"/>
              <w:bottom w:val="single" w:sz="4" w:space="0" w:color="000000"/>
              <w:right w:val="single" w:sz="4" w:space="0" w:color="000000"/>
            </w:tcBorders>
            <w:vAlign w:val="center"/>
            <w:hideMark/>
          </w:tcPr>
          <w:p w14:paraId="73113ACE" w14:textId="77777777" w:rsidR="00F404FB" w:rsidRPr="00F404FB" w:rsidRDefault="00F404FB" w:rsidP="00C575C8">
            <w:pPr>
              <w:pStyle w:val="ListParagraph"/>
              <w:numPr>
                <w:ilvl w:val="0"/>
                <w:numId w:val="40"/>
              </w:numPr>
              <w:spacing w:line="240" w:lineRule="auto"/>
              <w:rPr>
                <w:rFonts w:ascii="Calibri" w:eastAsia="Calibri" w:hAnsi="Calibri" w:cs="Times New Roman"/>
              </w:rPr>
            </w:pPr>
            <w:r w:rsidRPr="00F404FB">
              <w:rPr>
                <w:rFonts w:ascii="Calibri" w:eastAsia="Calibri" w:hAnsi="Calibri" w:cs="Times New Roman"/>
              </w:rPr>
              <w:t>Provide TA for the  planning, development, implementation  and sustainability of an SE Pilot Project that reflects the SE Quality Features</w:t>
            </w:r>
          </w:p>
        </w:tc>
        <w:tc>
          <w:tcPr>
            <w:tcW w:w="2500" w:type="pct"/>
            <w:tcBorders>
              <w:top w:val="nil"/>
              <w:left w:val="nil"/>
              <w:bottom w:val="single" w:sz="4" w:space="0" w:color="auto"/>
              <w:right w:val="single" w:sz="4" w:space="0" w:color="auto"/>
            </w:tcBorders>
            <w:vAlign w:val="center"/>
            <w:hideMark/>
          </w:tcPr>
          <w:p w14:paraId="7709D816" w14:textId="77777777" w:rsidR="00F404FB" w:rsidRDefault="00F404FB" w:rsidP="00C575C8">
            <w:pPr>
              <w:pStyle w:val="ListParagraph"/>
              <w:numPr>
                <w:ilvl w:val="0"/>
                <w:numId w:val="38"/>
              </w:numPr>
              <w:spacing w:line="240" w:lineRule="auto"/>
              <w:ind w:left="340"/>
              <w:rPr>
                <w:color w:val="000000"/>
              </w:rPr>
            </w:pPr>
            <w:r>
              <w:rPr>
                <w:color w:val="000000"/>
              </w:rPr>
              <w:t>Completed SE Pilot</w:t>
            </w:r>
          </w:p>
        </w:tc>
      </w:tr>
      <w:tr w:rsidR="00F404FB" w14:paraId="3B540248" w14:textId="77777777" w:rsidTr="00F404FB">
        <w:trPr>
          <w:trHeight w:val="20"/>
        </w:trPr>
        <w:tc>
          <w:tcPr>
            <w:tcW w:w="2500" w:type="pct"/>
            <w:tcBorders>
              <w:top w:val="single" w:sz="4" w:space="0" w:color="auto"/>
              <w:left w:val="single" w:sz="4" w:space="0" w:color="auto"/>
              <w:bottom w:val="single" w:sz="4" w:space="0" w:color="auto"/>
              <w:right w:val="single" w:sz="4" w:space="0" w:color="auto"/>
            </w:tcBorders>
            <w:vAlign w:val="center"/>
            <w:hideMark/>
          </w:tcPr>
          <w:p w14:paraId="3A7B31F4" w14:textId="06ED594B" w:rsidR="00F404FB" w:rsidRPr="00F404FB" w:rsidRDefault="00F404FB" w:rsidP="00C575C8">
            <w:pPr>
              <w:pStyle w:val="ListParagraph"/>
              <w:numPr>
                <w:ilvl w:val="0"/>
                <w:numId w:val="40"/>
              </w:numPr>
              <w:spacing w:line="240" w:lineRule="auto"/>
              <w:rPr>
                <w:color w:val="000000"/>
              </w:rPr>
            </w:pPr>
            <w:r w:rsidRPr="00F404FB">
              <w:rPr>
                <w:color w:val="000000"/>
              </w:rPr>
              <w:t>Provide TA in developing an RFP for SE training to SVRA staff and providers</w:t>
            </w:r>
          </w:p>
        </w:tc>
        <w:tc>
          <w:tcPr>
            <w:tcW w:w="2500" w:type="pct"/>
            <w:tcBorders>
              <w:top w:val="single" w:sz="4" w:space="0" w:color="auto"/>
              <w:left w:val="single" w:sz="4" w:space="0" w:color="auto"/>
              <w:bottom w:val="single" w:sz="4" w:space="0" w:color="auto"/>
              <w:right w:val="single" w:sz="4" w:space="0" w:color="auto"/>
            </w:tcBorders>
            <w:vAlign w:val="center"/>
            <w:hideMark/>
          </w:tcPr>
          <w:p w14:paraId="233820EE" w14:textId="77777777" w:rsidR="00F404FB" w:rsidRDefault="00F404FB" w:rsidP="00C575C8">
            <w:pPr>
              <w:pStyle w:val="ListParagraph"/>
              <w:numPr>
                <w:ilvl w:val="0"/>
                <w:numId w:val="38"/>
              </w:numPr>
              <w:spacing w:line="240" w:lineRule="auto"/>
              <w:ind w:left="340"/>
              <w:rPr>
                <w:color w:val="000000"/>
              </w:rPr>
            </w:pPr>
            <w:r>
              <w:rPr>
                <w:color w:val="000000"/>
              </w:rPr>
              <w:t>Completed RFP</w:t>
            </w:r>
          </w:p>
        </w:tc>
      </w:tr>
      <w:tr w:rsidR="00F404FB" w14:paraId="694EDD0C" w14:textId="77777777" w:rsidTr="00F404FB">
        <w:trPr>
          <w:trHeight w:val="20"/>
        </w:trPr>
        <w:tc>
          <w:tcPr>
            <w:tcW w:w="2500" w:type="pct"/>
            <w:tcBorders>
              <w:top w:val="single" w:sz="4" w:space="0" w:color="auto"/>
              <w:left w:val="single" w:sz="4" w:space="0" w:color="auto"/>
              <w:bottom w:val="single" w:sz="4" w:space="0" w:color="auto"/>
              <w:right w:val="single" w:sz="4" w:space="0" w:color="auto"/>
            </w:tcBorders>
            <w:vAlign w:val="center"/>
            <w:hideMark/>
          </w:tcPr>
          <w:p w14:paraId="20E86A5C" w14:textId="77777777" w:rsidR="00F404FB" w:rsidRPr="00F404FB" w:rsidRDefault="00F404FB" w:rsidP="00C575C8">
            <w:pPr>
              <w:pStyle w:val="ListParagraph"/>
              <w:numPr>
                <w:ilvl w:val="0"/>
                <w:numId w:val="40"/>
              </w:numPr>
              <w:spacing w:line="240" w:lineRule="auto"/>
              <w:rPr>
                <w:rFonts w:ascii="Calibri" w:eastAsia="Calibri" w:hAnsi="Calibri" w:cs="Times New Roman"/>
              </w:rPr>
            </w:pPr>
            <w:r w:rsidRPr="00F404FB">
              <w:rPr>
                <w:rFonts w:ascii="Calibri" w:eastAsia="Calibri" w:hAnsi="Calibri" w:cs="Times New Roman"/>
              </w:rPr>
              <w:t>Develop new and/or review existing documentation  fee structures for the provision of Supported Employment</w:t>
            </w:r>
          </w:p>
        </w:tc>
        <w:tc>
          <w:tcPr>
            <w:tcW w:w="2500" w:type="pct"/>
            <w:tcBorders>
              <w:top w:val="single" w:sz="4" w:space="0" w:color="auto"/>
              <w:left w:val="nil"/>
              <w:bottom w:val="single" w:sz="4" w:space="0" w:color="auto"/>
              <w:right w:val="single" w:sz="4" w:space="0" w:color="auto"/>
            </w:tcBorders>
            <w:vAlign w:val="center"/>
            <w:hideMark/>
          </w:tcPr>
          <w:p w14:paraId="0F451BF9" w14:textId="77777777" w:rsidR="00F404FB" w:rsidRDefault="00F404FB" w:rsidP="00C575C8">
            <w:pPr>
              <w:pStyle w:val="ListParagraph"/>
              <w:numPr>
                <w:ilvl w:val="0"/>
                <w:numId w:val="38"/>
              </w:numPr>
              <w:spacing w:line="240" w:lineRule="auto"/>
              <w:ind w:left="340"/>
              <w:rPr>
                <w:rFonts w:ascii="Calibri" w:eastAsia="Calibri" w:hAnsi="Calibri" w:cs="Times New Roman"/>
              </w:rPr>
            </w:pPr>
            <w:r>
              <w:rPr>
                <w:rFonts w:ascii="Calibri" w:eastAsia="Calibri" w:hAnsi="Calibri" w:cs="Times New Roman"/>
              </w:rPr>
              <w:t>New or revised draft Fee Structures that meet RSA standards</w:t>
            </w:r>
          </w:p>
        </w:tc>
        <w:bookmarkEnd w:id="120"/>
      </w:tr>
      <w:tr w:rsidR="00F404FB" w14:paraId="799C08A2" w14:textId="77777777" w:rsidTr="00F404FB">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182FB0A" w14:textId="77777777" w:rsidR="00F404FB" w:rsidRDefault="00F404FB" w:rsidP="008A190D">
            <w:pPr>
              <w:spacing w:line="240" w:lineRule="auto"/>
              <w:ind w:hanging="31"/>
              <w:jc w:val="center"/>
              <w:rPr>
                <w:rFonts w:ascii="Calibri" w:eastAsia="Calibri" w:hAnsi="Calibri" w:cs="Times New Roman"/>
                <w:b/>
              </w:rPr>
            </w:pPr>
            <w:r>
              <w:rPr>
                <w:rFonts w:ascii="Calibri" w:eastAsia="Calibri" w:hAnsi="Calibri" w:cs="Times New Roman"/>
                <w:b/>
              </w:rPr>
              <w:t>Short-Term Outcome</w:t>
            </w:r>
          </w:p>
          <w:p w14:paraId="68E574C3" w14:textId="77777777" w:rsidR="00F404FB" w:rsidRDefault="00F404FB" w:rsidP="00C575C8">
            <w:pPr>
              <w:numPr>
                <w:ilvl w:val="0"/>
                <w:numId w:val="39"/>
              </w:numPr>
              <w:spacing w:after="0" w:line="240" w:lineRule="auto"/>
              <w:contextualSpacing/>
              <w:rPr>
                <w:rFonts w:ascii="Calibri" w:eastAsia="Calibri" w:hAnsi="Calibri" w:cs="Times New Roman"/>
              </w:rPr>
            </w:pPr>
            <w:r>
              <w:rPr>
                <w:rFonts w:ascii="Calibri" w:eastAsia="Calibri" w:hAnsi="Calibri" w:cs="Times New Roman"/>
              </w:rPr>
              <w:t>____% increase in the number of qualified/certified SE providers</w:t>
            </w:r>
          </w:p>
          <w:p w14:paraId="45BD5DA4" w14:textId="77777777" w:rsidR="00F404FB" w:rsidRDefault="00F404FB" w:rsidP="00C575C8">
            <w:pPr>
              <w:numPr>
                <w:ilvl w:val="0"/>
                <w:numId w:val="39"/>
              </w:numPr>
              <w:spacing w:after="0" w:line="240" w:lineRule="auto"/>
              <w:contextualSpacing/>
              <w:rPr>
                <w:rFonts w:ascii="Calibri" w:eastAsia="Calibri" w:hAnsi="Calibri" w:cs="Times New Roman"/>
              </w:rPr>
            </w:pPr>
            <w:r>
              <w:rPr>
                <w:rFonts w:ascii="Calibri" w:eastAsia="Calibri" w:hAnsi="Calibri" w:cs="Times New Roman"/>
              </w:rPr>
              <w:t>____% increase in the number of individuals receiving SE Services</w:t>
            </w:r>
          </w:p>
          <w:p w14:paraId="0CBE3FA3" w14:textId="77777777" w:rsidR="00F404FB" w:rsidRDefault="00F404FB" w:rsidP="00C575C8">
            <w:pPr>
              <w:pStyle w:val="ListParagraph"/>
              <w:numPr>
                <w:ilvl w:val="0"/>
                <w:numId w:val="39"/>
              </w:numPr>
              <w:spacing w:line="256" w:lineRule="auto"/>
              <w:rPr>
                <w:rFonts w:ascii="Calibri" w:eastAsia="Calibri" w:hAnsi="Calibri"/>
              </w:rPr>
            </w:pPr>
            <w:r>
              <w:rPr>
                <w:rFonts w:ascii="Calibri" w:eastAsia="Calibri" w:hAnsi="Calibri"/>
              </w:rPr>
              <w:t xml:space="preserve"> ____% in the number of successful outcomes for individuals receiving SE services </w:t>
            </w:r>
          </w:p>
        </w:tc>
      </w:tr>
    </w:tbl>
    <w:p w14:paraId="49AB4384" w14:textId="242F8084" w:rsidR="00F404FB" w:rsidRDefault="00F404FB" w:rsidP="00F404FB">
      <w:pPr>
        <w:spacing w:after="120"/>
        <w:ind w:firstLine="0"/>
      </w:pPr>
      <w:r>
        <w:br w:type="page"/>
      </w:r>
    </w:p>
    <w:p w14:paraId="52516E6C" w14:textId="5D18444B" w:rsidR="00F404FB" w:rsidRPr="00F404FB" w:rsidRDefault="00F404FB" w:rsidP="00F404FB">
      <w:pPr>
        <w:pStyle w:val="Heading2"/>
        <w:ind w:hanging="630"/>
      </w:pPr>
      <w:bookmarkStart w:id="121" w:name="_Toc41940245"/>
      <w:r w:rsidRPr="00F404FB">
        <w:lastRenderedPageBreak/>
        <w:t>Supported Employment: Activities &amp; Outputs Progress Dashboards</w:t>
      </w:r>
      <w:bookmarkEnd w:id="121"/>
    </w:p>
    <w:p w14:paraId="5F6155FA" w14:textId="77777777" w:rsidR="00257E45" w:rsidRDefault="00257E45" w:rsidP="00F404FB">
      <w:pPr>
        <w:tabs>
          <w:tab w:val="left" w:pos="360"/>
        </w:tabs>
        <w:ind w:firstLine="0"/>
        <w:rPr>
          <w:szCs w:val="14"/>
        </w:rPr>
      </w:pPr>
    </w:p>
    <w:p w14:paraId="4A49EF6D" w14:textId="28805C4A" w:rsidR="00F404FB" w:rsidRDefault="00F404FB" w:rsidP="00F404FB">
      <w:pPr>
        <w:tabs>
          <w:tab w:val="left" w:pos="360"/>
        </w:tabs>
        <w:ind w:firstLine="0"/>
        <w:rPr>
          <w:szCs w:val="14"/>
        </w:rPr>
      </w:pPr>
      <w:r>
        <w:rPr>
          <w:noProof/>
          <w:lang w:eastAsia="ko-KR"/>
        </w:rPr>
        <w:drawing>
          <wp:inline distT="0" distB="0" distL="0" distR="0" wp14:anchorId="2739EC0E" wp14:editId="332B60F7">
            <wp:extent cx="5943600" cy="2463165"/>
            <wp:effectExtent l="0" t="0" r="0" b="0"/>
            <wp:docPr id="92" name="Picture 92" descr="Progress Supported Employment Activities showing 50% complete">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301">
                      <a:extLst>
                        <a:ext uri="{28A0092B-C50C-407E-A947-70E740481C1C}">
                          <a14:useLocalDpi xmlns:a14="http://schemas.microsoft.com/office/drawing/2010/main"/>
                        </a:ext>
                      </a:extLst>
                    </a:blip>
                    <a:srcRect/>
                    <a:stretch>
                      <a:fillRect/>
                    </a:stretch>
                  </pic:blipFill>
                  <pic:spPr bwMode="auto">
                    <a:xfrm>
                      <a:off x="0" y="0"/>
                      <a:ext cx="5943600" cy="2463165"/>
                    </a:xfrm>
                    <a:prstGeom prst="rect">
                      <a:avLst/>
                    </a:prstGeom>
                    <a:noFill/>
                    <a:ln>
                      <a:noFill/>
                    </a:ln>
                  </pic:spPr>
                </pic:pic>
              </a:graphicData>
            </a:graphic>
          </wp:inline>
        </w:drawing>
      </w:r>
    </w:p>
    <w:p w14:paraId="04AA0EEE" w14:textId="2E820C8B" w:rsidR="00F404FB" w:rsidRPr="00F404FB" w:rsidRDefault="00F404FB" w:rsidP="00F404FB">
      <w:pPr>
        <w:tabs>
          <w:tab w:val="left" w:pos="360"/>
        </w:tabs>
        <w:rPr>
          <w:szCs w:val="14"/>
        </w:rPr>
      </w:pPr>
      <w:r>
        <w:rPr>
          <w:szCs w:val="14"/>
        </w:rPr>
        <w:t>Across the topic area of “CIE: Supported Employment” we see that all ITAA activites are nearing or have reached completion (with completion rates of 90% or more).</w:t>
      </w:r>
    </w:p>
    <w:p w14:paraId="0B0B8639" w14:textId="77777777" w:rsidR="00F404FB" w:rsidRDefault="00F404FB" w:rsidP="00F404FB">
      <w:pPr>
        <w:spacing w:after="0"/>
        <w:rPr>
          <w:b/>
          <w:color w:val="FF0000"/>
        </w:rPr>
        <w:sectPr w:rsidR="00F404FB">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sectPr>
      </w:pPr>
      <w:r>
        <w:rPr>
          <w:b/>
          <w:color w:val="FF0000"/>
        </w:rPr>
        <w:br w:type="page"/>
      </w:r>
    </w:p>
    <w:p w14:paraId="4197B1A2" w14:textId="15B27A4F" w:rsidR="00F404FB" w:rsidRDefault="004E4615" w:rsidP="004E4615">
      <w:pPr>
        <w:pStyle w:val="Heading2"/>
      </w:pPr>
      <w:bookmarkStart w:id="122" w:name="_Toc41940246"/>
      <w:r w:rsidRPr="004E4615">
        <w:lastRenderedPageBreak/>
        <w:t>Progress By Activity/Output</w:t>
      </w:r>
      <w:r>
        <w:t xml:space="preserve"> </w:t>
      </w:r>
      <w:r w:rsidRPr="004E4615">
        <w:t>C</w:t>
      </w:r>
      <w:r>
        <w:t>IE</w:t>
      </w:r>
      <w:r w:rsidRPr="004E4615">
        <w:t>: Supported Employment</w:t>
      </w:r>
      <w:bookmarkEnd w:id="122"/>
    </w:p>
    <w:p w14:paraId="738670C3" w14:textId="77777777" w:rsidR="00F404FB" w:rsidRDefault="00F404FB" w:rsidP="00F404FB">
      <w:pPr>
        <w:tabs>
          <w:tab w:val="left" w:pos="360"/>
        </w:tabs>
        <w:spacing w:after="0"/>
        <w:rPr>
          <w:rFonts w:cstheme="minorHAnsi"/>
        </w:rPr>
      </w:pPr>
      <w:r>
        <w:rPr>
          <w:rFonts w:cstheme="minorHAnsi"/>
        </w:rPr>
        <w:tab/>
        <w:t>The thermometer graphics show that the above overall progress rates in this instance are accounted for by one activity and one output, distributed across two SVRAs. For one, the activity and output are 100% complete and for the other SVRA the activity and output are both 90% complete. No SVRAs are currently requesting WINTAC intensive TA in other logic model activity areas.</w:t>
      </w:r>
    </w:p>
    <w:p w14:paraId="07A0CBAD" w14:textId="77777777" w:rsidR="00F404FB" w:rsidRDefault="00F404FB" w:rsidP="00F404FB">
      <w:pPr>
        <w:spacing w:after="0"/>
        <w:rPr>
          <w:rFonts w:cstheme="minorHAnsi"/>
        </w:rPr>
        <w:sectPr w:rsidR="00F404FB">
          <w:type w:val="continuous"/>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sectPr>
      </w:pPr>
    </w:p>
    <w:p w14:paraId="3EB24F70" w14:textId="77777777" w:rsidR="00F404FB" w:rsidRDefault="00F404FB" w:rsidP="00F404FB">
      <w:pPr>
        <w:spacing w:after="0" w:line="240" w:lineRule="auto"/>
        <w:rPr>
          <w:rFonts w:cstheme="minorHAnsi"/>
        </w:rPr>
      </w:pPr>
    </w:p>
    <w:p w14:paraId="599E603D" w14:textId="77777777" w:rsidR="00F404FB" w:rsidRDefault="00F404FB" w:rsidP="00F404FB">
      <w:pPr>
        <w:spacing w:after="0"/>
        <w:rPr>
          <w:sz w:val="36"/>
          <w:szCs w:val="36"/>
        </w:rPr>
        <w:sectPr w:rsidR="00F404FB">
          <w:type w:val="continuous"/>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sectPr>
      </w:pPr>
    </w:p>
    <w:p w14:paraId="2BDEFB39" w14:textId="4A591EDE" w:rsidR="00F404FB" w:rsidRDefault="00F404FB" w:rsidP="004E4615">
      <w:pPr>
        <w:tabs>
          <w:tab w:val="left" w:pos="360"/>
        </w:tabs>
        <w:ind w:firstLine="0"/>
        <w:jc w:val="center"/>
        <w:rPr>
          <w:sz w:val="36"/>
          <w:szCs w:val="36"/>
        </w:rPr>
      </w:pPr>
      <w:r>
        <w:rPr>
          <w:sz w:val="36"/>
          <w:szCs w:val="36"/>
        </w:rPr>
        <w:t>Activity 2</w:t>
      </w:r>
      <w:r>
        <w:rPr>
          <w:szCs w:val="14"/>
        </w:rPr>
        <w:br/>
      </w:r>
      <w:r>
        <w:rPr>
          <w:noProof/>
          <w:lang w:eastAsia="ko-KR"/>
        </w:rPr>
        <w:drawing>
          <wp:inline distT="0" distB="0" distL="0" distR="0" wp14:anchorId="7421A016" wp14:editId="232A62F8">
            <wp:extent cx="1666875" cy="5200650"/>
            <wp:effectExtent l="0" t="0" r="9525" b="0"/>
            <wp:docPr id="91" name="Picture 91" descr="Activity &amp; Outputs Progress 2">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2">
                      <a:extLst>
                        <a:ext uri="{28A0092B-C50C-407E-A947-70E740481C1C}">
                          <a14:useLocalDpi xmlns:a14="http://schemas.microsoft.com/office/drawing/2010/main"/>
                        </a:ext>
                      </a:extLst>
                    </a:blip>
                    <a:srcRect/>
                    <a:stretch>
                      <a:fillRect/>
                    </a:stretch>
                  </pic:blipFill>
                  <pic:spPr bwMode="auto">
                    <a:xfrm>
                      <a:off x="0" y="0"/>
                      <a:ext cx="1666875" cy="5200650"/>
                    </a:xfrm>
                    <a:prstGeom prst="rect">
                      <a:avLst/>
                    </a:prstGeom>
                    <a:noFill/>
                    <a:ln>
                      <a:noFill/>
                    </a:ln>
                  </pic:spPr>
                </pic:pic>
              </a:graphicData>
            </a:graphic>
          </wp:inline>
        </w:drawing>
      </w:r>
      <w:r>
        <w:rPr>
          <w:sz w:val="36"/>
          <w:szCs w:val="36"/>
        </w:rPr>
        <w:br/>
      </w:r>
      <w:r>
        <w:rPr>
          <w:noProof/>
          <w:lang w:eastAsia="ko-KR"/>
        </w:rPr>
        <w:drawing>
          <wp:inline distT="0" distB="0" distL="0" distR="0" wp14:anchorId="49076560" wp14:editId="76D7A33A">
            <wp:extent cx="2085975" cy="371475"/>
            <wp:effectExtent l="0" t="0" r="9525" b="9525"/>
            <wp:docPr id="90" name="Picture 90"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2085975" cy="371475"/>
                    </a:xfrm>
                    <a:prstGeom prst="rect">
                      <a:avLst/>
                    </a:prstGeom>
                    <a:noFill/>
                    <a:ln>
                      <a:noFill/>
                    </a:ln>
                  </pic:spPr>
                </pic:pic>
              </a:graphicData>
            </a:graphic>
          </wp:inline>
        </w:drawing>
      </w:r>
    </w:p>
    <w:p w14:paraId="2458853D" w14:textId="77777777" w:rsidR="00F404FB" w:rsidRDefault="00F404FB" w:rsidP="00F404FB">
      <w:pPr>
        <w:spacing w:after="0"/>
        <w:rPr>
          <w:sz w:val="36"/>
          <w:szCs w:val="36"/>
        </w:rPr>
        <w:sectPr w:rsidR="00F404FB">
          <w:type w:val="continuous"/>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sectPr>
      </w:pPr>
    </w:p>
    <w:p w14:paraId="72FC2C3B" w14:textId="77777777" w:rsidR="00F404FB" w:rsidRDefault="00F404FB" w:rsidP="00F404FB">
      <w:pPr>
        <w:spacing w:after="0" w:line="240" w:lineRule="auto"/>
        <w:rPr>
          <w:rFonts w:cstheme="minorHAnsi"/>
          <w:b/>
          <w:bCs/>
        </w:rPr>
        <w:sectPr w:rsidR="00F404FB">
          <w:type w:val="continuous"/>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sectPr>
      </w:pPr>
    </w:p>
    <w:p w14:paraId="4F39C0AE" w14:textId="77777777" w:rsidR="00F404FB" w:rsidRDefault="00F404FB" w:rsidP="004E4615">
      <w:pPr>
        <w:spacing w:after="0" w:line="240" w:lineRule="auto"/>
        <w:ind w:firstLine="0"/>
        <w:rPr>
          <w:rFonts w:cstheme="minorHAnsi"/>
        </w:rPr>
      </w:pPr>
      <w:r>
        <w:rPr>
          <w:rFonts w:cstheme="minorHAnsi"/>
          <w:b/>
          <w:bCs/>
        </w:rPr>
        <w:t>Activity 2:</w:t>
      </w:r>
      <w:r>
        <w:rPr>
          <w:rFonts w:cstheme="minorHAnsi"/>
        </w:rPr>
        <w:t xml:space="preserve"> Provide TA related to the development of MOUs with partner agencies as required by WIOA.</w:t>
      </w:r>
    </w:p>
    <w:p w14:paraId="75A1A6C1" w14:textId="77777777" w:rsidR="00F404FB" w:rsidRDefault="00F404FB" w:rsidP="004E4615">
      <w:pPr>
        <w:spacing w:after="0" w:line="240" w:lineRule="auto"/>
        <w:ind w:firstLine="0"/>
        <w:rPr>
          <w:rFonts w:cstheme="minorHAnsi"/>
        </w:rPr>
      </w:pPr>
      <w:r>
        <w:rPr>
          <w:rFonts w:cstheme="minorHAnsi"/>
          <w:b/>
          <w:bCs/>
        </w:rPr>
        <w:t>Output B:</w:t>
      </w:r>
      <w:r>
        <w:rPr>
          <w:rFonts w:cstheme="minorHAnsi"/>
        </w:rPr>
        <w:t xml:space="preserve"> Draft MOUs.</w:t>
      </w:r>
    </w:p>
    <w:p w14:paraId="55872842" w14:textId="77777777" w:rsidR="00F404FB" w:rsidRDefault="00F404FB" w:rsidP="00F404FB">
      <w:pPr>
        <w:spacing w:after="0"/>
        <w:rPr>
          <w:rFonts w:cstheme="minorHAnsi"/>
        </w:rPr>
        <w:sectPr w:rsidR="00F404FB">
          <w:type w:val="continuous"/>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sectPr>
      </w:pPr>
    </w:p>
    <w:p w14:paraId="0C9841DE" w14:textId="7EAFD655" w:rsidR="004E4615" w:rsidRDefault="004E4615" w:rsidP="004E4615">
      <w:pPr>
        <w:pStyle w:val="Heading2"/>
      </w:pPr>
      <w:bookmarkStart w:id="123" w:name="_Toc41940247"/>
      <w:r>
        <w:lastRenderedPageBreak/>
        <w:t>Supported Employment</w:t>
      </w:r>
      <w:r w:rsidRPr="009E708E">
        <w:t>:</w:t>
      </w:r>
      <w:r>
        <w:t xml:space="preserve"> Outcomes Progress Dashboards</w:t>
      </w:r>
      <w:bookmarkEnd w:id="123"/>
    </w:p>
    <w:p w14:paraId="298AE2EE" w14:textId="77777777" w:rsidR="00257E45" w:rsidRDefault="00257E45" w:rsidP="00F404FB">
      <w:pPr>
        <w:jc w:val="center"/>
      </w:pPr>
    </w:p>
    <w:p w14:paraId="3D20466A" w14:textId="20098D9F" w:rsidR="00F404FB" w:rsidRPr="00257E45" w:rsidRDefault="00F404FB" w:rsidP="00257E45">
      <w:pPr>
        <w:ind w:firstLine="0"/>
        <w:jc w:val="center"/>
      </w:pPr>
      <w:r>
        <w:rPr>
          <w:noProof/>
          <w:lang w:eastAsia="ko-KR"/>
        </w:rPr>
        <w:drawing>
          <wp:inline distT="0" distB="0" distL="0" distR="0" wp14:anchorId="3BC8F79B" wp14:editId="7A2C4087">
            <wp:extent cx="5448300" cy="3267075"/>
            <wp:effectExtent l="0" t="0" r="0" b="9525"/>
            <wp:docPr id="89" name="Picture 89" descr="Outcomes Progress speedometer showing 75% complete">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3">
                      <a:extLst>
                        <a:ext uri="{28A0092B-C50C-407E-A947-70E740481C1C}">
                          <a14:useLocalDpi xmlns:a14="http://schemas.microsoft.com/office/drawing/2010/main"/>
                        </a:ext>
                      </a:extLst>
                    </a:blip>
                    <a:srcRect/>
                    <a:stretch>
                      <a:fillRect/>
                    </a:stretch>
                  </pic:blipFill>
                  <pic:spPr bwMode="auto">
                    <a:xfrm>
                      <a:off x="0" y="0"/>
                      <a:ext cx="5448300" cy="3267075"/>
                    </a:xfrm>
                    <a:prstGeom prst="rect">
                      <a:avLst/>
                    </a:prstGeom>
                    <a:noFill/>
                    <a:ln>
                      <a:noFill/>
                    </a:ln>
                  </pic:spPr>
                </pic:pic>
              </a:graphicData>
            </a:graphic>
          </wp:inline>
        </w:drawing>
      </w:r>
    </w:p>
    <w:p w14:paraId="1A3A3391" w14:textId="77777777" w:rsidR="00F404FB" w:rsidRDefault="00F404FB" w:rsidP="00F404FB">
      <w:pPr>
        <w:tabs>
          <w:tab w:val="left" w:pos="360"/>
        </w:tabs>
        <w:spacing w:after="0"/>
        <w:ind w:firstLine="360"/>
      </w:pPr>
      <w:r>
        <w:t>This infographic shows that SE outcomes are fully (100%) achieved for one SVRA and halfway (50%) achieved for the other. The first instance represents an increase in services to consumers seeking SE as an alternative to sub-minimum wage employment. The second shows the objective of increasing SE service capacity to be 50% achieved.</w:t>
      </w:r>
    </w:p>
    <w:p w14:paraId="45D8FA19" w14:textId="77777777" w:rsidR="00F404FB" w:rsidRDefault="00F404FB" w:rsidP="00F404FB">
      <w:pPr>
        <w:tabs>
          <w:tab w:val="left" w:pos="360"/>
        </w:tabs>
        <w:spacing w:after="0"/>
        <w:ind w:firstLine="360"/>
      </w:pPr>
    </w:p>
    <w:p w14:paraId="6017B183" w14:textId="77777777" w:rsidR="007F756C" w:rsidRDefault="007F756C">
      <w:pPr>
        <w:ind w:firstLine="0"/>
        <w:rPr>
          <w:rFonts w:cstheme="minorHAnsi"/>
          <w:b/>
          <w:sz w:val="36"/>
        </w:rPr>
      </w:pPr>
      <w:bookmarkStart w:id="124" w:name="_Toc28011438"/>
      <w:bookmarkStart w:id="125" w:name="_Toc27904606"/>
      <w:bookmarkStart w:id="126" w:name="_Toc11010580"/>
      <w:bookmarkStart w:id="127" w:name="_Toc41940248"/>
      <w:r>
        <w:br w:type="page"/>
      </w:r>
    </w:p>
    <w:p w14:paraId="736B2047" w14:textId="5EEDB3CD" w:rsidR="00F404FB" w:rsidRPr="004E4615" w:rsidRDefault="004E4615" w:rsidP="004E4615">
      <w:pPr>
        <w:pStyle w:val="Heading2"/>
      </w:pPr>
      <w:r w:rsidRPr="004E4615">
        <w:lastRenderedPageBreak/>
        <w:t>C</w:t>
      </w:r>
      <w:r w:rsidR="006169BB">
        <w:t>IE</w:t>
      </w:r>
      <w:r w:rsidRPr="004E4615">
        <w:t>: Supported Employment</w:t>
      </w:r>
      <w:r>
        <w:t xml:space="preserve"> </w:t>
      </w:r>
      <w:r w:rsidRPr="004E4615">
        <w:t>Resources</w:t>
      </w:r>
      <w:bookmarkEnd w:id="124"/>
      <w:bookmarkEnd w:id="125"/>
      <w:bookmarkEnd w:id="126"/>
      <w:bookmarkEnd w:id="127"/>
    </w:p>
    <w:p w14:paraId="6FC22ABE" w14:textId="77777777" w:rsidR="00F404FB" w:rsidRDefault="00F404FB" w:rsidP="00F404FB">
      <w:pPr>
        <w:spacing w:before="240" w:after="240" w:line="240" w:lineRule="auto"/>
        <w:rPr>
          <w:rFonts w:eastAsia="Times New Roman" w:cstheme="minorHAnsi"/>
          <w:sz w:val="24"/>
          <w:szCs w:val="24"/>
        </w:rPr>
      </w:pPr>
      <w:r>
        <w:rPr>
          <w:rFonts w:eastAsia="Times New Roman" w:cstheme="minorHAnsi"/>
          <w:sz w:val="24"/>
          <w:szCs w:val="24"/>
        </w:rPr>
        <w:t>Available on the WINTAC website, the CIE/SE team has developed a number of resources to support TA and training and provide guidance to SVRAs as they meet their requirements for competitive integrated employment under WIOA:</w:t>
      </w:r>
    </w:p>
    <w:p w14:paraId="06EEAB0C" w14:textId="77777777" w:rsidR="00F404FB" w:rsidRDefault="0084664F" w:rsidP="00C575C8">
      <w:pPr>
        <w:numPr>
          <w:ilvl w:val="0"/>
          <w:numId w:val="37"/>
        </w:numPr>
        <w:spacing w:after="240" w:line="240" w:lineRule="auto"/>
        <w:rPr>
          <w:rFonts w:cstheme="minorHAnsi"/>
        </w:rPr>
      </w:pPr>
      <w:hyperlink r:id="rId304" w:tgtFrame="_blank" w:history="1">
        <w:r w:rsidR="00F404FB">
          <w:rPr>
            <w:rStyle w:val="Hyperlink"/>
            <w:rFonts w:cstheme="minorHAnsi"/>
            <w:szCs w:val="28"/>
          </w:rPr>
          <w:t>Supported Employment Quality Features</w:t>
        </w:r>
      </w:hyperlink>
      <w:r w:rsidR="00F404FB">
        <w:rPr>
          <w:rFonts w:cstheme="minorHAnsi"/>
          <w:szCs w:val="28"/>
        </w:rPr>
        <w:br/>
        <w:t xml:space="preserve">WINTAC, along with a wide variety of stakeholders with extensive supported employment experience developed the attached “Supported Employment Quality Features” document to identify and describe high quality features of supported employment as a guide for the universal application of these features across service delivery and training providers.  The intent of this document is to provide a consistent framework and detailed description of all the elements necessary to provide </w:t>
      </w:r>
      <w:r w:rsidR="00F404FB">
        <w:rPr>
          <w:rFonts w:cstheme="minorHAnsi"/>
        </w:rPr>
        <w:t>high quality supported employment services.</w:t>
      </w:r>
    </w:p>
    <w:p w14:paraId="0D248DC1" w14:textId="77777777" w:rsidR="00F404FB" w:rsidRDefault="0084664F" w:rsidP="00C575C8">
      <w:pPr>
        <w:pStyle w:val="ListParagraph"/>
        <w:numPr>
          <w:ilvl w:val="0"/>
          <w:numId w:val="37"/>
        </w:numPr>
        <w:shd w:val="clear" w:color="auto" w:fill="FFFFFF"/>
        <w:spacing w:after="240" w:line="240" w:lineRule="auto"/>
        <w:rPr>
          <w:rFonts w:eastAsia="Times New Roman" w:cstheme="minorHAnsi"/>
          <w:color w:val="333333"/>
        </w:rPr>
      </w:pPr>
      <w:hyperlink r:id="rId305" w:tgtFrame="_blank" w:history="1">
        <w:r w:rsidR="00F404FB">
          <w:rPr>
            <w:rStyle w:val="Hyperlink"/>
            <w:rFonts w:eastAsia="Times New Roman" w:cstheme="minorHAnsi"/>
          </w:rPr>
          <w:t>Supported Employment Core Features Checklist</w:t>
        </w:r>
      </w:hyperlink>
      <w:r w:rsidR="00F404FB">
        <w:rPr>
          <w:rFonts w:eastAsia="Times New Roman" w:cstheme="minorHAnsi"/>
          <w:color w:val="333333"/>
        </w:rPr>
        <w:br/>
        <w:t>This document is intended to provide a checklist based on the above “Supported Employment Quality Features” to assist VR agencies in evaluating SE services that are being provided by VR staff and/or contracted service providers. Audience: service providers and VR staff that oversee SE services.</w:t>
      </w:r>
    </w:p>
    <w:p w14:paraId="29CCF1D4" w14:textId="77777777" w:rsidR="00F404FB" w:rsidRDefault="0084664F" w:rsidP="00C575C8">
      <w:pPr>
        <w:pStyle w:val="ListParagraph"/>
        <w:numPr>
          <w:ilvl w:val="0"/>
          <w:numId w:val="37"/>
        </w:numPr>
        <w:shd w:val="clear" w:color="auto" w:fill="FFFFFF"/>
        <w:spacing w:after="240" w:line="240" w:lineRule="auto"/>
        <w:contextualSpacing w:val="0"/>
        <w:rPr>
          <w:rFonts w:eastAsia="Times New Roman" w:cstheme="minorHAnsi"/>
          <w:color w:val="333333"/>
        </w:rPr>
      </w:pPr>
      <w:hyperlink r:id="rId306" w:tgtFrame="_blank" w:history="1">
        <w:r w:rsidR="00F404FB">
          <w:rPr>
            <w:rStyle w:val="Hyperlink"/>
            <w:rFonts w:eastAsia="Times New Roman" w:cstheme="minorHAnsi"/>
          </w:rPr>
          <w:t>Essential Questions for Supported Employment Design</w:t>
        </w:r>
      </w:hyperlink>
      <w:r w:rsidR="00F404FB">
        <w:rPr>
          <w:rFonts w:eastAsia="Times New Roman" w:cstheme="minorHAnsi"/>
          <w:color w:val="333333"/>
        </w:rPr>
        <w:br/>
        <w:t>This document is intended to help VR agencies set up the framework for and effectively support quality supported employment (SE) services. It’s a companion document to the two referenced above. Audience: VR SE program managers-leadership.</w:t>
      </w:r>
    </w:p>
    <w:p w14:paraId="05A24548" w14:textId="77777777" w:rsidR="00F404FB" w:rsidRDefault="0084664F" w:rsidP="00C575C8">
      <w:pPr>
        <w:pStyle w:val="ListParagraph"/>
        <w:numPr>
          <w:ilvl w:val="0"/>
          <w:numId w:val="37"/>
        </w:numPr>
        <w:shd w:val="clear" w:color="auto" w:fill="FFFFFF"/>
        <w:spacing w:after="240" w:line="240" w:lineRule="auto"/>
        <w:contextualSpacing w:val="0"/>
        <w:rPr>
          <w:rFonts w:eastAsia="Times New Roman" w:cstheme="minorHAnsi"/>
          <w:color w:val="333333"/>
        </w:rPr>
      </w:pPr>
      <w:hyperlink r:id="rId307" w:tgtFrame="_blank" w:history="1">
        <w:r w:rsidR="00F404FB">
          <w:rPr>
            <w:rStyle w:val="Hyperlink"/>
            <w:rFonts w:eastAsia="Times New Roman" w:cstheme="minorHAnsi"/>
          </w:rPr>
          <w:t>Supported Employment Critical Policy and Definition Elements </w:t>
        </w:r>
      </w:hyperlink>
      <w:r w:rsidR="00F404FB">
        <w:rPr>
          <w:rFonts w:eastAsia="Times New Roman" w:cstheme="minorHAnsi"/>
          <w:color w:val="333333"/>
        </w:rPr>
        <w:br/>
        <w:t>is compiled from multiple resources such as WIOA Law, regulations, and RSA guidance to provide a comprehensive view of Supported Employment.</w:t>
      </w:r>
    </w:p>
    <w:p w14:paraId="242747EE" w14:textId="77777777" w:rsidR="00F404FB" w:rsidRDefault="0084664F" w:rsidP="00C575C8">
      <w:pPr>
        <w:numPr>
          <w:ilvl w:val="0"/>
          <w:numId w:val="37"/>
        </w:numPr>
        <w:spacing w:after="240" w:line="240" w:lineRule="auto"/>
        <w:rPr>
          <w:rFonts w:cstheme="minorHAnsi"/>
          <w:szCs w:val="28"/>
        </w:rPr>
      </w:pPr>
      <w:hyperlink r:id="rId308" w:tgtFrame="_blank" w:history="1">
        <w:r w:rsidR="00F404FB">
          <w:rPr>
            <w:rStyle w:val="Hyperlink"/>
            <w:rFonts w:cstheme="minorHAnsi"/>
            <w:szCs w:val="28"/>
          </w:rPr>
          <w:t>Oregon VR's presentation on changes to Supported Employment due to WIOA</w:t>
        </w:r>
      </w:hyperlink>
    </w:p>
    <w:p w14:paraId="11FF3C7F" w14:textId="77777777" w:rsidR="00F404FB" w:rsidRDefault="0084664F" w:rsidP="00C575C8">
      <w:pPr>
        <w:numPr>
          <w:ilvl w:val="0"/>
          <w:numId w:val="37"/>
        </w:numPr>
        <w:spacing w:after="240" w:line="240" w:lineRule="auto"/>
        <w:rPr>
          <w:rFonts w:cstheme="minorHAnsi"/>
          <w:szCs w:val="28"/>
        </w:rPr>
      </w:pPr>
      <w:hyperlink r:id="rId309" w:tgtFrame="_blank" w:history="1">
        <w:r w:rsidR="00F404FB">
          <w:rPr>
            <w:rStyle w:val="Hyperlink"/>
            <w:rFonts w:cstheme="minorHAnsi"/>
            <w:szCs w:val="28"/>
          </w:rPr>
          <w:t>Utah's SE Policy, Chapter 30</w:t>
        </w:r>
      </w:hyperlink>
      <w:r w:rsidR="00F404FB">
        <w:rPr>
          <w:rFonts w:cstheme="minorHAnsi"/>
          <w:szCs w:val="28"/>
        </w:rPr>
        <w:br/>
        <w:t>Utahs Client Service Manual, Chapter 30 on (SE) Supported Employment including policy, Definitions, and instructions on Individual Placement and Support, Community Rehabilitation Programs, and Job Coaching.</w:t>
      </w:r>
    </w:p>
    <w:p w14:paraId="07C08F1C" w14:textId="77777777" w:rsidR="00F404FB" w:rsidRDefault="0084664F" w:rsidP="00C575C8">
      <w:pPr>
        <w:numPr>
          <w:ilvl w:val="0"/>
          <w:numId w:val="37"/>
        </w:numPr>
        <w:spacing w:after="240" w:line="240" w:lineRule="auto"/>
        <w:rPr>
          <w:rFonts w:cstheme="minorHAnsi"/>
          <w:szCs w:val="28"/>
        </w:rPr>
      </w:pPr>
      <w:hyperlink r:id="rId310" w:tgtFrame="_blank" w:history="1">
        <w:r w:rsidR="00F404FB">
          <w:rPr>
            <w:rStyle w:val="Hyperlink"/>
            <w:rFonts w:cstheme="minorHAnsi"/>
            <w:szCs w:val="28"/>
          </w:rPr>
          <w:t>Utah SOR Chapter 30 Supported Employment Nov. 2016 Addendum</w:t>
        </w:r>
      </w:hyperlink>
    </w:p>
    <w:p w14:paraId="013ED6C7" w14:textId="77777777" w:rsidR="00F404FB" w:rsidRDefault="00F404FB" w:rsidP="00C575C8">
      <w:pPr>
        <w:numPr>
          <w:ilvl w:val="0"/>
          <w:numId w:val="37"/>
        </w:numPr>
        <w:spacing w:line="256" w:lineRule="auto"/>
        <w:rPr>
          <w:rFonts w:cstheme="minorHAnsi"/>
          <w:szCs w:val="28"/>
        </w:rPr>
      </w:pPr>
      <w:r>
        <w:rPr>
          <w:rFonts w:cstheme="minorHAnsi"/>
          <w:szCs w:val="28"/>
        </w:rPr>
        <w:t>The Hawaii VR agency developed a series of documents listed below to provide staff guidance regarding the implementation of Supported Employment under WIOA.</w:t>
      </w:r>
    </w:p>
    <w:p w14:paraId="62C24D35" w14:textId="77777777" w:rsidR="00F404FB" w:rsidRDefault="0084664F" w:rsidP="00C575C8">
      <w:pPr>
        <w:numPr>
          <w:ilvl w:val="1"/>
          <w:numId w:val="37"/>
        </w:numPr>
        <w:spacing w:line="256" w:lineRule="auto"/>
        <w:rPr>
          <w:rFonts w:cstheme="minorHAnsi"/>
          <w:szCs w:val="28"/>
        </w:rPr>
      </w:pPr>
      <w:hyperlink r:id="rId311" w:tgtFrame="_blank" w:history="1">
        <w:r w:rsidR="00F404FB">
          <w:rPr>
            <w:rStyle w:val="Hyperlink"/>
            <w:rFonts w:cstheme="minorHAnsi"/>
            <w:szCs w:val="28"/>
          </w:rPr>
          <w:t>Hawaii’s internal staff procedures for Supported Employment Part 1, SE Eligibility and Planning</w:t>
        </w:r>
      </w:hyperlink>
    </w:p>
    <w:p w14:paraId="5318DDF2" w14:textId="77777777" w:rsidR="00F404FB" w:rsidRDefault="0084664F" w:rsidP="00C575C8">
      <w:pPr>
        <w:numPr>
          <w:ilvl w:val="1"/>
          <w:numId w:val="37"/>
        </w:numPr>
        <w:spacing w:line="256" w:lineRule="auto"/>
        <w:rPr>
          <w:rFonts w:cstheme="minorHAnsi"/>
          <w:szCs w:val="28"/>
        </w:rPr>
      </w:pPr>
      <w:hyperlink r:id="rId312" w:tgtFrame="_blank" w:history="1">
        <w:r w:rsidR="00F404FB">
          <w:rPr>
            <w:rStyle w:val="Hyperlink"/>
            <w:rFonts w:cstheme="minorHAnsi"/>
            <w:szCs w:val="28"/>
          </w:rPr>
          <w:t>Hawaii’s internal staff procedures for Supported Employment" Part 2,SE Intensive Skills Training and Support</w:t>
        </w:r>
      </w:hyperlink>
    </w:p>
    <w:p w14:paraId="7C075D3C" w14:textId="77777777" w:rsidR="00F404FB" w:rsidRDefault="0084664F" w:rsidP="00C575C8">
      <w:pPr>
        <w:numPr>
          <w:ilvl w:val="1"/>
          <w:numId w:val="37"/>
        </w:numPr>
        <w:spacing w:line="256" w:lineRule="auto"/>
        <w:rPr>
          <w:rFonts w:cstheme="minorHAnsi"/>
          <w:szCs w:val="28"/>
        </w:rPr>
      </w:pPr>
      <w:hyperlink r:id="rId313" w:tgtFrame="_blank" w:history="1">
        <w:r w:rsidR="00F404FB">
          <w:rPr>
            <w:rStyle w:val="Hyperlink"/>
            <w:rFonts w:cstheme="minorHAnsi"/>
            <w:szCs w:val="28"/>
          </w:rPr>
          <w:t>Hawaii’s internal staff procedures for Supported Employment” Part 3, SE Extensive Services and Case Closures</w:t>
        </w:r>
      </w:hyperlink>
    </w:p>
    <w:p w14:paraId="4190BC36" w14:textId="77777777" w:rsidR="00F404FB" w:rsidRDefault="0084664F" w:rsidP="00C575C8">
      <w:pPr>
        <w:numPr>
          <w:ilvl w:val="1"/>
          <w:numId w:val="37"/>
        </w:numPr>
        <w:spacing w:line="256" w:lineRule="auto"/>
        <w:rPr>
          <w:rFonts w:cstheme="minorHAnsi"/>
          <w:szCs w:val="28"/>
        </w:rPr>
      </w:pPr>
      <w:hyperlink r:id="rId314" w:tgtFrame="_blank" w:history="1">
        <w:r w:rsidR="00F404FB">
          <w:rPr>
            <w:rStyle w:val="Hyperlink"/>
            <w:rFonts w:cstheme="minorHAnsi"/>
            <w:szCs w:val="28"/>
          </w:rPr>
          <w:t>Hawaii's internal staff procedures for Supported Employment, SE Checklist and Case Study</w:t>
        </w:r>
      </w:hyperlink>
    </w:p>
    <w:p w14:paraId="68912F5E" w14:textId="77777777" w:rsidR="00F404FB" w:rsidRDefault="0084664F" w:rsidP="00C575C8">
      <w:pPr>
        <w:numPr>
          <w:ilvl w:val="1"/>
          <w:numId w:val="37"/>
        </w:numPr>
        <w:spacing w:line="256" w:lineRule="auto"/>
        <w:rPr>
          <w:rStyle w:val="Hyperlink"/>
        </w:rPr>
      </w:pPr>
      <w:hyperlink r:id="rId315" w:tgtFrame="_blank" w:history="1">
        <w:r w:rsidR="00F404FB">
          <w:rPr>
            <w:rStyle w:val="Hyperlink"/>
            <w:rFonts w:cstheme="minorHAnsi"/>
            <w:szCs w:val="28"/>
          </w:rPr>
          <w:t>Hawaii's internal staff procedures for Supported Employment, SE Employment definitions and practice under WIOA</w:t>
        </w:r>
      </w:hyperlink>
    </w:p>
    <w:p w14:paraId="24D31B7E" w14:textId="77777777" w:rsidR="00F404FB" w:rsidRDefault="0084664F" w:rsidP="00C575C8">
      <w:pPr>
        <w:numPr>
          <w:ilvl w:val="1"/>
          <w:numId w:val="37"/>
        </w:numPr>
        <w:spacing w:line="256" w:lineRule="auto"/>
      </w:pPr>
      <w:hyperlink r:id="rId316" w:tgtFrame="_blank" w:history="1">
        <w:r w:rsidR="00F404FB">
          <w:rPr>
            <w:rStyle w:val="Hyperlink"/>
            <w:rFonts w:cstheme="minorHAnsi"/>
            <w:szCs w:val="28"/>
          </w:rPr>
          <w:t>Michigan Rehabilitation Services CIE Checklist</w:t>
        </w:r>
      </w:hyperlink>
    </w:p>
    <w:p w14:paraId="214AF34D" w14:textId="77777777" w:rsidR="00F72A9E" w:rsidRDefault="00F72A9E" w:rsidP="004E4615">
      <w:pPr>
        <w:pStyle w:val="Heading2"/>
      </w:pPr>
      <w:bookmarkStart w:id="128" w:name="_Toc41940249"/>
      <w:r>
        <w:br w:type="page"/>
      </w:r>
    </w:p>
    <w:p w14:paraId="71A364D8" w14:textId="04829997" w:rsidR="00F404FB" w:rsidRDefault="004E4615" w:rsidP="004E4615">
      <w:pPr>
        <w:pStyle w:val="Heading2"/>
      </w:pPr>
      <w:r>
        <w:lastRenderedPageBreak/>
        <w:t>CIE: Supported Employment: Progress Narrative</w:t>
      </w:r>
      <w:bookmarkEnd w:id="128"/>
    </w:p>
    <w:p w14:paraId="2460A3EA" w14:textId="0CCAAAFD" w:rsidR="00F404FB" w:rsidRDefault="00F404FB" w:rsidP="00F404FB">
      <w:pPr>
        <w:tabs>
          <w:tab w:val="left" w:pos="360"/>
        </w:tabs>
        <w:rPr>
          <w:b/>
          <w:color w:val="000000" w:themeColor="text1"/>
        </w:rPr>
      </w:pPr>
      <w:r>
        <w:t xml:space="preserve">WINTAC’s support to SVRAs in developing or solidifying their understanding and implementation of CIE, in particular relating to supported employment, has provided a foundation for several states to progress to a higher level of service involving performance and systems changes that they might not have been able to manage without this foundation. The focus of WINTAC’s assistance is to provide structure and guidance so states can develop, improve and sustain SE programs with fidelity and quality. The Supported Employment Quality Features document serves as a framework for this assistance. </w:t>
      </w:r>
      <w:r>
        <w:rPr>
          <w:color w:val="000000" w:themeColor="text1"/>
        </w:rPr>
        <w:t xml:space="preserve">WINTAC recently developed companion resources </w:t>
      </w:r>
      <w:r>
        <w:t>including a hands-on program design tool, a quality features checklist and policy guidance and definitions.</w:t>
      </w:r>
      <w:r>
        <w:rPr>
          <w:color w:val="FF0000"/>
        </w:rPr>
        <w:t xml:space="preserve"> </w:t>
      </w:r>
      <w:r>
        <w:t>A program analysis tool is under development to assist SVRAs to better understand and improve the</w:t>
      </w:r>
      <w:r>
        <w:rPr>
          <w:color w:val="000000" w:themeColor="text1"/>
        </w:rPr>
        <w:t xml:space="preserve"> quality of their supported employment services.</w:t>
      </w:r>
      <w:r>
        <w:t xml:space="preserve"> These tools combine to provide consistent program management and evaluation guidance that will stand the test of time.</w:t>
      </w:r>
    </w:p>
    <w:p w14:paraId="2A7CFBC9" w14:textId="560E62C2" w:rsidR="00F404FB" w:rsidRDefault="00F404FB" w:rsidP="00F404FB">
      <w:pPr>
        <w:tabs>
          <w:tab w:val="left" w:pos="360"/>
        </w:tabs>
      </w:pPr>
      <w:r>
        <w:rPr>
          <w:rFonts w:cstheme="minorHAnsi"/>
          <w:b/>
          <w:i/>
        </w:rPr>
        <w:t>TA Progress: Activities and Outputs</w:t>
      </w:r>
      <w:r>
        <w:rPr>
          <w:rFonts w:cstheme="minorHAnsi"/>
        </w:rPr>
        <w:t xml:space="preserve"> In terms of targeted TA, </w:t>
      </w:r>
      <w:r>
        <w:t xml:space="preserve">WINTAC </w:t>
      </w:r>
      <w:r>
        <w:rPr>
          <w:color w:val="000000" w:themeColor="text1"/>
        </w:rPr>
        <w:t xml:space="preserve">continues to facilitate a monthly </w:t>
      </w:r>
      <w:r>
        <w:t>Supported Employment Community of Practice (CoP) designed for participants to learn about and share approaches to SE policy and procedures consistent with WIOA and RSA requirements. CoP membership currently consists of 30 individuals from 22 states with approximately 8 states active and regularly attending those meetings.</w:t>
      </w:r>
    </w:p>
    <w:p w14:paraId="17D41534" w14:textId="00EF84D2" w:rsidR="00F404FB" w:rsidRDefault="00F404FB" w:rsidP="00F404FB">
      <w:pPr>
        <w:tabs>
          <w:tab w:val="left" w:pos="360"/>
        </w:tabs>
      </w:pPr>
      <w:r>
        <w:t>The number of SVRAS requesting intensive TA in this area has been reduced as a result of changing needs or completion of ITAA activities. At this time, WINTAC continues to work with two SVRAs on SE activities related to the development of MOUs as required by WIOA. These are reflected in the above thermometer charts showing all activities and outputs to be 90-100% complete. Activity related to the SE pilot in one SVRA – where the agency is revamping its entire program – is completed.</w:t>
      </w:r>
    </w:p>
    <w:p w14:paraId="3E3E34CC" w14:textId="7FC725AE" w:rsidR="00F404FB" w:rsidRDefault="00F404FB" w:rsidP="00F404FB">
      <w:pPr>
        <w:tabs>
          <w:tab w:val="left" w:pos="360"/>
        </w:tabs>
        <w:rPr>
          <w:rFonts w:cstheme="minorHAnsi"/>
        </w:rPr>
      </w:pPr>
      <w:r>
        <w:rPr>
          <w:rFonts w:cstheme="minorHAnsi"/>
          <w:b/>
          <w:i/>
        </w:rPr>
        <w:t xml:space="preserve">TA Progress: Outcomes </w:t>
      </w:r>
      <w:r>
        <w:rPr>
          <w:rFonts w:cstheme="minorHAnsi"/>
        </w:rPr>
        <w:t xml:space="preserve">As noted in the </w:t>
      </w:r>
      <w:r>
        <w:t>speedometer infographic above, SE outcomes for the two remaining ITAAs are fully (100%) achieved for one SVRA and halfway (50%) achieved for the other. The first instance represents an increase in services to consumers seeking SE as an alternative to sub-minimum wage employment. The second shows the projected outcome of increasing SE service capacity to be 50% achieved.</w:t>
      </w:r>
    </w:p>
    <w:p w14:paraId="737C45D5" w14:textId="15FD89AA" w:rsidR="00F404FB" w:rsidRDefault="00F404FB" w:rsidP="00F404FB">
      <w:pPr>
        <w:tabs>
          <w:tab w:val="left" w:pos="360"/>
        </w:tabs>
        <w:rPr>
          <w:rFonts w:cstheme="minorHAnsi"/>
        </w:rPr>
      </w:pPr>
      <w:r>
        <w:rPr>
          <w:rFonts w:cstheme="minorHAnsi"/>
          <w:b/>
          <w:i/>
        </w:rPr>
        <w:t xml:space="preserve">Sustainability </w:t>
      </w:r>
      <w:r>
        <w:rPr>
          <w:rFonts w:cstheme="minorHAnsi"/>
          <w:color w:val="000000" w:themeColor="text1"/>
        </w:rPr>
        <w:t>The WINTAC tools and other products listed above will be available to sustain current programs and support future efforts. Findings and recommendations from the successful SE pilot should be disseminated for consideration by other SVRAs interested in enhancing the capacity and quality of their SE programs. It will be important to ensure that all sustainability resources provide guidance for future programs or pilots to establish evaluation plans from the outset, including clearly articulated outcomes, baselines, measures and tracking processes and timetables.</w:t>
      </w:r>
    </w:p>
    <w:p w14:paraId="018FE06A" w14:textId="3A96EABE" w:rsidR="00F404FB" w:rsidRDefault="00F404FB" w:rsidP="00F404FB">
      <w:pPr>
        <w:tabs>
          <w:tab w:val="left" w:pos="360"/>
        </w:tabs>
        <w:rPr>
          <w:rFonts w:cstheme="minorHAnsi"/>
        </w:rPr>
      </w:pPr>
      <w:r>
        <w:rPr>
          <w:rFonts w:cstheme="minorHAnsi"/>
          <w:b/>
          <w:i/>
        </w:rPr>
        <w:t>Challenges Overcome</w:t>
      </w:r>
      <w:r>
        <w:rPr>
          <w:rFonts w:cstheme="minorHAnsi"/>
        </w:rPr>
        <w:t xml:space="preserve"> As noted, the number of SVRAs currently receiving intensive TA has diminished due to a shift in needs – in some cases this shift occurred because the SVRA’s objectives were accomplished. Most SVRAs originally requesting intensive technical assistance in this area identified unsatisfactory SE outcomes and program needs related to insufficient pay, training and quality control as areas to be addressed. The strategies and tools developed under WINTAC addressed these challenges by helping agencies build or reshape the fundamentals of their programs: agreements, fee structures, standards, policies and procedures. This infrastructure will help them – and other SVRAs – sustain solid SE programs and overcome further challenges going forward.</w:t>
      </w:r>
    </w:p>
    <w:p w14:paraId="07A0E282" w14:textId="4AB84667" w:rsidR="00F404FB" w:rsidRPr="00257E45" w:rsidRDefault="00F404FB" w:rsidP="00257E45">
      <w:r>
        <w:rPr>
          <w:rFonts w:cstheme="minorHAnsi"/>
          <w:b/>
          <w:i/>
        </w:rPr>
        <w:lastRenderedPageBreak/>
        <w:t>Changes Made</w:t>
      </w:r>
      <w:r>
        <w:rPr>
          <w:rFonts w:cstheme="minorHAnsi"/>
        </w:rPr>
        <w:t xml:space="preserve"> Earlier in the project, a large majority of respondents to a survey of TA recipients reported that WINTAC’s supported employment TA resulted in adoption of new policies and procedures, completion of related staff training and better informed CRPs. WINTAC supports enabled one SVRA to increase SE contractors by five with the expected result of increased referrals and outcomes. Another SVRA </w:t>
      </w:r>
      <w:r>
        <w:t>implementing a Supported Employment pilot saw a systems shift from a historic lack of collaboration with the DD agency – and resulting low enrollments – to a strong collaboration under the state’s Employment First Initiative and a 500% increase in placements, from 7 prior to the pilot, to 42 after pilot implementation. The pilot experienced led to SE expansion to all VR offices, creation of a statewide coordinator position, designation of specialized VRCs to work with mutual DD clients and development of guidance and tools for VR and DD staff. The SVRA is now receiving WINTAC support in developing a CE pilot projected to begin in August 2020.</w:t>
      </w:r>
    </w:p>
    <w:p w14:paraId="421E37D8" w14:textId="1A71ACEB" w:rsidR="00F404FB" w:rsidRDefault="00F404FB" w:rsidP="00257E45">
      <w:pPr>
        <w:rPr>
          <w:rFonts w:cstheme="minorHAnsi"/>
        </w:rPr>
      </w:pPr>
      <w:r>
        <w:t>In addition to intensive technical assistance it should be noted that WINTAC’s targeted TA with sixteen agencies to align their paperwork with WIOA requirements resulted in capacity-building measures (both VR and providers), greater clarity on regulations. Ultimately these changes were responsible for significant expansion of SE services, stronger commitment to service quality and improved data tracking.</w:t>
      </w:r>
    </w:p>
    <w:p w14:paraId="1C513BAA" w14:textId="77777777" w:rsidR="00F404FB" w:rsidRDefault="00F404FB" w:rsidP="00F404FB">
      <w:pPr>
        <w:tabs>
          <w:tab w:val="left" w:pos="360"/>
        </w:tabs>
        <w:jc w:val="center"/>
        <w:rPr>
          <w:rFonts w:cstheme="minorHAnsi"/>
          <w:b/>
          <w:i/>
        </w:rPr>
      </w:pPr>
      <w:r>
        <w:rPr>
          <w:rFonts w:cstheme="minorHAnsi"/>
          <w:b/>
          <w:i/>
        </w:rPr>
        <w:t>Sampling of Testimonials on the Supported Employment Technical Assistance Experience/Impact</w:t>
      </w:r>
    </w:p>
    <w:p w14:paraId="736AB0FC" w14:textId="653E2634" w:rsidR="00F404FB" w:rsidRDefault="00F404FB" w:rsidP="00F404FB">
      <w:pPr>
        <w:tabs>
          <w:tab w:val="left" w:pos="360"/>
        </w:tabs>
        <w:rPr>
          <w:rFonts w:cstheme="minorHAnsi"/>
        </w:rPr>
      </w:pPr>
      <w:r>
        <w:rPr>
          <w:noProof/>
          <w:lang w:eastAsia="ko-KR"/>
        </w:rPr>
        <mc:AlternateContent>
          <mc:Choice Requires="wps">
            <w:drawing>
              <wp:inline distT="0" distB="0" distL="0" distR="0" wp14:anchorId="7EDC0963" wp14:editId="4DC46563">
                <wp:extent cx="3416300" cy="1053465"/>
                <wp:effectExtent l="0" t="9525" r="3175" b="3810"/>
                <wp:docPr id="105" name="Freeform: Shape 105">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16300" cy="1053465"/>
                        </a:xfrm>
                        <a:custGeom>
                          <a:avLst/>
                          <a:gdLst>
                            <a:gd name="T0" fmla="*/ 0 w 3416300"/>
                            <a:gd name="T1" fmla="*/ 0 h 1053193"/>
                            <a:gd name="T2" fmla="*/ 3240764 w 3416300"/>
                            <a:gd name="T3" fmla="*/ 0 h 1053193"/>
                            <a:gd name="T4" fmla="*/ 3416300 w 3416300"/>
                            <a:gd name="T5" fmla="*/ 175536 h 1053193"/>
                            <a:gd name="T6" fmla="*/ 3416300 w 3416300"/>
                            <a:gd name="T7" fmla="*/ 1053193 h 1053193"/>
                            <a:gd name="T8" fmla="*/ 0 w 3416300"/>
                            <a:gd name="T9" fmla="*/ 1053193 h 1053193"/>
                            <a:gd name="T10" fmla="*/ 0 w 3416300"/>
                            <a:gd name="T11" fmla="*/ 0 h 1053193"/>
                            <a:gd name="T12" fmla="*/ 0 60000 65536"/>
                            <a:gd name="T13" fmla="*/ 0 60000 65536"/>
                            <a:gd name="T14" fmla="*/ 0 60000 65536"/>
                            <a:gd name="T15" fmla="*/ 0 60000 65536"/>
                            <a:gd name="T16" fmla="*/ 0 60000 65536"/>
                            <a:gd name="T17" fmla="*/ 0 60000 65536"/>
                            <a:gd name="T18" fmla="*/ 0 w 3416300"/>
                            <a:gd name="T19" fmla="*/ 0 h 1053193"/>
                            <a:gd name="T20" fmla="*/ 3416300 w 3416300"/>
                            <a:gd name="T21" fmla="*/ 1053193 h 1053193"/>
                          </a:gdLst>
                          <a:ahLst/>
                          <a:cxnLst>
                            <a:cxn ang="T12">
                              <a:pos x="T0" y="T1"/>
                            </a:cxn>
                            <a:cxn ang="T13">
                              <a:pos x="T2" y="T3"/>
                            </a:cxn>
                            <a:cxn ang="T14">
                              <a:pos x="T4" y="T5"/>
                            </a:cxn>
                            <a:cxn ang="T15">
                              <a:pos x="T6" y="T7"/>
                            </a:cxn>
                            <a:cxn ang="T16">
                              <a:pos x="T8" y="T9"/>
                            </a:cxn>
                            <a:cxn ang="T17">
                              <a:pos x="T10" y="T11"/>
                            </a:cxn>
                          </a:cxnLst>
                          <a:rect l="T18" t="T19" r="T20" b="T21"/>
                          <a:pathLst>
                            <a:path w="3416300" h="1053193">
                              <a:moveTo>
                                <a:pt x="0" y="0"/>
                              </a:moveTo>
                              <a:lnTo>
                                <a:pt x="3240764" y="0"/>
                              </a:lnTo>
                              <a:lnTo>
                                <a:pt x="3416300" y="175536"/>
                              </a:lnTo>
                              <a:lnTo>
                                <a:pt x="3416300" y="1053193"/>
                              </a:lnTo>
                              <a:lnTo>
                                <a:pt x="0" y="1053193"/>
                              </a:lnTo>
                              <a:lnTo>
                                <a:pt x="0" y="0"/>
                              </a:lnTo>
                              <a:close/>
                            </a:path>
                          </a:pathLst>
                        </a:custGeom>
                        <a:gradFill rotWithShape="1">
                          <a:gsLst>
                            <a:gs pos="0">
                              <a:srgbClr val="5D6D85"/>
                            </a:gs>
                            <a:gs pos="50000">
                              <a:srgbClr val="485972"/>
                            </a:gs>
                            <a:gs pos="100000">
                              <a:srgbClr val="334258"/>
                            </a:gs>
                          </a:gsLst>
                          <a:lin ang="5400000"/>
                        </a:gra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30EEB13" w14:textId="77777777" w:rsidR="0048500F" w:rsidRPr="004E4615" w:rsidRDefault="0048500F" w:rsidP="004E4615">
                            <w:pPr>
                              <w:spacing w:after="0" w:line="276" w:lineRule="auto"/>
                              <w:ind w:left="1080" w:firstLine="0"/>
                              <w:rPr>
                                <w:rFonts w:ascii="Times New Roman" w:hAnsi="Times New Roman" w:cs="Times New Roman"/>
                                <w:b/>
                                <w:bCs/>
                                <w:i/>
                                <w:iCs/>
                                <w:color w:val="FFFFFF" w:themeColor="background1"/>
                                <w:sz w:val="24"/>
                                <w:szCs w:val="24"/>
                              </w:rPr>
                            </w:pPr>
                            <w:r w:rsidRPr="004E4615">
                              <w:rPr>
                                <w:rFonts w:ascii="Times New Roman" w:hAnsi="Times New Roman" w:cs="Times New Roman"/>
                                <w:b/>
                                <w:bCs/>
                                <w:i/>
                                <w:iCs/>
                                <w:color w:val="FFFFFF" w:themeColor="background1"/>
                                <w:sz w:val="24"/>
                                <w:szCs w:val="24"/>
                              </w:rPr>
                              <w:t>Thank you for all of the great input and feedback. We did this in short order and [WINTAC team members] were very accessible.</w:t>
                            </w:r>
                          </w:p>
                        </w:txbxContent>
                      </wps:txbx>
                      <wps:bodyPr rot="0" vert="horz" wrap="square" lIns="137160" tIns="91440" rIns="91440" bIns="91440" anchor="t" anchorCtr="0" upright="1">
                        <a:noAutofit/>
                      </wps:bodyPr>
                    </wps:wsp>
                  </a:graphicData>
                </a:graphic>
              </wp:inline>
            </w:drawing>
          </mc:Choice>
          <mc:Fallback>
            <w:pict>
              <v:shape w14:anchorId="7EDC0963" id="Freeform: Shape 105" o:spid="_x0000_s1026" style="width:269pt;height:82.95pt;visibility:visible;mso-wrap-style:square;mso-left-percent:-10001;mso-top-percent:-10001;mso-position-horizontal:absolute;mso-position-horizontal-relative:char;mso-position-vertical:absolute;mso-position-vertical-relative:line;mso-left-percent:-10001;mso-top-percent:-10001;v-text-anchor:top" coordsize="3416300,105319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" adj="-11796480,,5400" path="m,l3240764,r175536,175536l3416300,1053193,,1053193,,xe" fillcolor="#5d6d85" stroked="f" strokeweight="1pt">
                <v:fill color2="#334258" rotate="t" colors="0 #5d6d85;.5 #485972;1 #334258" focus="100%" type="gradient">
                  <o:fill v:ext="view" type="gradientUnscaled"/>
                </v:fill>
                <v:stroke joinstyle="miter"/>
                <v:formulas/>
                <v:path arrowok="t" o:connecttype="custom" o:connectlocs="0,0;3240764,0;3416300,175581;3416300,1053465;0,1053465;0,0" o:connectangles="0,0,0,0,0,0" textboxrect="0,0,3416300,1053193"/>
                <v:textbox inset="10.8pt,7.2pt,,7.2pt">
                  <w:txbxContent>
                    <w:p w14:paraId="230EEB13" w14:textId="77777777" w:rsidR="0048500F" w:rsidRPr="004E4615" w:rsidRDefault="0048500F" w:rsidP="004E4615">
                      <w:pPr>
                        <w:spacing w:after="0" w:line="276" w:lineRule="auto"/>
                        <w:ind w:left="1080" w:firstLine="0"/>
                        <w:rPr>
                          <w:rFonts w:ascii="Times New Roman" w:hAnsi="Times New Roman" w:cs="Times New Roman"/>
                          <w:b/>
                          <w:bCs/>
                          <w:i/>
                          <w:iCs/>
                          <w:color w:val="FFFFFF" w:themeColor="background1"/>
                          <w:sz w:val="24"/>
                          <w:szCs w:val="24"/>
                        </w:rPr>
                      </w:pPr>
                      <w:r w:rsidRPr="004E4615">
                        <w:rPr>
                          <w:rFonts w:ascii="Times New Roman" w:hAnsi="Times New Roman" w:cs="Times New Roman"/>
                          <w:b/>
                          <w:bCs/>
                          <w:i/>
                          <w:iCs/>
                          <w:color w:val="FFFFFF" w:themeColor="background1"/>
                          <w:sz w:val="24"/>
                          <w:szCs w:val="24"/>
                        </w:rPr>
                        <w:t>Thank you for all of the great input and feedback. We did this in short order and [WINTAC team members] were very accessible.</w:t>
                      </w:r>
                    </w:p>
                  </w:txbxContent>
                </v:textbox>
                <w10:anchorlock/>
              </v:shape>
            </w:pict>
          </mc:Fallback>
        </mc:AlternateContent>
      </w:r>
    </w:p>
    <w:p w14:paraId="5F14B7A5" w14:textId="6DF5548D" w:rsidR="00F404FB" w:rsidRDefault="00F404FB" w:rsidP="00F404FB">
      <w:pPr>
        <w:tabs>
          <w:tab w:val="left" w:pos="360"/>
        </w:tabs>
        <w:jc w:val="right"/>
        <w:rPr>
          <w:rFonts w:cstheme="minorHAnsi"/>
        </w:rPr>
      </w:pPr>
      <w:r>
        <w:rPr>
          <w:noProof/>
          <w:lang w:eastAsia="ko-KR"/>
        </w:rPr>
        <mc:AlternateContent>
          <mc:Choice Requires="wps">
            <w:drawing>
              <wp:inline distT="0" distB="0" distL="0" distR="0" wp14:anchorId="5A6108E2" wp14:editId="4CAD62D5">
                <wp:extent cx="3902075" cy="1038225"/>
                <wp:effectExtent l="0" t="0" r="3175" b="9525"/>
                <wp:docPr id="104" name="Freeform: Shape 104">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02075" cy="1038225"/>
                        </a:xfrm>
                        <a:custGeom>
                          <a:avLst/>
                          <a:gdLst>
                            <a:gd name="T0" fmla="*/ 0 w 3416300"/>
                            <a:gd name="T1" fmla="*/ 0 h 1298121"/>
                            <a:gd name="T2" fmla="*/ 3199942 w 3416300"/>
                            <a:gd name="T3" fmla="*/ 0 h 1298121"/>
                            <a:gd name="T4" fmla="*/ 3416300 w 3416300"/>
                            <a:gd name="T5" fmla="*/ 216358 h 1298121"/>
                            <a:gd name="T6" fmla="*/ 3416300 w 3416300"/>
                            <a:gd name="T7" fmla="*/ 1298121 h 1298121"/>
                            <a:gd name="T8" fmla="*/ 0 w 3416300"/>
                            <a:gd name="T9" fmla="*/ 1298121 h 1298121"/>
                            <a:gd name="T10" fmla="*/ 0 w 3416300"/>
                            <a:gd name="T11" fmla="*/ 0 h 1298121"/>
                            <a:gd name="T12" fmla="*/ 0 60000 65536"/>
                            <a:gd name="T13" fmla="*/ 0 60000 65536"/>
                            <a:gd name="T14" fmla="*/ 0 60000 65536"/>
                            <a:gd name="T15" fmla="*/ 0 60000 65536"/>
                            <a:gd name="T16" fmla="*/ 0 60000 65536"/>
                            <a:gd name="T17" fmla="*/ 0 60000 65536"/>
                            <a:gd name="T18" fmla="*/ 0 w 3416300"/>
                            <a:gd name="T19" fmla="*/ 0 h 1298121"/>
                            <a:gd name="T20" fmla="*/ 3416300 w 3416300"/>
                            <a:gd name="T21" fmla="*/ 1298121 h 1298121"/>
                          </a:gdLst>
                          <a:ahLst/>
                          <a:cxnLst>
                            <a:cxn ang="T12">
                              <a:pos x="T0" y="T1"/>
                            </a:cxn>
                            <a:cxn ang="T13">
                              <a:pos x="T2" y="T3"/>
                            </a:cxn>
                            <a:cxn ang="T14">
                              <a:pos x="T4" y="T5"/>
                            </a:cxn>
                            <a:cxn ang="T15">
                              <a:pos x="T6" y="T7"/>
                            </a:cxn>
                            <a:cxn ang="T16">
                              <a:pos x="T8" y="T9"/>
                            </a:cxn>
                            <a:cxn ang="T17">
                              <a:pos x="T10" y="T11"/>
                            </a:cxn>
                          </a:cxnLst>
                          <a:rect l="T18" t="T19" r="T20" b="T21"/>
                          <a:pathLst>
                            <a:path w="3416300" h="1298121">
                              <a:moveTo>
                                <a:pt x="0" y="0"/>
                              </a:moveTo>
                              <a:lnTo>
                                <a:pt x="3199942" y="0"/>
                              </a:lnTo>
                              <a:lnTo>
                                <a:pt x="3416300" y="216358"/>
                              </a:lnTo>
                              <a:lnTo>
                                <a:pt x="3416300" y="1298121"/>
                              </a:lnTo>
                              <a:lnTo>
                                <a:pt x="0" y="1298121"/>
                              </a:lnTo>
                              <a:lnTo>
                                <a:pt x="0" y="0"/>
                              </a:lnTo>
                              <a:close/>
                            </a:path>
                          </a:pathLst>
                        </a:custGeom>
                        <a:gradFill rotWithShape="1">
                          <a:gsLst>
                            <a:gs pos="0">
                              <a:srgbClr val="5D6D85"/>
                            </a:gs>
                            <a:gs pos="50000">
                              <a:srgbClr val="485972"/>
                            </a:gs>
                            <a:gs pos="100000">
                              <a:srgbClr val="334258"/>
                            </a:gs>
                          </a:gsLst>
                          <a:lin ang="5400000"/>
                        </a:gra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1621003" w14:textId="77777777" w:rsidR="0048500F" w:rsidRPr="004E4615" w:rsidRDefault="0048500F" w:rsidP="004E4615">
                            <w:pPr>
                              <w:spacing w:after="0" w:line="276" w:lineRule="auto"/>
                              <w:ind w:left="1080" w:firstLine="0"/>
                              <w:rPr>
                                <w:rFonts w:ascii="Times New Roman" w:hAnsi="Times New Roman" w:cs="Times New Roman"/>
                                <w:b/>
                                <w:bCs/>
                                <w:i/>
                                <w:iCs/>
                                <w:color w:val="FFFFFF" w:themeColor="background1"/>
                                <w:sz w:val="28"/>
                                <w:szCs w:val="28"/>
                              </w:rPr>
                            </w:pPr>
                            <w:r w:rsidRPr="004E4615">
                              <w:rPr>
                                <w:rFonts w:ascii="Times New Roman" w:hAnsi="Times New Roman" w:cs="Times New Roman"/>
                                <w:b/>
                                <w:bCs/>
                                <w:i/>
                                <w:iCs/>
                                <w:color w:val="FFFFFF" w:themeColor="background1"/>
                                <w:sz w:val="24"/>
                                <w:szCs w:val="24"/>
                              </w:rPr>
                              <w:t>[As a result of WINTAC’s TA on SE policies and procedures] we have seen a significant increase in the number of SE job coaching hours to help individuals reach stability.</w:t>
                            </w:r>
                          </w:p>
                        </w:txbxContent>
                      </wps:txbx>
                      <wps:bodyPr rot="0" vert="horz" wrap="square" lIns="137160" tIns="91440" rIns="91440" bIns="91440" anchor="t" anchorCtr="0" upright="1">
                        <a:noAutofit/>
                      </wps:bodyPr>
                    </wps:wsp>
                  </a:graphicData>
                </a:graphic>
              </wp:inline>
            </w:drawing>
          </mc:Choice>
          <mc:Fallback>
            <w:pict>
              <v:shape w14:anchorId="5A6108E2" id="Freeform: Shape 104" o:spid="_x0000_s1027" style="width:307.25pt;height:81.75pt;visibility:visible;mso-wrap-style:square;mso-left-percent:-10001;mso-top-percent:-10001;mso-position-horizontal:absolute;mso-position-horizontal-relative:char;mso-position-vertical:absolute;mso-position-vertical-relative:line;mso-left-percent:-10001;mso-top-percent:-10001;v-text-anchor:top" coordsize="3416300,12981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" adj="-11796480,,5400" path="m,l3199942,r216358,216358l3416300,1298121,,1298121,,xe" fillcolor="#5d6d85" stroked="f" strokeweight="1pt">
                <v:fill color2="#334258" rotate="t" colors="0 #5d6d85;.5 #485972;1 #334258" focus="100%" type="gradient">
                  <o:fill v:ext="view" type="gradientUnscaled"/>
                </v:fill>
                <v:stroke joinstyle="miter"/>
                <v:formulas/>
                <v:path arrowok="t" o:connecttype="custom" o:connectlocs="0,0;3654952,0;3902075,173041;3902075,1038225;0,1038225;0,0" o:connectangles="0,0,0,0,0,0" textboxrect="0,0,3416300,1298121"/>
                <v:textbox inset="10.8pt,7.2pt,,7.2pt">
                  <w:txbxContent>
                    <w:p w14:paraId="21621003" w14:textId="77777777" w:rsidR="0048500F" w:rsidRPr="004E4615" w:rsidRDefault="0048500F" w:rsidP="004E4615">
                      <w:pPr>
                        <w:spacing w:after="0" w:line="276" w:lineRule="auto"/>
                        <w:ind w:left="1080" w:firstLine="0"/>
                        <w:rPr>
                          <w:rFonts w:ascii="Times New Roman" w:hAnsi="Times New Roman" w:cs="Times New Roman"/>
                          <w:b/>
                          <w:bCs/>
                          <w:i/>
                          <w:iCs/>
                          <w:color w:val="FFFFFF" w:themeColor="background1"/>
                          <w:sz w:val="28"/>
                          <w:szCs w:val="28"/>
                        </w:rPr>
                      </w:pPr>
                      <w:r w:rsidRPr="004E4615">
                        <w:rPr>
                          <w:rFonts w:ascii="Times New Roman" w:hAnsi="Times New Roman" w:cs="Times New Roman"/>
                          <w:b/>
                          <w:bCs/>
                          <w:i/>
                          <w:iCs/>
                          <w:color w:val="FFFFFF" w:themeColor="background1"/>
                          <w:sz w:val="24"/>
                          <w:szCs w:val="24"/>
                        </w:rPr>
                        <w:t>[As a result of WINTAC’s TA on SE policies and procedures] we have seen a significant increase in the number of SE job coaching hours to help individuals reach stability.</w:t>
                      </w:r>
                    </w:p>
                  </w:txbxContent>
                </v:textbox>
                <w10:anchorlock/>
              </v:shape>
            </w:pict>
          </mc:Fallback>
        </mc:AlternateContent>
      </w:r>
    </w:p>
    <w:p w14:paraId="38D617C6" w14:textId="21E39BD0" w:rsidR="00F404FB" w:rsidRDefault="00F404FB" w:rsidP="00F404FB">
      <w:pPr>
        <w:tabs>
          <w:tab w:val="left" w:pos="360"/>
        </w:tabs>
        <w:jc w:val="center"/>
        <w:rPr>
          <w:rFonts w:cstheme="minorHAnsi"/>
        </w:rPr>
      </w:pPr>
      <w:r>
        <w:rPr>
          <w:noProof/>
          <w:lang w:eastAsia="ko-KR"/>
        </w:rPr>
        <mc:AlternateContent>
          <mc:Choice Requires="wps">
            <w:drawing>
              <wp:inline distT="0" distB="0" distL="0" distR="0" wp14:anchorId="579EB1EC" wp14:editId="7B26376A">
                <wp:extent cx="3416300" cy="1118235"/>
                <wp:effectExtent l="0" t="9525" r="3175" b="5715"/>
                <wp:docPr id="103" name="Freeform: Shape 103">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16300" cy="1118235"/>
                        </a:xfrm>
                        <a:custGeom>
                          <a:avLst/>
                          <a:gdLst>
                            <a:gd name="T0" fmla="*/ 0 w 3416300"/>
                            <a:gd name="T1" fmla="*/ 0 h 1118507"/>
                            <a:gd name="T2" fmla="*/ 3229878 w 3416300"/>
                            <a:gd name="T3" fmla="*/ 0 h 1118507"/>
                            <a:gd name="T4" fmla="*/ 3416300 w 3416300"/>
                            <a:gd name="T5" fmla="*/ 186422 h 1118507"/>
                            <a:gd name="T6" fmla="*/ 3416300 w 3416300"/>
                            <a:gd name="T7" fmla="*/ 1118507 h 1118507"/>
                            <a:gd name="T8" fmla="*/ 0 w 3416300"/>
                            <a:gd name="T9" fmla="*/ 1118507 h 1118507"/>
                            <a:gd name="T10" fmla="*/ 0 w 3416300"/>
                            <a:gd name="T11" fmla="*/ 0 h 1118507"/>
                            <a:gd name="T12" fmla="*/ 0 60000 65536"/>
                            <a:gd name="T13" fmla="*/ 0 60000 65536"/>
                            <a:gd name="T14" fmla="*/ 0 60000 65536"/>
                            <a:gd name="T15" fmla="*/ 0 60000 65536"/>
                            <a:gd name="T16" fmla="*/ 0 60000 65536"/>
                            <a:gd name="T17" fmla="*/ 0 60000 65536"/>
                            <a:gd name="T18" fmla="*/ 0 w 3416300"/>
                            <a:gd name="T19" fmla="*/ 0 h 1118507"/>
                            <a:gd name="T20" fmla="*/ 3416300 w 3416300"/>
                            <a:gd name="T21" fmla="*/ 1118507 h 1118507"/>
                          </a:gdLst>
                          <a:ahLst/>
                          <a:cxnLst>
                            <a:cxn ang="T12">
                              <a:pos x="T0" y="T1"/>
                            </a:cxn>
                            <a:cxn ang="T13">
                              <a:pos x="T2" y="T3"/>
                            </a:cxn>
                            <a:cxn ang="T14">
                              <a:pos x="T4" y="T5"/>
                            </a:cxn>
                            <a:cxn ang="T15">
                              <a:pos x="T6" y="T7"/>
                            </a:cxn>
                            <a:cxn ang="T16">
                              <a:pos x="T8" y="T9"/>
                            </a:cxn>
                            <a:cxn ang="T17">
                              <a:pos x="T10" y="T11"/>
                            </a:cxn>
                          </a:cxnLst>
                          <a:rect l="T18" t="T19" r="T20" b="T21"/>
                          <a:pathLst>
                            <a:path w="3416300" h="1118507">
                              <a:moveTo>
                                <a:pt x="0" y="0"/>
                              </a:moveTo>
                              <a:lnTo>
                                <a:pt x="3229878" y="0"/>
                              </a:lnTo>
                              <a:lnTo>
                                <a:pt x="3416300" y="186422"/>
                              </a:lnTo>
                              <a:lnTo>
                                <a:pt x="3416300" y="1118507"/>
                              </a:lnTo>
                              <a:lnTo>
                                <a:pt x="0" y="1118507"/>
                              </a:lnTo>
                              <a:lnTo>
                                <a:pt x="0" y="0"/>
                              </a:lnTo>
                              <a:close/>
                            </a:path>
                          </a:pathLst>
                        </a:custGeom>
                        <a:gradFill rotWithShape="1">
                          <a:gsLst>
                            <a:gs pos="0">
                              <a:srgbClr val="5D6D85"/>
                            </a:gs>
                            <a:gs pos="50000">
                              <a:srgbClr val="485972"/>
                            </a:gs>
                            <a:gs pos="100000">
                              <a:srgbClr val="334258"/>
                            </a:gs>
                          </a:gsLst>
                          <a:lin ang="5400000"/>
                        </a:gra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6F6A1E30" w14:textId="77777777" w:rsidR="0048500F" w:rsidRPr="004E4615" w:rsidRDefault="0048500F" w:rsidP="004E4615">
                            <w:pPr>
                              <w:spacing w:after="0" w:line="276" w:lineRule="auto"/>
                              <w:ind w:left="1080" w:firstLine="0"/>
                              <w:rPr>
                                <w:rFonts w:ascii="Times New Roman" w:hAnsi="Times New Roman" w:cs="Times New Roman"/>
                                <w:b/>
                                <w:bCs/>
                                <w:i/>
                                <w:iCs/>
                                <w:color w:val="FFFFFF" w:themeColor="background1"/>
                                <w:sz w:val="24"/>
                                <w:szCs w:val="24"/>
                              </w:rPr>
                            </w:pPr>
                            <w:r w:rsidRPr="004E4615">
                              <w:rPr>
                                <w:rFonts w:ascii="Times New Roman" w:hAnsi="Times New Roman" w:cs="Times New Roman"/>
                                <w:b/>
                                <w:bCs/>
                                <w:i/>
                                <w:iCs/>
                                <w:color w:val="FFFFFF" w:themeColor="background1"/>
                                <w:sz w:val="24"/>
                                <w:szCs w:val="24"/>
                              </w:rPr>
                              <w:t>The information provided within the [Supported Employment Community of Practice] has been beneficial as we work through policy development.</w:t>
                            </w:r>
                          </w:p>
                        </w:txbxContent>
                      </wps:txbx>
                      <wps:bodyPr rot="0" vert="horz" wrap="square" lIns="137160" tIns="91440" rIns="91440" bIns="91440" anchor="t" anchorCtr="0" upright="1">
                        <a:noAutofit/>
                      </wps:bodyPr>
                    </wps:wsp>
                  </a:graphicData>
                </a:graphic>
              </wp:inline>
            </w:drawing>
          </mc:Choice>
          <mc:Fallback>
            <w:pict>
              <v:shape w14:anchorId="579EB1EC" id="Freeform: Shape 103" o:spid="_x0000_s1028" style="width:269pt;height:88.05pt;visibility:visible;mso-wrap-style:square;mso-left-percent:-10001;mso-top-percent:-10001;mso-position-horizontal:absolute;mso-position-horizontal-relative:char;mso-position-vertical:absolute;mso-position-vertical-relative:line;mso-left-percent:-10001;mso-top-percent:-10001;v-text-anchor:top" coordsize="3416300,111850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" adj="-11796480,,5400" path="m,l3229878,r186422,186422l3416300,1118507,,1118507,,xe" fillcolor="#5d6d85" stroked="f" strokeweight="1pt">
                <v:fill color2="#334258" rotate="t" colors="0 #5d6d85;.5 #485972;1 #334258" focus="100%" type="gradient">
                  <o:fill v:ext="view" type="gradientUnscaled"/>
                </v:fill>
                <v:stroke joinstyle="miter"/>
                <v:formulas/>
                <v:path arrowok="t" o:connecttype="custom" o:connectlocs="0,0;3229878,0;3416300,186377;3416300,1118235;0,1118235;0,0" o:connectangles="0,0,0,0,0,0" textboxrect="0,0,3416300,1118507"/>
                <v:textbox inset="10.8pt,7.2pt,,7.2pt">
                  <w:txbxContent>
                    <w:p w14:paraId="6F6A1E30" w14:textId="77777777" w:rsidR="0048500F" w:rsidRPr="004E4615" w:rsidRDefault="0048500F" w:rsidP="004E4615">
                      <w:pPr>
                        <w:spacing w:after="0" w:line="276" w:lineRule="auto"/>
                        <w:ind w:left="1080" w:firstLine="0"/>
                        <w:rPr>
                          <w:rFonts w:ascii="Times New Roman" w:hAnsi="Times New Roman" w:cs="Times New Roman"/>
                          <w:b/>
                          <w:bCs/>
                          <w:i/>
                          <w:iCs/>
                          <w:color w:val="FFFFFF" w:themeColor="background1"/>
                          <w:sz w:val="24"/>
                          <w:szCs w:val="24"/>
                        </w:rPr>
                      </w:pPr>
                      <w:r w:rsidRPr="004E4615">
                        <w:rPr>
                          <w:rFonts w:ascii="Times New Roman" w:hAnsi="Times New Roman" w:cs="Times New Roman"/>
                          <w:b/>
                          <w:bCs/>
                          <w:i/>
                          <w:iCs/>
                          <w:color w:val="FFFFFF" w:themeColor="background1"/>
                          <w:sz w:val="24"/>
                          <w:szCs w:val="24"/>
                        </w:rPr>
                        <w:t>The information provided within the [Supported Employment Community of Practice] has been beneficial as we work through policy development.</w:t>
                      </w:r>
                    </w:p>
                  </w:txbxContent>
                </v:textbox>
                <w10:anchorlock/>
              </v:shape>
            </w:pict>
          </mc:Fallback>
        </mc:AlternateContent>
      </w:r>
    </w:p>
    <w:p w14:paraId="085AD0D0" w14:textId="3A684420" w:rsidR="00F404FB" w:rsidRDefault="00F404FB" w:rsidP="00F404FB">
      <w:pPr>
        <w:tabs>
          <w:tab w:val="left" w:pos="360"/>
        </w:tabs>
        <w:rPr>
          <w:rFonts w:cstheme="minorHAnsi"/>
        </w:rPr>
      </w:pPr>
      <w:r>
        <w:rPr>
          <w:noProof/>
          <w:lang w:eastAsia="ko-KR"/>
        </w:rPr>
        <mc:AlternateContent>
          <mc:Choice Requires="wps">
            <w:drawing>
              <wp:inline distT="0" distB="0" distL="0" distR="0" wp14:anchorId="7E1C932E" wp14:editId="7233537D">
                <wp:extent cx="3416300" cy="847725"/>
                <wp:effectExtent l="0" t="0" r="0" b="9525"/>
                <wp:docPr id="102" name="Freeform: Shape 102">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16300" cy="847725"/>
                        </a:xfrm>
                        <a:custGeom>
                          <a:avLst/>
                          <a:gdLst>
                            <a:gd name="T0" fmla="*/ 0 w 3416300"/>
                            <a:gd name="T1" fmla="*/ 0 h 1069522"/>
                            <a:gd name="T2" fmla="*/ 3238043 w 3416300"/>
                            <a:gd name="T3" fmla="*/ 0 h 1069522"/>
                            <a:gd name="T4" fmla="*/ 3416300 w 3416300"/>
                            <a:gd name="T5" fmla="*/ 178257 h 1069522"/>
                            <a:gd name="T6" fmla="*/ 3416300 w 3416300"/>
                            <a:gd name="T7" fmla="*/ 1069522 h 1069522"/>
                            <a:gd name="T8" fmla="*/ 0 w 3416300"/>
                            <a:gd name="T9" fmla="*/ 1069522 h 1069522"/>
                            <a:gd name="T10" fmla="*/ 0 w 3416300"/>
                            <a:gd name="T11" fmla="*/ 0 h 1069522"/>
                            <a:gd name="T12" fmla="*/ 0 60000 65536"/>
                            <a:gd name="T13" fmla="*/ 0 60000 65536"/>
                            <a:gd name="T14" fmla="*/ 0 60000 65536"/>
                            <a:gd name="T15" fmla="*/ 0 60000 65536"/>
                            <a:gd name="T16" fmla="*/ 0 60000 65536"/>
                            <a:gd name="T17" fmla="*/ 0 60000 65536"/>
                            <a:gd name="T18" fmla="*/ 0 w 3416300"/>
                            <a:gd name="T19" fmla="*/ 0 h 1069522"/>
                            <a:gd name="T20" fmla="*/ 3416300 w 3416300"/>
                            <a:gd name="T21" fmla="*/ 1069522 h 1069522"/>
                          </a:gdLst>
                          <a:ahLst/>
                          <a:cxnLst>
                            <a:cxn ang="T12">
                              <a:pos x="T0" y="T1"/>
                            </a:cxn>
                            <a:cxn ang="T13">
                              <a:pos x="T2" y="T3"/>
                            </a:cxn>
                            <a:cxn ang="T14">
                              <a:pos x="T4" y="T5"/>
                            </a:cxn>
                            <a:cxn ang="T15">
                              <a:pos x="T6" y="T7"/>
                            </a:cxn>
                            <a:cxn ang="T16">
                              <a:pos x="T8" y="T9"/>
                            </a:cxn>
                            <a:cxn ang="T17">
                              <a:pos x="T10" y="T11"/>
                            </a:cxn>
                          </a:cxnLst>
                          <a:rect l="T18" t="T19" r="T20" b="T21"/>
                          <a:pathLst>
                            <a:path w="3416300" h="1069522">
                              <a:moveTo>
                                <a:pt x="0" y="0"/>
                              </a:moveTo>
                              <a:lnTo>
                                <a:pt x="3238043" y="0"/>
                              </a:lnTo>
                              <a:lnTo>
                                <a:pt x="3416300" y="178257"/>
                              </a:lnTo>
                              <a:lnTo>
                                <a:pt x="3416300" y="1069522"/>
                              </a:lnTo>
                              <a:lnTo>
                                <a:pt x="0" y="1069522"/>
                              </a:lnTo>
                              <a:lnTo>
                                <a:pt x="0" y="0"/>
                              </a:lnTo>
                              <a:close/>
                            </a:path>
                          </a:pathLst>
                        </a:custGeom>
                        <a:gradFill rotWithShape="1">
                          <a:gsLst>
                            <a:gs pos="0">
                              <a:srgbClr val="5D6D85"/>
                            </a:gs>
                            <a:gs pos="50000">
                              <a:srgbClr val="485972"/>
                            </a:gs>
                            <a:gs pos="100000">
                              <a:srgbClr val="334258"/>
                            </a:gs>
                          </a:gsLst>
                          <a:lin ang="5400000"/>
                        </a:gra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497C792" w14:textId="77777777" w:rsidR="0048500F" w:rsidRPr="004E4615" w:rsidRDefault="0048500F" w:rsidP="004E4615">
                            <w:pPr>
                              <w:spacing w:after="0" w:line="276" w:lineRule="auto"/>
                              <w:ind w:left="1080" w:firstLine="0"/>
                              <w:rPr>
                                <w:rFonts w:ascii="Times New Roman" w:hAnsi="Times New Roman" w:cs="Times New Roman"/>
                                <w:b/>
                                <w:bCs/>
                                <w:i/>
                                <w:iCs/>
                                <w:color w:val="FFFFFF" w:themeColor="background1"/>
                                <w:sz w:val="24"/>
                                <w:szCs w:val="24"/>
                              </w:rPr>
                            </w:pPr>
                            <w:r w:rsidRPr="004E4615">
                              <w:rPr>
                                <w:rFonts w:ascii="Times New Roman" w:hAnsi="Times New Roman" w:cs="Times New Roman"/>
                                <w:b/>
                                <w:bCs/>
                                <w:i/>
                                <w:iCs/>
                                <w:color w:val="FFFFFF" w:themeColor="background1"/>
                                <w:sz w:val="24"/>
                                <w:szCs w:val="24"/>
                              </w:rPr>
                              <w:t>WINTAC is an essential resource and should continue to be sustained in order to continue to offer TA solutions.</w:t>
                            </w:r>
                          </w:p>
                        </w:txbxContent>
                      </wps:txbx>
                      <wps:bodyPr rot="0" vert="horz" wrap="square" lIns="137160" tIns="91440" rIns="91440" bIns="91440" anchor="t" anchorCtr="0" upright="1">
                        <a:noAutofit/>
                      </wps:bodyPr>
                    </wps:wsp>
                  </a:graphicData>
                </a:graphic>
              </wp:inline>
            </w:drawing>
          </mc:Choice>
          <mc:Fallback>
            <w:pict>
              <v:shape w14:anchorId="7E1C932E" id="Freeform: Shape 102" o:spid="_x0000_s1029" style="width:269pt;height:66.75pt;visibility:visible;mso-wrap-style:square;mso-left-percent:-10001;mso-top-percent:-10001;mso-position-horizontal:absolute;mso-position-horizontal-relative:char;mso-position-vertical:absolute;mso-position-vertical-relative:line;mso-left-percent:-10001;mso-top-percent:-10001;v-text-anchor:top" coordsize="3416300,106952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" adj="-11796480,,5400" path="m,l3238043,r178257,178257l3416300,1069522,,1069522,,xe" fillcolor="#5d6d85" stroked="f" strokeweight="1pt">
                <v:fill color2="#334258" rotate="t" colors="0 #5d6d85;.5 #485972;1 #334258" focus="100%" type="gradient">
                  <o:fill v:ext="view" type="gradientUnscaled"/>
                </v:fill>
                <v:stroke joinstyle="miter"/>
                <v:formulas/>
                <v:path arrowok="t" o:connecttype="custom" o:connectlocs="0,0;3238043,0;3416300,141290;3416300,847725;0,847725;0,0" o:connectangles="0,0,0,0,0,0" textboxrect="0,0,3416300,1069522"/>
                <v:textbox inset="10.8pt,7.2pt,,7.2pt">
                  <w:txbxContent>
                    <w:p w14:paraId="2497C792" w14:textId="77777777" w:rsidR="0048500F" w:rsidRPr="004E4615" w:rsidRDefault="0048500F" w:rsidP="004E4615">
                      <w:pPr>
                        <w:spacing w:after="0" w:line="276" w:lineRule="auto"/>
                        <w:ind w:left="1080" w:firstLine="0"/>
                        <w:rPr>
                          <w:rFonts w:ascii="Times New Roman" w:hAnsi="Times New Roman" w:cs="Times New Roman"/>
                          <w:b/>
                          <w:bCs/>
                          <w:i/>
                          <w:iCs/>
                          <w:color w:val="FFFFFF" w:themeColor="background1"/>
                          <w:sz w:val="24"/>
                          <w:szCs w:val="24"/>
                        </w:rPr>
                      </w:pPr>
                      <w:r w:rsidRPr="004E4615">
                        <w:rPr>
                          <w:rFonts w:ascii="Times New Roman" w:hAnsi="Times New Roman" w:cs="Times New Roman"/>
                          <w:b/>
                          <w:bCs/>
                          <w:i/>
                          <w:iCs/>
                          <w:color w:val="FFFFFF" w:themeColor="background1"/>
                          <w:sz w:val="24"/>
                          <w:szCs w:val="24"/>
                        </w:rPr>
                        <w:t>WINTAC is an essential resource and should continue to be sustained in order to continue to offer TA solutions.</w:t>
                      </w:r>
                    </w:p>
                  </w:txbxContent>
                </v:textbox>
                <w10:anchorlock/>
              </v:shape>
            </w:pict>
          </mc:Fallback>
        </mc:AlternateContent>
      </w:r>
    </w:p>
    <w:p w14:paraId="1CD977D7" w14:textId="77777777" w:rsidR="004E4615" w:rsidRDefault="00F404FB" w:rsidP="004E4615">
      <w:pPr>
        <w:tabs>
          <w:tab w:val="left" w:pos="360"/>
        </w:tabs>
        <w:rPr>
          <w:rFonts w:cstheme="minorHAnsi"/>
          <w:color w:val="000000" w:themeColor="text1"/>
        </w:rPr>
        <w:sectPr w:rsidR="004E4615" w:rsidSect="0042504C">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docGrid w:linePitch="360"/>
        </w:sectPr>
      </w:pPr>
      <w:r>
        <w:rPr>
          <w:rFonts w:cstheme="minorHAnsi"/>
          <w:b/>
          <w:i/>
        </w:rPr>
        <w:lastRenderedPageBreak/>
        <w:t>Evaluation Recommendations</w:t>
      </w:r>
      <w:r>
        <w:rPr>
          <w:rFonts w:cstheme="minorHAnsi"/>
        </w:rPr>
        <w:t xml:space="preserve"> </w:t>
      </w:r>
      <w:r>
        <w:rPr>
          <w:rFonts w:cstheme="minorHAnsi"/>
          <w:color w:val="000000" w:themeColor="text1"/>
        </w:rPr>
        <w:t>Although the number of sites requesting intensive TA diminished due to changing needs and completion of activities, WINTAC continued to provide targeted technical assistance by developing tools that will be valuable to improve and sustain effective supported employment delivery. In the final months of the project, the TA and Evaluation teams will examine changes in ITA states’ capacity to provide quality Supported Employment services (as measured by the quantity of qualified vendors, authorizations, referrals, co-enrollments, etc.) as well as changes in outcomes (as measured by the quantity of SE consumers attaining competitive integrated employment). This will entail articulation of pre-intervention baselines and tracking and comparison of results for states receiving technical assistance from WINTAC’s SE team.</w:t>
      </w:r>
      <w:r w:rsidR="004E4615">
        <w:rPr>
          <w:rFonts w:cstheme="minorHAnsi"/>
          <w:color w:val="000000" w:themeColor="text1"/>
        </w:rPr>
        <w:t xml:space="preserve"> </w:t>
      </w:r>
    </w:p>
    <w:p w14:paraId="4301C722" w14:textId="77777777" w:rsidR="00B360F2" w:rsidRPr="00AE2C22" w:rsidRDefault="00B360F2" w:rsidP="00B360F2">
      <w:pPr>
        <w:pStyle w:val="Heading1"/>
      </w:pPr>
      <w:bookmarkStart w:id="129" w:name="_Toc41940250"/>
      <w:r>
        <w:lastRenderedPageBreak/>
        <w:t>F</w:t>
      </w:r>
      <w:r w:rsidRPr="009E708E">
        <w:t xml:space="preserve">. </w:t>
      </w:r>
      <w:r>
        <w:t>CUSTOMIZED EMPLOYMENT</w:t>
      </w:r>
      <w:bookmarkEnd w:id="129"/>
      <w:r>
        <w:t xml:space="preserve"> </w:t>
      </w:r>
    </w:p>
    <w:p w14:paraId="36414AE7" w14:textId="77777777" w:rsidR="00B360F2" w:rsidRDefault="00B360F2" w:rsidP="00B360F2">
      <w:pPr>
        <w:rPr>
          <w:noProof/>
        </w:rPr>
      </w:pPr>
    </w:p>
    <w:p w14:paraId="01E35ACF" w14:textId="77777777" w:rsidR="00B360F2" w:rsidRDefault="00B360F2" w:rsidP="00B360F2">
      <w:pPr>
        <w:ind w:hanging="360"/>
      </w:pPr>
      <w:r w:rsidRPr="007C4C60">
        <w:rPr>
          <w:noProof/>
          <w:lang w:eastAsia="ko-KR"/>
        </w:rPr>
        <w:drawing>
          <wp:inline distT="0" distB="0" distL="0" distR="0" wp14:anchorId="4D5BF2EA" wp14:editId="71CDE7A0">
            <wp:extent cx="5829300" cy="4365124"/>
            <wp:effectExtent l="0" t="0" r="0" b="0"/>
            <wp:docPr id="3" name="Picture 3" descr="Map of the United States depicting states with Customized Supported Employment, which include: AK, AZ,  CA, CO, ID,  IL,  LA, MI, MN, MO, MS, MT, NV, SC,  T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cstate="print">
                      <a:extLst>
                        <a:ext uri="{28A0092B-C50C-407E-A947-70E740481C1C}">
                          <a14:useLocalDpi xmlns:a14="http://schemas.microsoft.com/office/drawing/2010/main"/>
                        </a:ext>
                      </a:extLst>
                    </a:blip>
                    <a:stretch>
                      <a:fillRect/>
                    </a:stretch>
                  </pic:blipFill>
                  <pic:spPr>
                    <a:xfrm>
                      <a:off x="0" y="0"/>
                      <a:ext cx="5829300" cy="4365124"/>
                    </a:xfrm>
                    <a:prstGeom prst="rect">
                      <a:avLst/>
                    </a:prstGeom>
                  </pic:spPr>
                </pic:pic>
              </a:graphicData>
            </a:graphic>
          </wp:inline>
        </w:drawing>
      </w:r>
    </w:p>
    <w:p w14:paraId="0A1F7757" w14:textId="77777777" w:rsidR="00B360F2" w:rsidRDefault="00B360F2" w:rsidP="00B360F2"/>
    <w:p w14:paraId="74320AAA" w14:textId="77777777" w:rsidR="00B360F2" w:rsidRDefault="00B360F2" w:rsidP="00B360F2">
      <w:pPr>
        <w:sectPr w:rsidR="00B360F2" w:rsidSect="00EC24EB">
          <w:footerReference w:type="default" r:id="rId318"/>
          <w:pgSz w:w="12240" w:h="15840" w:code="1"/>
          <w:pgMar w:top="1440" w:right="1440" w:bottom="1440" w:left="162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cols w:space="720"/>
          <w:vAlign w:val="center"/>
          <w:docGrid w:linePitch="360"/>
        </w:sectPr>
      </w:pPr>
    </w:p>
    <w:p w14:paraId="3ED00639" w14:textId="77777777" w:rsidR="00B360F2" w:rsidRPr="00B360F2" w:rsidRDefault="00B360F2" w:rsidP="00B360F2">
      <w:pPr>
        <w:pStyle w:val="Heading2"/>
        <w:shd w:val="clear" w:color="auto" w:fill="8EAADB" w:themeFill="accent1" w:themeFillTint="99"/>
      </w:pPr>
      <w:bookmarkStart w:id="130" w:name="_Toc41940251"/>
      <w:r w:rsidRPr="00B360F2">
        <w:lastRenderedPageBreak/>
        <w:t>Customized Employment – Logic Model</w:t>
      </w:r>
      <w:bookmarkEnd w:id="130"/>
    </w:p>
    <w:tbl>
      <w:tblPr>
        <w:tblW w:w="5000" w:type="pct"/>
        <w:tblLook w:val="04A0" w:firstRow="1" w:lastRow="0" w:firstColumn="1" w:lastColumn="0" w:noHBand="0" w:noVBand="1"/>
      </w:tblPr>
      <w:tblGrid>
        <w:gridCol w:w="5499"/>
        <w:gridCol w:w="1247"/>
        <w:gridCol w:w="4044"/>
      </w:tblGrid>
      <w:tr w:rsidR="00B360F2" w:rsidRPr="00206792" w14:paraId="71E794C2" w14:textId="77777777" w:rsidTr="00B360F2">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D8B879B" w14:textId="77777777" w:rsidR="00B360F2" w:rsidRPr="00206792" w:rsidRDefault="00B360F2" w:rsidP="00B360F2">
            <w:pPr>
              <w:spacing w:after="0" w:line="240" w:lineRule="auto"/>
              <w:jc w:val="center"/>
              <w:rPr>
                <w:b/>
                <w:bCs/>
                <w:color w:val="000000"/>
              </w:rPr>
            </w:pPr>
            <w:r w:rsidRPr="00206792">
              <w:rPr>
                <w:b/>
                <w:bCs/>
                <w:color w:val="000000"/>
              </w:rPr>
              <w:t>Activity</w:t>
            </w:r>
          </w:p>
        </w:tc>
        <w:tc>
          <w:tcPr>
            <w:tcW w:w="2452" w:type="pct"/>
            <w:gridSpan w:val="2"/>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7CDE2969" w14:textId="77777777" w:rsidR="00B360F2" w:rsidRPr="00206792" w:rsidRDefault="00B360F2" w:rsidP="00B360F2">
            <w:pPr>
              <w:spacing w:after="0" w:line="240" w:lineRule="auto"/>
              <w:jc w:val="center"/>
              <w:rPr>
                <w:b/>
                <w:bCs/>
                <w:color w:val="000000"/>
              </w:rPr>
            </w:pPr>
            <w:r w:rsidRPr="00206792">
              <w:rPr>
                <w:b/>
                <w:bCs/>
                <w:color w:val="000000"/>
              </w:rPr>
              <w:t>Output</w:t>
            </w:r>
          </w:p>
        </w:tc>
      </w:tr>
      <w:tr w:rsidR="00B360F2" w:rsidRPr="00206792" w14:paraId="3598EFC4" w14:textId="77777777" w:rsidTr="00B360F2">
        <w:trPr>
          <w:trHeight w:val="20"/>
        </w:trPr>
        <w:tc>
          <w:tcPr>
            <w:tcW w:w="3126" w:type="pct"/>
            <w:gridSpan w:val="2"/>
            <w:tcBorders>
              <w:top w:val="nil"/>
              <w:left w:val="single" w:sz="4" w:space="0" w:color="000000"/>
              <w:bottom w:val="single" w:sz="4" w:space="0" w:color="000000"/>
              <w:right w:val="single" w:sz="4" w:space="0" w:color="000000"/>
            </w:tcBorders>
            <w:shd w:val="clear" w:color="auto" w:fill="auto"/>
            <w:hideMark/>
          </w:tcPr>
          <w:p w14:paraId="5C42BACE" w14:textId="77777777" w:rsidR="00B360F2" w:rsidRPr="00206792" w:rsidRDefault="00B360F2" w:rsidP="00C575C8">
            <w:pPr>
              <w:pStyle w:val="ListParagraph"/>
              <w:numPr>
                <w:ilvl w:val="0"/>
                <w:numId w:val="41"/>
              </w:numPr>
            </w:pPr>
            <w:r w:rsidRPr="00206792">
              <w:t>WINTAC: Analyze system’s (VR and State Partners) readiness and capacity to implement CE.</w:t>
            </w:r>
          </w:p>
          <w:p w14:paraId="07055312" w14:textId="77777777" w:rsidR="00B360F2" w:rsidRDefault="00B360F2" w:rsidP="00C575C8">
            <w:pPr>
              <w:pStyle w:val="ListParagraph"/>
              <w:numPr>
                <w:ilvl w:val="1"/>
                <w:numId w:val="41"/>
              </w:numPr>
            </w:pPr>
            <w:r w:rsidRPr="00206792">
              <w:t>NTACT: examine same, including current systems collaboration, for students and youth with disabilities between SEAs, LEAs, VR, ID/DD, MH, CMS, and other key partners</w:t>
            </w:r>
          </w:p>
          <w:p w14:paraId="72509208" w14:textId="77777777" w:rsidR="00B360F2" w:rsidRPr="00206792" w:rsidRDefault="00B360F2" w:rsidP="00C575C8">
            <w:pPr>
              <w:pStyle w:val="ListParagraph"/>
              <w:numPr>
                <w:ilvl w:val="1"/>
                <w:numId w:val="41"/>
              </w:numPr>
            </w:pPr>
            <w:r w:rsidRPr="00206792">
              <w:t>YTAC: examine same, specifically for system-involved (juvenile justice, foster care), homeless, and out-of-school youth</w:t>
            </w:r>
          </w:p>
        </w:tc>
        <w:tc>
          <w:tcPr>
            <w:tcW w:w="1874" w:type="pct"/>
            <w:tcBorders>
              <w:top w:val="nil"/>
              <w:left w:val="nil"/>
              <w:bottom w:val="single" w:sz="4" w:space="0" w:color="000000"/>
              <w:right w:val="single" w:sz="4" w:space="0" w:color="000000"/>
            </w:tcBorders>
            <w:shd w:val="clear" w:color="auto" w:fill="auto"/>
            <w:vAlign w:val="center"/>
            <w:hideMark/>
          </w:tcPr>
          <w:p w14:paraId="17FF3B77" w14:textId="77777777" w:rsidR="00B360F2" w:rsidRPr="00206792" w:rsidRDefault="00B360F2" w:rsidP="00C575C8">
            <w:pPr>
              <w:pStyle w:val="ListParagraph"/>
              <w:numPr>
                <w:ilvl w:val="0"/>
                <w:numId w:val="43"/>
              </w:numPr>
              <w:ind w:left="346"/>
            </w:pPr>
            <w:r w:rsidRPr="00206792">
              <w:t>Completed readiness and capacity assessment.</w:t>
            </w:r>
          </w:p>
        </w:tc>
      </w:tr>
      <w:tr w:rsidR="00B360F2" w:rsidRPr="00206792" w14:paraId="2777B88D" w14:textId="77777777" w:rsidTr="00B360F2">
        <w:trPr>
          <w:trHeight w:val="20"/>
        </w:trPr>
        <w:tc>
          <w:tcPr>
            <w:tcW w:w="3126" w:type="pct"/>
            <w:gridSpan w:val="2"/>
            <w:tcBorders>
              <w:top w:val="nil"/>
              <w:left w:val="single" w:sz="4" w:space="0" w:color="000000"/>
              <w:bottom w:val="single" w:sz="4" w:space="0" w:color="000000"/>
              <w:right w:val="single" w:sz="4" w:space="0" w:color="000000"/>
            </w:tcBorders>
            <w:shd w:val="clear" w:color="auto" w:fill="auto"/>
            <w:hideMark/>
          </w:tcPr>
          <w:p w14:paraId="4732FA22" w14:textId="77777777" w:rsidR="00B360F2" w:rsidRPr="00206792" w:rsidRDefault="00B360F2" w:rsidP="00C575C8">
            <w:pPr>
              <w:pStyle w:val="ListParagraph"/>
              <w:numPr>
                <w:ilvl w:val="0"/>
                <w:numId w:val="41"/>
              </w:numPr>
            </w:pPr>
            <w:r w:rsidRPr="00206792">
              <w:t>WINTAC: Analyze feasibility of system (VR and State Partners) to implement CE.</w:t>
            </w:r>
          </w:p>
          <w:p w14:paraId="09B2D295" w14:textId="77777777" w:rsidR="00B360F2" w:rsidRDefault="00B360F2" w:rsidP="00C575C8">
            <w:pPr>
              <w:pStyle w:val="ListParagraph"/>
              <w:numPr>
                <w:ilvl w:val="1"/>
                <w:numId w:val="41"/>
              </w:numPr>
            </w:pPr>
            <w:r w:rsidRPr="00206792">
              <w:t>NTACT: examine same, including current systems collaboration, for students and youth with disabilities between SEAs, LEAs, VR, ID/DD, MH, CMS, and other key partners</w:t>
            </w:r>
          </w:p>
          <w:p w14:paraId="2C4544A5" w14:textId="77777777" w:rsidR="00B360F2" w:rsidRPr="00206792" w:rsidRDefault="00B360F2" w:rsidP="00C575C8">
            <w:pPr>
              <w:pStyle w:val="ListParagraph"/>
              <w:numPr>
                <w:ilvl w:val="1"/>
                <w:numId w:val="41"/>
              </w:numPr>
            </w:pPr>
            <w:r w:rsidRPr="00206792">
              <w:t>YTAC: examine same specifically for system-involved (juvenile justice, foster care), homeless, and out-of-school youth</w:t>
            </w:r>
          </w:p>
        </w:tc>
        <w:tc>
          <w:tcPr>
            <w:tcW w:w="1874" w:type="pct"/>
            <w:tcBorders>
              <w:top w:val="nil"/>
              <w:left w:val="nil"/>
              <w:bottom w:val="single" w:sz="4" w:space="0" w:color="000000"/>
              <w:right w:val="single" w:sz="4" w:space="0" w:color="000000"/>
            </w:tcBorders>
            <w:shd w:val="clear" w:color="auto" w:fill="auto"/>
            <w:hideMark/>
          </w:tcPr>
          <w:p w14:paraId="78672F5A" w14:textId="77777777" w:rsidR="00B360F2" w:rsidRPr="00206792" w:rsidRDefault="00B360F2" w:rsidP="00C575C8">
            <w:pPr>
              <w:pStyle w:val="ListParagraph"/>
              <w:numPr>
                <w:ilvl w:val="0"/>
                <w:numId w:val="43"/>
              </w:numPr>
              <w:ind w:left="346"/>
            </w:pPr>
            <w:r w:rsidRPr="00206792">
              <w:t>Completed feasibility assessment.</w:t>
            </w:r>
          </w:p>
          <w:p w14:paraId="29907F7D" w14:textId="77777777" w:rsidR="00B360F2" w:rsidRPr="00206792" w:rsidRDefault="00B360F2" w:rsidP="00B360F2">
            <w:pPr>
              <w:pStyle w:val="ListParagraph"/>
              <w:spacing w:after="0" w:line="240" w:lineRule="exact"/>
              <w:ind w:left="340" w:firstLine="0"/>
            </w:pPr>
          </w:p>
        </w:tc>
      </w:tr>
      <w:tr w:rsidR="00B360F2" w:rsidRPr="00206792" w14:paraId="6F9993E1" w14:textId="77777777" w:rsidTr="00B360F2">
        <w:trPr>
          <w:trHeight w:val="20"/>
        </w:trPr>
        <w:tc>
          <w:tcPr>
            <w:tcW w:w="3126" w:type="pct"/>
            <w:gridSpan w:val="2"/>
            <w:tcBorders>
              <w:top w:val="nil"/>
              <w:left w:val="single" w:sz="4" w:space="0" w:color="000000"/>
              <w:bottom w:val="single" w:sz="4" w:space="0" w:color="000000"/>
              <w:right w:val="single" w:sz="4" w:space="0" w:color="000000"/>
            </w:tcBorders>
            <w:shd w:val="clear" w:color="auto" w:fill="auto"/>
            <w:hideMark/>
          </w:tcPr>
          <w:p w14:paraId="36EFC068" w14:textId="77777777" w:rsidR="00B360F2" w:rsidRPr="00206792" w:rsidRDefault="00B360F2" w:rsidP="00C575C8">
            <w:pPr>
              <w:pStyle w:val="ListParagraph"/>
              <w:numPr>
                <w:ilvl w:val="0"/>
                <w:numId w:val="41"/>
              </w:numPr>
            </w:pPr>
            <w:r w:rsidRPr="00206792">
              <w:t>WINTAC: Conduct a survey of VR staff and CRPs/</w:t>
            </w:r>
            <w:r>
              <w:t xml:space="preserve"> </w:t>
            </w:r>
            <w:r w:rsidRPr="00206792">
              <w:t>vendors to determine CE experience and capacity.</w:t>
            </w:r>
          </w:p>
          <w:p w14:paraId="26B51EB0" w14:textId="77777777" w:rsidR="00B360F2" w:rsidRDefault="00B360F2" w:rsidP="00C575C8">
            <w:pPr>
              <w:pStyle w:val="ListParagraph"/>
              <w:numPr>
                <w:ilvl w:val="1"/>
                <w:numId w:val="41"/>
              </w:numPr>
            </w:pPr>
            <w:r w:rsidRPr="00206792">
              <w:t>NTACT: survey SEAs and LEAs on past and current engagement in CE training and implementation.</w:t>
            </w:r>
          </w:p>
          <w:p w14:paraId="0D6715AA" w14:textId="77777777" w:rsidR="00B360F2" w:rsidRPr="00206792" w:rsidRDefault="00B360F2" w:rsidP="00C575C8">
            <w:pPr>
              <w:pStyle w:val="ListParagraph"/>
              <w:numPr>
                <w:ilvl w:val="1"/>
                <w:numId w:val="41"/>
              </w:numPr>
            </w:pPr>
            <w:r w:rsidRPr="00206792">
              <w:t>YTAC: add to VR/CRPs/vendors survey to determine same for system-involved (juvenile justice, foster care), homeless, and out-of-school youth.</w:t>
            </w:r>
          </w:p>
        </w:tc>
        <w:tc>
          <w:tcPr>
            <w:tcW w:w="1874" w:type="pct"/>
            <w:tcBorders>
              <w:top w:val="nil"/>
              <w:left w:val="nil"/>
              <w:bottom w:val="single" w:sz="4" w:space="0" w:color="000000"/>
              <w:right w:val="single" w:sz="4" w:space="0" w:color="000000"/>
            </w:tcBorders>
            <w:shd w:val="clear" w:color="auto" w:fill="auto"/>
            <w:hideMark/>
          </w:tcPr>
          <w:p w14:paraId="46B6D86C" w14:textId="77777777" w:rsidR="00B360F2" w:rsidRPr="00206792" w:rsidRDefault="00B360F2" w:rsidP="00C575C8">
            <w:pPr>
              <w:pStyle w:val="ListParagraph"/>
              <w:numPr>
                <w:ilvl w:val="0"/>
                <w:numId w:val="43"/>
              </w:numPr>
              <w:spacing w:after="0" w:line="240" w:lineRule="exact"/>
              <w:ind w:left="346" w:hanging="346"/>
            </w:pPr>
            <w:r w:rsidRPr="00206792">
              <w:t>Survey Report.</w:t>
            </w:r>
          </w:p>
        </w:tc>
      </w:tr>
      <w:tr w:rsidR="00B360F2" w:rsidRPr="00206792" w14:paraId="5C4246F0" w14:textId="77777777" w:rsidTr="00B360F2">
        <w:trPr>
          <w:trHeight w:val="20"/>
        </w:trPr>
        <w:tc>
          <w:tcPr>
            <w:tcW w:w="3126" w:type="pct"/>
            <w:gridSpan w:val="2"/>
            <w:tcBorders>
              <w:top w:val="nil"/>
              <w:left w:val="single" w:sz="4" w:space="0" w:color="000000"/>
              <w:bottom w:val="nil"/>
              <w:right w:val="single" w:sz="4" w:space="0" w:color="000000"/>
            </w:tcBorders>
            <w:shd w:val="clear" w:color="auto" w:fill="auto"/>
            <w:hideMark/>
          </w:tcPr>
          <w:p w14:paraId="71CB071C" w14:textId="77777777" w:rsidR="00B360F2" w:rsidRPr="00206792" w:rsidRDefault="00B360F2" w:rsidP="00C575C8">
            <w:pPr>
              <w:pStyle w:val="ListParagraph"/>
              <w:numPr>
                <w:ilvl w:val="0"/>
                <w:numId w:val="41"/>
              </w:numPr>
            </w:pPr>
            <w:r w:rsidRPr="00206792">
              <w:t>WINTAC: Conduct a review of existing system (VR and State Partners) history, knowledge, policies, procedures, fee structures, and MOUs relevant to the implementation of CE.</w:t>
            </w:r>
          </w:p>
          <w:p w14:paraId="14DCBE6D" w14:textId="77777777" w:rsidR="00B360F2" w:rsidRDefault="00B360F2" w:rsidP="00C575C8">
            <w:pPr>
              <w:pStyle w:val="ListParagraph"/>
              <w:numPr>
                <w:ilvl w:val="1"/>
                <w:numId w:val="41"/>
              </w:numPr>
            </w:pPr>
            <w:r w:rsidRPr="00206792">
              <w:t>NTACT: focus on SEAs and LEAs.</w:t>
            </w:r>
          </w:p>
          <w:p w14:paraId="73821BCF" w14:textId="77777777" w:rsidR="00B360F2" w:rsidRPr="00206792" w:rsidRDefault="00B360F2" w:rsidP="00C575C8">
            <w:pPr>
              <w:pStyle w:val="ListParagraph"/>
              <w:numPr>
                <w:ilvl w:val="1"/>
                <w:numId w:val="41"/>
              </w:numPr>
            </w:pPr>
            <w:r w:rsidRPr="00206792">
              <w:t>YTAC: assist VR, SEAs, and LEAs to conduct a community resource mapping exercise to identify youth serving organizations for CE referrals and services.</w:t>
            </w:r>
          </w:p>
        </w:tc>
        <w:tc>
          <w:tcPr>
            <w:tcW w:w="1874" w:type="pct"/>
            <w:tcBorders>
              <w:top w:val="nil"/>
              <w:left w:val="nil"/>
              <w:bottom w:val="nil"/>
              <w:right w:val="single" w:sz="4" w:space="0" w:color="000000"/>
            </w:tcBorders>
            <w:shd w:val="clear" w:color="auto" w:fill="auto"/>
            <w:hideMark/>
          </w:tcPr>
          <w:p w14:paraId="6171C796" w14:textId="77777777" w:rsidR="00B360F2" w:rsidRPr="00206792" w:rsidRDefault="00B360F2" w:rsidP="00C575C8">
            <w:pPr>
              <w:pStyle w:val="ListParagraph"/>
              <w:numPr>
                <w:ilvl w:val="0"/>
                <w:numId w:val="43"/>
              </w:numPr>
              <w:ind w:left="346"/>
            </w:pPr>
            <w:r w:rsidRPr="00206792">
              <w:t>Completed review of areas in need of development and enhancement for sustainable CE implementation.</w:t>
            </w:r>
          </w:p>
          <w:p w14:paraId="6502BB34" w14:textId="77777777" w:rsidR="00B360F2" w:rsidRDefault="00B360F2" w:rsidP="00C575C8">
            <w:pPr>
              <w:pStyle w:val="ListParagraph"/>
              <w:numPr>
                <w:ilvl w:val="1"/>
                <w:numId w:val="44"/>
              </w:numPr>
              <w:ind w:left="796"/>
            </w:pPr>
            <w:r w:rsidRPr="00206792">
              <w:t>NTACT: completed mapping of LEA alignment of current transition activities / services and CE implementation.</w:t>
            </w:r>
          </w:p>
          <w:p w14:paraId="34D4A171" w14:textId="77777777" w:rsidR="00B360F2" w:rsidRPr="00206792" w:rsidRDefault="00B360F2" w:rsidP="00C575C8">
            <w:pPr>
              <w:pStyle w:val="ListParagraph"/>
              <w:numPr>
                <w:ilvl w:val="1"/>
                <w:numId w:val="44"/>
              </w:numPr>
              <w:ind w:left="796"/>
            </w:pPr>
            <w:r w:rsidRPr="00206792">
              <w:t>YTAC: list of youth serving organizations that could provide CE referrals and CE services.</w:t>
            </w:r>
          </w:p>
        </w:tc>
      </w:tr>
      <w:tr w:rsidR="00B360F2" w:rsidRPr="00206792" w14:paraId="766D9166" w14:textId="77777777" w:rsidTr="00B360F2">
        <w:trPr>
          <w:trHeight w:val="20"/>
        </w:trPr>
        <w:tc>
          <w:tcPr>
            <w:tcW w:w="3126" w:type="pct"/>
            <w:gridSpan w:val="2"/>
            <w:tcBorders>
              <w:top w:val="single" w:sz="4" w:space="0" w:color="auto"/>
              <w:left w:val="single" w:sz="4" w:space="0" w:color="auto"/>
              <w:bottom w:val="single" w:sz="4" w:space="0" w:color="auto"/>
              <w:right w:val="single" w:sz="4" w:space="0" w:color="auto"/>
            </w:tcBorders>
            <w:shd w:val="clear" w:color="auto" w:fill="auto"/>
            <w:hideMark/>
          </w:tcPr>
          <w:p w14:paraId="75A84BB0" w14:textId="77777777" w:rsidR="00B360F2" w:rsidRPr="00206792" w:rsidRDefault="00B360F2" w:rsidP="00C575C8">
            <w:pPr>
              <w:pStyle w:val="ListParagraph"/>
              <w:numPr>
                <w:ilvl w:val="0"/>
                <w:numId w:val="41"/>
              </w:numPr>
            </w:pPr>
            <w:r w:rsidRPr="00206792">
              <w:t>WINTAC: Develop a Pilot Implementation Plan for CE (roadmap), including the identification of sites and CRPs and resources.</w:t>
            </w:r>
          </w:p>
          <w:p w14:paraId="1D8E8C7A" w14:textId="77777777" w:rsidR="00B360F2" w:rsidRDefault="00B360F2" w:rsidP="00C575C8">
            <w:pPr>
              <w:pStyle w:val="ListParagraph"/>
              <w:numPr>
                <w:ilvl w:val="1"/>
                <w:numId w:val="41"/>
              </w:numPr>
            </w:pPr>
            <w:r w:rsidRPr="00206792">
              <w:t>NTACT: identify potential LEA partner sites and resources and monitor LEA(s)’ engagement in the pilot CE site(s)</w:t>
            </w:r>
          </w:p>
          <w:p w14:paraId="632B1BF7" w14:textId="1FD3DB3E" w:rsidR="00B360F2" w:rsidRPr="00206792" w:rsidRDefault="00B360F2" w:rsidP="00C575C8">
            <w:pPr>
              <w:pStyle w:val="ListParagraph"/>
              <w:numPr>
                <w:ilvl w:val="1"/>
                <w:numId w:val="41"/>
              </w:numPr>
            </w:pPr>
            <w:r w:rsidRPr="00206792">
              <w:t>YTAC: assist in development of comprehensive outreach plan to increase the engagement and enrollment of system-</w:t>
            </w:r>
            <w:r w:rsidRPr="00206792">
              <w:lastRenderedPageBreak/>
              <w:t>involved (juvenile justice, foster care), homeless, and out-of-school youth in customized employment.</w:t>
            </w:r>
          </w:p>
        </w:tc>
        <w:tc>
          <w:tcPr>
            <w:tcW w:w="1874" w:type="pct"/>
            <w:tcBorders>
              <w:top w:val="single" w:sz="4" w:space="0" w:color="auto"/>
              <w:left w:val="nil"/>
              <w:bottom w:val="single" w:sz="4" w:space="0" w:color="auto"/>
              <w:right w:val="single" w:sz="4" w:space="0" w:color="auto"/>
            </w:tcBorders>
            <w:shd w:val="clear" w:color="auto" w:fill="auto"/>
            <w:hideMark/>
          </w:tcPr>
          <w:p w14:paraId="07DCC0E1" w14:textId="77777777" w:rsidR="00B360F2" w:rsidRPr="00206792" w:rsidRDefault="00B360F2" w:rsidP="00C575C8">
            <w:pPr>
              <w:pStyle w:val="ListParagraph"/>
              <w:numPr>
                <w:ilvl w:val="0"/>
                <w:numId w:val="43"/>
              </w:numPr>
              <w:ind w:left="346"/>
            </w:pPr>
            <w:r w:rsidRPr="00206792">
              <w:lastRenderedPageBreak/>
              <w:t>Completed project implementation plan (roadmap) including pilot site identification, partner identification, and resources.</w:t>
            </w:r>
          </w:p>
          <w:p w14:paraId="3AE02BAA" w14:textId="77777777" w:rsidR="00B360F2" w:rsidRDefault="00B360F2" w:rsidP="00C575C8">
            <w:pPr>
              <w:pStyle w:val="ListParagraph"/>
              <w:numPr>
                <w:ilvl w:val="1"/>
                <w:numId w:val="43"/>
              </w:numPr>
              <w:ind w:left="796"/>
            </w:pPr>
            <w:r w:rsidRPr="00206792">
              <w:t>NTACT: LEA engagement and monitoring plan.</w:t>
            </w:r>
          </w:p>
          <w:p w14:paraId="44F7EDE0" w14:textId="77777777" w:rsidR="00B360F2" w:rsidRPr="00206792" w:rsidRDefault="00B360F2" w:rsidP="00C575C8">
            <w:pPr>
              <w:pStyle w:val="ListParagraph"/>
              <w:numPr>
                <w:ilvl w:val="1"/>
                <w:numId w:val="43"/>
              </w:numPr>
              <w:ind w:left="796"/>
            </w:pPr>
            <w:r w:rsidRPr="00206792">
              <w:lastRenderedPageBreak/>
              <w:t>YTAC: comprehensive outreach plan to increase the engagement and enrollment of system-involved (juvenile justice, foster care), homeless, and out-of-school youth.</w:t>
            </w:r>
          </w:p>
        </w:tc>
      </w:tr>
      <w:tr w:rsidR="00B360F2" w:rsidRPr="00206792" w14:paraId="0F205FDD" w14:textId="77777777" w:rsidTr="00B360F2">
        <w:trPr>
          <w:trHeight w:val="20"/>
        </w:trPr>
        <w:tc>
          <w:tcPr>
            <w:tcW w:w="3126" w:type="pct"/>
            <w:gridSpan w:val="2"/>
            <w:tcBorders>
              <w:top w:val="single" w:sz="4" w:space="0" w:color="auto"/>
              <w:left w:val="single" w:sz="4" w:space="0" w:color="auto"/>
              <w:bottom w:val="single" w:sz="4" w:space="0" w:color="auto"/>
              <w:right w:val="single" w:sz="4" w:space="0" w:color="auto"/>
            </w:tcBorders>
            <w:shd w:val="clear" w:color="auto" w:fill="auto"/>
            <w:hideMark/>
          </w:tcPr>
          <w:p w14:paraId="646FECE4" w14:textId="77777777" w:rsidR="00B360F2" w:rsidRPr="00206792" w:rsidRDefault="00B360F2" w:rsidP="00C575C8">
            <w:pPr>
              <w:pStyle w:val="ListParagraph"/>
              <w:numPr>
                <w:ilvl w:val="0"/>
                <w:numId w:val="41"/>
              </w:numPr>
            </w:pPr>
            <w:r w:rsidRPr="00206792">
              <w:lastRenderedPageBreak/>
              <w:t>WINTAC: Assist the agency in revising policies, procedures, fee structures, and MOUs relevant to the implementation of CE as needed.</w:t>
            </w:r>
          </w:p>
          <w:p w14:paraId="34DFC3F7" w14:textId="77777777" w:rsidR="00B360F2" w:rsidRDefault="00B360F2" w:rsidP="00C575C8">
            <w:pPr>
              <w:pStyle w:val="ListParagraph"/>
              <w:numPr>
                <w:ilvl w:val="1"/>
                <w:numId w:val="41"/>
              </w:numPr>
            </w:pPr>
            <w:r w:rsidRPr="00206792">
              <w:t>NTACT: facilitate discussion and coordination with pilot LEAs regarding alignment of current transition activities/services and CE implementation.</w:t>
            </w:r>
          </w:p>
          <w:p w14:paraId="076DAC1B" w14:textId="77777777" w:rsidR="00B360F2" w:rsidRPr="00206792" w:rsidRDefault="00B360F2" w:rsidP="00C575C8">
            <w:pPr>
              <w:pStyle w:val="ListParagraph"/>
              <w:numPr>
                <w:ilvl w:val="1"/>
                <w:numId w:val="41"/>
              </w:numPr>
            </w:pPr>
            <w:r w:rsidRPr="00206792">
              <w:t>YTAC: include braided funding to serve out-of-school youth, and MOUs relevant to the implementation of CE as needed</w:t>
            </w:r>
          </w:p>
        </w:tc>
        <w:tc>
          <w:tcPr>
            <w:tcW w:w="1874" w:type="pct"/>
            <w:tcBorders>
              <w:top w:val="single" w:sz="4" w:space="0" w:color="auto"/>
              <w:left w:val="single" w:sz="4" w:space="0" w:color="auto"/>
              <w:bottom w:val="single" w:sz="4" w:space="0" w:color="auto"/>
              <w:right w:val="single" w:sz="4" w:space="0" w:color="auto"/>
            </w:tcBorders>
            <w:shd w:val="clear" w:color="auto" w:fill="auto"/>
            <w:hideMark/>
          </w:tcPr>
          <w:p w14:paraId="15704554" w14:textId="77777777" w:rsidR="00B360F2" w:rsidRPr="00206792" w:rsidRDefault="00B360F2" w:rsidP="00C575C8">
            <w:pPr>
              <w:pStyle w:val="ListParagraph"/>
              <w:numPr>
                <w:ilvl w:val="0"/>
                <w:numId w:val="43"/>
              </w:numPr>
              <w:ind w:left="346"/>
            </w:pPr>
            <w:r w:rsidRPr="00206792">
              <w:t>Drafted policies, procedures, and fee structures governing the provision of CE.</w:t>
            </w:r>
          </w:p>
        </w:tc>
      </w:tr>
      <w:tr w:rsidR="00B360F2" w:rsidRPr="00206792" w14:paraId="269FCFBE" w14:textId="77777777" w:rsidTr="00B360F2">
        <w:trPr>
          <w:trHeight w:val="20"/>
        </w:trPr>
        <w:tc>
          <w:tcPr>
            <w:tcW w:w="3126" w:type="pct"/>
            <w:gridSpan w:val="2"/>
            <w:tcBorders>
              <w:top w:val="single" w:sz="4" w:space="0" w:color="auto"/>
              <w:left w:val="single" w:sz="4" w:space="0" w:color="auto"/>
              <w:bottom w:val="single" w:sz="4" w:space="0" w:color="auto"/>
              <w:right w:val="single" w:sz="4" w:space="0" w:color="auto"/>
            </w:tcBorders>
            <w:shd w:val="clear" w:color="auto" w:fill="auto"/>
          </w:tcPr>
          <w:p w14:paraId="680A6B89" w14:textId="77777777" w:rsidR="00B360F2" w:rsidRPr="009A526D" w:rsidRDefault="00B360F2" w:rsidP="00C575C8">
            <w:pPr>
              <w:pStyle w:val="ListParagraph"/>
              <w:numPr>
                <w:ilvl w:val="0"/>
                <w:numId w:val="41"/>
              </w:numPr>
              <w:spacing w:after="0" w:line="240" w:lineRule="exact"/>
              <w:rPr>
                <w:color w:val="000000"/>
              </w:rPr>
            </w:pPr>
            <w:r w:rsidRPr="00206792">
              <w:t>WINTAC: Assist in development of a RFP for VR to disseminate to vendors so they can apply to receive training in the Essential Elements of CE and become CE service providers.</w:t>
            </w:r>
          </w:p>
        </w:tc>
        <w:tc>
          <w:tcPr>
            <w:tcW w:w="1874" w:type="pct"/>
            <w:tcBorders>
              <w:top w:val="single" w:sz="4" w:space="0" w:color="auto"/>
              <w:left w:val="single" w:sz="4" w:space="0" w:color="auto"/>
              <w:bottom w:val="single" w:sz="4" w:space="0" w:color="auto"/>
              <w:right w:val="single" w:sz="4" w:space="0" w:color="auto"/>
            </w:tcBorders>
            <w:shd w:val="clear" w:color="auto" w:fill="auto"/>
          </w:tcPr>
          <w:p w14:paraId="72CC6732" w14:textId="77777777" w:rsidR="00B360F2" w:rsidRPr="00206792" w:rsidRDefault="00B360F2" w:rsidP="00C575C8">
            <w:pPr>
              <w:pStyle w:val="ListParagraph"/>
              <w:numPr>
                <w:ilvl w:val="0"/>
                <w:numId w:val="43"/>
              </w:numPr>
              <w:spacing w:after="0" w:line="240" w:lineRule="exact"/>
              <w:ind w:left="340"/>
              <w:rPr>
                <w:color w:val="000000"/>
              </w:rPr>
            </w:pPr>
            <w:r w:rsidRPr="00206792">
              <w:t>Drafted RFP for VR to disseminate to vendors so they can apply to receive training in the Essential Elements of CE and/or become contractors for the provision of CE.</w:t>
            </w:r>
          </w:p>
        </w:tc>
      </w:tr>
      <w:tr w:rsidR="00B360F2" w:rsidRPr="00206792" w14:paraId="58AF7E65" w14:textId="77777777" w:rsidTr="00B360F2">
        <w:trPr>
          <w:trHeight w:val="20"/>
        </w:trPr>
        <w:tc>
          <w:tcPr>
            <w:tcW w:w="3126" w:type="pct"/>
            <w:gridSpan w:val="2"/>
            <w:tcBorders>
              <w:top w:val="single" w:sz="4" w:space="0" w:color="auto"/>
              <w:left w:val="single" w:sz="4" w:space="0" w:color="auto"/>
              <w:bottom w:val="single" w:sz="4" w:space="0" w:color="auto"/>
              <w:right w:val="single" w:sz="4" w:space="0" w:color="auto"/>
            </w:tcBorders>
            <w:shd w:val="clear" w:color="auto" w:fill="auto"/>
          </w:tcPr>
          <w:p w14:paraId="5BF17920" w14:textId="77777777" w:rsidR="00B360F2" w:rsidRPr="00206792" w:rsidRDefault="00B360F2" w:rsidP="00C575C8">
            <w:pPr>
              <w:pStyle w:val="ListParagraph"/>
              <w:numPr>
                <w:ilvl w:val="0"/>
                <w:numId w:val="41"/>
              </w:numPr>
            </w:pPr>
            <w:r w:rsidRPr="00206792">
              <w:t>WINTAC: Conduct training of the VR agency staff regarding the Essential Elements of CE, emphasizing appropriate referrals and implementation of quality CE programs and services.</w:t>
            </w:r>
          </w:p>
          <w:p w14:paraId="59C096F1" w14:textId="77777777" w:rsidR="00B360F2" w:rsidRDefault="00B360F2" w:rsidP="00C575C8">
            <w:pPr>
              <w:pStyle w:val="ListParagraph"/>
              <w:numPr>
                <w:ilvl w:val="1"/>
                <w:numId w:val="41"/>
              </w:numPr>
            </w:pPr>
            <w:r w:rsidRPr="00206792">
              <w:t>NTACT: facilitate participation of targeted SEA and LEA staff.</w:t>
            </w:r>
          </w:p>
          <w:p w14:paraId="4C6B7EFB" w14:textId="77777777" w:rsidR="00B360F2" w:rsidRPr="00206792" w:rsidRDefault="00B360F2" w:rsidP="00C575C8">
            <w:pPr>
              <w:pStyle w:val="ListParagraph"/>
              <w:numPr>
                <w:ilvl w:val="1"/>
                <w:numId w:val="41"/>
              </w:numPr>
            </w:pPr>
            <w:r w:rsidRPr="00206792">
              <w:t>YTAC: conduct additional training of the VR agency staff around supporting system-involved (juvenile justice, foster care), homeless, and out-of-school youth in the CE process.</w:t>
            </w:r>
          </w:p>
        </w:tc>
        <w:tc>
          <w:tcPr>
            <w:tcW w:w="1874" w:type="pct"/>
            <w:tcBorders>
              <w:top w:val="single" w:sz="4" w:space="0" w:color="auto"/>
              <w:left w:val="single" w:sz="4" w:space="0" w:color="auto"/>
              <w:bottom w:val="single" w:sz="4" w:space="0" w:color="auto"/>
              <w:right w:val="single" w:sz="4" w:space="0" w:color="auto"/>
            </w:tcBorders>
            <w:shd w:val="clear" w:color="auto" w:fill="auto"/>
          </w:tcPr>
          <w:p w14:paraId="52F33E72" w14:textId="77777777" w:rsidR="00B360F2" w:rsidRPr="00206792" w:rsidRDefault="00B360F2" w:rsidP="00C575C8">
            <w:pPr>
              <w:pStyle w:val="ListParagraph"/>
              <w:numPr>
                <w:ilvl w:val="0"/>
                <w:numId w:val="43"/>
              </w:numPr>
              <w:ind w:left="346"/>
            </w:pPr>
            <w:r w:rsidRPr="00206792">
              <w:t>Number of agency staff/CRPs/providers who completed CE training.</w:t>
            </w:r>
          </w:p>
        </w:tc>
      </w:tr>
      <w:tr w:rsidR="00B360F2" w:rsidRPr="00206792" w14:paraId="6826869B" w14:textId="77777777" w:rsidTr="00B360F2">
        <w:trPr>
          <w:trHeight w:val="20"/>
        </w:trPr>
        <w:tc>
          <w:tcPr>
            <w:tcW w:w="3126" w:type="pct"/>
            <w:gridSpan w:val="2"/>
            <w:tcBorders>
              <w:top w:val="single" w:sz="4" w:space="0" w:color="auto"/>
              <w:left w:val="single" w:sz="4" w:space="0" w:color="auto"/>
              <w:bottom w:val="single" w:sz="4" w:space="0" w:color="auto"/>
              <w:right w:val="single" w:sz="4" w:space="0" w:color="auto"/>
            </w:tcBorders>
            <w:shd w:val="clear" w:color="auto" w:fill="auto"/>
          </w:tcPr>
          <w:p w14:paraId="5F90C081" w14:textId="77777777" w:rsidR="00B360F2" w:rsidRPr="00206792" w:rsidRDefault="00B360F2" w:rsidP="00C575C8">
            <w:pPr>
              <w:pStyle w:val="ListParagraph"/>
              <w:numPr>
                <w:ilvl w:val="0"/>
                <w:numId w:val="41"/>
              </w:numPr>
              <w:spacing w:after="0" w:line="240" w:lineRule="exact"/>
            </w:pPr>
            <w:r w:rsidRPr="00206792">
              <w:t>WINTAC: Conduct training (performance-based) of direct service providers engaged in the Pilot Project regarding the provision of CE, following the Essential Elements model.</w:t>
            </w:r>
          </w:p>
        </w:tc>
        <w:tc>
          <w:tcPr>
            <w:tcW w:w="1874" w:type="pct"/>
            <w:tcBorders>
              <w:top w:val="single" w:sz="4" w:space="0" w:color="auto"/>
              <w:left w:val="single" w:sz="4" w:space="0" w:color="auto"/>
              <w:bottom w:val="single" w:sz="4" w:space="0" w:color="auto"/>
              <w:right w:val="single" w:sz="4" w:space="0" w:color="auto"/>
            </w:tcBorders>
            <w:shd w:val="clear" w:color="auto" w:fill="auto"/>
          </w:tcPr>
          <w:p w14:paraId="4F361092" w14:textId="77777777" w:rsidR="00B360F2" w:rsidRPr="00206792" w:rsidRDefault="00B360F2" w:rsidP="00C575C8">
            <w:pPr>
              <w:pStyle w:val="ListParagraph"/>
              <w:numPr>
                <w:ilvl w:val="0"/>
                <w:numId w:val="43"/>
              </w:numPr>
              <w:spacing w:after="0" w:line="240" w:lineRule="exact"/>
              <w:ind w:left="340"/>
            </w:pPr>
            <w:r w:rsidRPr="00206792">
              <w:t>Number of agency staff/CRPs/providers who are authorized by the agency to receive referrals.</w:t>
            </w:r>
          </w:p>
        </w:tc>
      </w:tr>
      <w:tr w:rsidR="00B360F2" w:rsidRPr="00206792" w14:paraId="147C435C" w14:textId="77777777" w:rsidTr="00B360F2">
        <w:trPr>
          <w:trHeight w:val="20"/>
        </w:trPr>
        <w:tc>
          <w:tcPr>
            <w:tcW w:w="3126" w:type="pct"/>
            <w:gridSpan w:val="2"/>
            <w:tcBorders>
              <w:top w:val="single" w:sz="4" w:space="0" w:color="auto"/>
              <w:left w:val="single" w:sz="4" w:space="0" w:color="auto"/>
              <w:bottom w:val="single" w:sz="4" w:space="0" w:color="auto"/>
              <w:right w:val="single" w:sz="4" w:space="0" w:color="auto"/>
            </w:tcBorders>
            <w:shd w:val="clear" w:color="auto" w:fill="auto"/>
          </w:tcPr>
          <w:p w14:paraId="2906D2C9" w14:textId="77777777" w:rsidR="00B360F2" w:rsidRDefault="00B360F2" w:rsidP="00C575C8">
            <w:pPr>
              <w:pStyle w:val="ListParagraph"/>
              <w:numPr>
                <w:ilvl w:val="0"/>
                <w:numId w:val="41"/>
              </w:numPr>
            </w:pPr>
            <w:r w:rsidRPr="00206792">
              <w:t>WINTAC: Develop a plan to expand and sustain CE.</w:t>
            </w:r>
          </w:p>
          <w:p w14:paraId="05D120C5" w14:textId="77777777" w:rsidR="00B360F2" w:rsidRPr="009A526D" w:rsidRDefault="00B360F2" w:rsidP="00C575C8">
            <w:pPr>
              <w:pStyle w:val="ListParagraph"/>
              <w:numPr>
                <w:ilvl w:val="1"/>
                <w:numId w:val="41"/>
              </w:numPr>
            </w:pPr>
            <w:r>
              <w:t>I</w:t>
            </w:r>
            <w:r w:rsidRPr="00206792">
              <w:t>NTACT: include SEAs and LEAs.</w:t>
            </w:r>
          </w:p>
        </w:tc>
        <w:tc>
          <w:tcPr>
            <w:tcW w:w="1874" w:type="pct"/>
            <w:tcBorders>
              <w:top w:val="single" w:sz="4" w:space="0" w:color="auto"/>
              <w:left w:val="single" w:sz="4" w:space="0" w:color="auto"/>
              <w:bottom w:val="single" w:sz="4" w:space="0" w:color="auto"/>
              <w:right w:val="single" w:sz="4" w:space="0" w:color="auto"/>
            </w:tcBorders>
            <w:shd w:val="clear" w:color="auto" w:fill="auto"/>
          </w:tcPr>
          <w:p w14:paraId="42E2DE70" w14:textId="77777777" w:rsidR="00B360F2" w:rsidRPr="009A526D" w:rsidRDefault="00B360F2" w:rsidP="00C575C8">
            <w:pPr>
              <w:pStyle w:val="ListParagraph"/>
              <w:numPr>
                <w:ilvl w:val="0"/>
                <w:numId w:val="43"/>
              </w:numPr>
              <w:ind w:left="346"/>
            </w:pPr>
            <w:r w:rsidRPr="00206792">
              <w:t>Completed sustainability plan.</w:t>
            </w:r>
          </w:p>
        </w:tc>
      </w:tr>
      <w:tr w:rsidR="00B360F2" w:rsidRPr="00206792" w14:paraId="0CF78040" w14:textId="77777777" w:rsidTr="00B360F2">
        <w:trPr>
          <w:trHeight w:val="20"/>
        </w:trPr>
        <w:tc>
          <w:tcPr>
            <w:tcW w:w="3126" w:type="pct"/>
            <w:gridSpan w:val="2"/>
            <w:tcBorders>
              <w:top w:val="single" w:sz="4" w:space="0" w:color="auto"/>
              <w:left w:val="single" w:sz="4" w:space="0" w:color="auto"/>
              <w:bottom w:val="single" w:sz="4" w:space="0" w:color="auto"/>
              <w:right w:val="single" w:sz="4" w:space="0" w:color="auto"/>
            </w:tcBorders>
            <w:shd w:val="clear" w:color="auto" w:fill="auto"/>
          </w:tcPr>
          <w:p w14:paraId="7E30DDA3" w14:textId="77777777" w:rsidR="00B360F2" w:rsidRPr="00206792" w:rsidRDefault="00B360F2" w:rsidP="00C575C8">
            <w:pPr>
              <w:pStyle w:val="ListParagraph"/>
              <w:numPr>
                <w:ilvl w:val="0"/>
                <w:numId w:val="41"/>
              </w:numPr>
              <w:spacing w:after="0" w:line="240" w:lineRule="exact"/>
              <w:rPr>
                <w:color w:val="000000"/>
              </w:rPr>
            </w:pPr>
            <w:r w:rsidRPr="00206792">
              <w:t>NTACT: Monitor LEA(s) engagement in pilot site.</w:t>
            </w:r>
          </w:p>
        </w:tc>
        <w:tc>
          <w:tcPr>
            <w:tcW w:w="1874" w:type="pct"/>
            <w:tcBorders>
              <w:top w:val="single" w:sz="4" w:space="0" w:color="auto"/>
              <w:left w:val="single" w:sz="4" w:space="0" w:color="auto"/>
              <w:bottom w:val="single" w:sz="4" w:space="0" w:color="auto"/>
              <w:right w:val="single" w:sz="4" w:space="0" w:color="auto"/>
            </w:tcBorders>
            <w:shd w:val="clear" w:color="auto" w:fill="auto"/>
          </w:tcPr>
          <w:p w14:paraId="33B39F6A" w14:textId="77777777" w:rsidR="00B360F2" w:rsidRPr="00206792" w:rsidRDefault="00B360F2" w:rsidP="00C575C8">
            <w:pPr>
              <w:pStyle w:val="ListParagraph"/>
              <w:numPr>
                <w:ilvl w:val="0"/>
                <w:numId w:val="43"/>
              </w:numPr>
              <w:spacing w:after="0" w:line="240" w:lineRule="exact"/>
              <w:ind w:left="340"/>
              <w:rPr>
                <w:color w:val="000000"/>
              </w:rPr>
            </w:pPr>
            <w:r w:rsidRPr="00206792">
              <w:t>Additional NTACT Output: A completed monitoring summary of LEA engagement in pilot CE site(s).</w:t>
            </w:r>
          </w:p>
        </w:tc>
      </w:tr>
      <w:tr w:rsidR="00B360F2" w:rsidRPr="00206792" w14:paraId="154763AF" w14:textId="77777777" w:rsidTr="00B360F2">
        <w:trPr>
          <w:trHeight w:val="20"/>
        </w:trPr>
        <w:tc>
          <w:tcPr>
            <w:tcW w:w="5000" w:type="pct"/>
            <w:gridSpan w:val="3"/>
            <w:tcBorders>
              <w:top w:val="single" w:sz="4" w:space="0" w:color="auto"/>
              <w:left w:val="single" w:sz="4" w:space="0" w:color="000000"/>
              <w:bottom w:val="single" w:sz="4" w:space="0" w:color="auto"/>
              <w:right w:val="single" w:sz="4" w:space="0" w:color="000000"/>
            </w:tcBorders>
            <w:shd w:val="clear" w:color="auto" w:fill="D9E2F3" w:themeFill="accent1" w:themeFillTint="33"/>
            <w:vAlign w:val="center"/>
          </w:tcPr>
          <w:p w14:paraId="0DFFC975" w14:textId="77777777" w:rsidR="00B360F2" w:rsidRPr="00206792" w:rsidRDefault="00B360F2" w:rsidP="008A190D">
            <w:pPr>
              <w:spacing w:after="0" w:line="240" w:lineRule="auto"/>
              <w:ind w:hanging="31"/>
              <w:jc w:val="center"/>
              <w:rPr>
                <w:b/>
              </w:rPr>
            </w:pPr>
            <w:r w:rsidRPr="00206792">
              <w:rPr>
                <w:b/>
              </w:rPr>
              <w:t>Short-Term Outcomes</w:t>
            </w:r>
          </w:p>
          <w:p w14:paraId="28E03571" w14:textId="77777777" w:rsidR="00B360F2" w:rsidRPr="00206792" w:rsidRDefault="00B360F2" w:rsidP="00C575C8">
            <w:pPr>
              <w:pStyle w:val="ListParagraph"/>
              <w:numPr>
                <w:ilvl w:val="0"/>
                <w:numId w:val="45"/>
              </w:numPr>
            </w:pPr>
            <w:r w:rsidRPr="00206792">
              <w:t>Increased number of clients, including those with the most significant disabilities (NTACT: and/or students; YTAC: and/or system-involved, homeless, and/or out-of-school youth)</w:t>
            </w:r>
          </w:p>
          <w:p w14:paraId="3C6F02C6" w14:textId="77777777" w:rsidR="00B360F2" w:rsidRPr="00206792" w:rsidRDefault="00B360F2" w:rsidP="00C575C8">
            <w:pPr>
              <w:pStyle w:val="ListParagraph"/>
              <w:numPr>
                <w:ilvl w:val="1"/>
                <w:numId w:val="46"/>
              </w:numPr>
            </w:pPr>
            <w:r w:rsidRPr="00206792">
              <w:t>Referred for CE services</w:t>
            </w:r>
          </w:p>
          <w:p w14:paraId="09CA2DCA" w14:textId="77777777" w:rsidR="00B360F2" w:rsidRPr="00206792" w:rsidRDefault="00B360F2" w:rsidP="00C575C8">
            <w:pPr>
              <w:pStyle w:val="ListParagraph"/>
              <w:numPr>
                <w:ilvl w:val="1"/>
                <w:numId w:val="46"/>
              </w:numPr>
            </w:pPr>
            <w:r w:rsidRPr="00206792">
              <w:t>With IPE that includes CE or CIE goals (NTACT: or IEP for LEAs and SEAs, which should include in Summary of Performance detailed information of CE experiences)</w:t>
            </w:r>
          </w:p>
          <w:p w14:paraId="2C4B5947" w14:textId="77777777" w:rsidR="00B360F2" w:rsidRPr="00206792" w:rsidRDefault="00B360F2" w:rsidP="00C575C8">
            <w:pPr>
              <w:pStyle w:val="ListParagraph"/>
              <w:numPr>
                <w:ilvl w:val="1"/>
                <w:numId w:val="46"/>
              </w:numPr>
            </w:pPr>
            <w:r w:rsidRPr="00206792">
              <w:t xml:space="preserve">Receiving customized employment as a service. </w:t>
            </w:r>
            <w:r w:rsidRPr="00206792">
              <w:rPr>
                <w:i/>
              </w:rPr>
              <w:t>Measurement: # individuals receiving CE annually, compared to baseline – case management system, 911 data, competency review data</w:t>
            </w:r>
          </w:p>
          <w:p w14:paraId="61ACC9CA" w14:textId="77777777" w:rsidR="00B360F2" w:rsidRPr="00206792" w:rsidRDefault="00B360F2" w:rsidP="00C575C8">
            <w:pPr>
              <w:pStyle w:val="ListParagraph"/>
              <w:numPr>
                <w:ilvl w:val="2"/>
                <w:numId w:val="47"/>
              </w:numPr>
            </w:pPr>
            <w:r w:rsidRPr="00206792">
              <w:t xml:space="preserve">Increased evidence of implementation of Essential Elements in client service files (e.g., increased exploration of jobs with the individual, work with employers to facilitate and customize placements, development of job duties, logistics, etc., client representation, provision of supports). </w:t>
            </w:r>
            <w:r w:rsidRPr="00206792">
              <w:rPr>
                <w:i/>
              </w:rPr>
              <w:t>Measurement: Competency review data</w:t>
            </w:r>
          </w:p>
          <w:p w14:paraId="3CC631C9" w14:textId="77777777" w:rsidR="00B360F2" w:rsidRPr="00206792" w:rsidRDefault="00B360F2" w:rsidP="00C575C8">
            <w:pPr>
              <w:pStyle w:val="ListParagraph"/>
              <w:numPr>
                <w:ilvl w:val="2"/>
                <w:numId w:val="47"/>
              </w:numPr>
            </w:pPr>
            <w:r w:rsidRPr="00206792">
              <w:lastRenderedPageBreak/>
              <w:t xml:space="preserve">Practitioners providing quality services according to agency’s service performance measures and/or protocols. </w:t>
            </w:r>
            <w:r w:rsidRPr="00206792">
              <w:rPr>
                <w:i/>
              </w:rPr>
              <w:t>Measurement: Agency protocol data</w:t>
            </w:r>
          </w:p>
          <w:p w14:paraId="1A70B8F9" w14:textId="77777777" w:rsidR="00B360F2" w:rsidRPr="00206792" w:rsidRDefault="00B360F2" w:rsidP="00C575C8">
            <w:pPr>
              <w:pStyle w:val="ListParagraph"/>
              <w:numPr>
                <w:ilvl w:val="1"/>
                <w:numId w:val="45"/>
              </w:numPr>
            </w:pPr>
            <w:r w:rsidRPr="00206792">
              <w:t>Increase in work-based learning experiences for clients with the most significant disabilities.</w:t>
            </w:r>
          </w:p>
          <w:p w14:paraId="7174F0D6" w14:textId="77777777" w:rsidR="00B360F2" w:rsidRPr="00206792" w:rsidRDefault="00B360F2" w:rsidP="00C575C8">
            <w:pPr>
              <w:pStyle w:val="ListParagraph"/>
              <w:numPr>
                <w:ilvl w:val="0"/>
                <w:numId w:val="45"/>
              </w:numPr>
              <w:rPr>
                <w:i/>
              </w:rPr>
            </w:pPr>
            <w:r w:rsidRPr="00206792">
              <w:t xml:space="preserve">Increased statewide capacity and infrastructure to provide CE (systems change) [can specify populations, e.g., youth, blind]. </w:t>
            </w:r>
            <w:r w:rsidRPr="00206792">
              <w:rPr>
                <w:i/>
              </w:rPr>
              <w:t>Measurement: number of service providers offering CE, and number of clients served, pre- and post-WINTAC TA and training</w:t>
            </w:r>
          </w:p>
          <w:p w14:paraId="2E482D6A" w14:textId="77777777" w:rsidR="00B360F2" w:rsidRPr="00206792" w:rsidRDefault="00B360F2" w:rsidP="00C575C8">
            <w:pPr>
              <w:pStyle w:val="ListParagraph"/>
              <w:numPr>
                <w:ilvl w:val="1"/>
                <w:numId w:val="48"/>
              </w:numPr>
              <w:rPr>
                <w:i/>
              </w:rPr>
            </w:pPr>
            <w:r w:rsidRPr="00206792">
              <w:rPr>
                <w:i/>
              </w:rPr>
              <w:t>VR staff capable of making appropriate referrals</w:t>
            </w:r>
          </w:p>
          <w:p w14:paraId="22031619" w14:textId="77777777" w:rsidR="00B360F2" w:rsidRPr="00206792" w:rsidRDefault="00B360F2" w:rsidP="00C575C8">
            <w:pPr>
              <w:pStyle w:val="ListParagraph"/>
              <w:numPr>
                <w:ilvl w:val="1"/>
                <w:numId w:val="48"/>
              </w:numPr>
            </w:pPr>
            <w:r w:rsidRPr="00206792">
              <w:t>VR staff capable of evaluating competency of CE providers in implementing CE according to Essential Elements model</w:t>
            </w:r>
          </w:p>
          <w:p w14:paraId="6B7387B5" w14:textId="77777777" w:rsidR="00B360F2" w:rsidRPr="00206792" w:rsidRDefault="00B360F2" w:rsidP="00C575C8">
            <w:pPr>
              <w:pStyle w:val="ListParagraph"/>
              <w:numPr>
                <w:ilvl w:val="1"/>
                <w:numId w:val="48"/>
              </w:numPr>
              <w:rPr>
                <w:i/>
              </w:rPr>
            </w:pPr>
            <w:r w:rsidRPr="00206792">
              <w:t xml:space="preserve">Service providers capable of providing competent CE services according to Essential Elements model. </w:t>
            </w:r>
            <w:r w:rsidRPr="00206792">
              <w:rPr>
                <w:i/>
              </w:rPr>
              <w:t>Measurement:</w:t>
            </w:r>
          </w:p>
          <w:p w14:paraId="4A2A27A9" w14:textId="77777777" w:rsidR="00B360F2" w:rsidRPr="00206792" w:rsidRDefault="00B360F2" w:rsidP="00C575C8">
            <w:pPr>
              <w:pStyle w:val="ListParagraph"/>
              <w:numPr>
                <w:ilvl w:val="2"/>
                <w:numId w:val="49"/>
              </w:numPr>
              <w:rPr>
                <w:i/>
              </w:rPr>
            </w:pPr>
            <w:r w:rsidRPr="00206792">
              <w:rPr>
                <w:i/>
              </w:rPr>
              <w:t>practitioner knowledge pre-/post-training</w:t>
            </w:r>
          </w:p>
          <w:p w14:paraId="4E405071" w14:textId="77777777" w:rsidR="00B360F2" w:rsidRPr="00206792" w:rsidRDefault="00B360F2" w:rsidP="00C575C8">
            <w:pPr>
              <w:pStyle w:val="ListParagraph"/>
              <w:numPr>
                <w:ilvl w:val="2"/>
                <w:numId w:val="49"/>
              </w:numPr>
              <w:rPr>
                <w:i/>
              </w:rPr>
            </w:pPr>
            <w:r w:rsidRPr="00206792">
              <w:rPr>
                <w:i/>
              </w:rPr>
              <w:t>current # of certified CE providers, compared to baseline</w:t>
            </w:r>
          </w:p>
          <w:p w14:paraId="145AD4EC" w14:textId="77777777" w:rsidR="00B360F2" w:rsidRPr="00206792" w:rsidRDefault="00B360F2" w:rsidP="00C575C8">
            <w:pPr>
              <w:pStyle w:val="ListParagraph"/>
              <w:numPr>
                <w:ilvl w:val="1"/>
                <w:numId w:val="45"/>
              </w:numPr>
            </w:pPr>
            <w:r w:rsidRPr="00206792">
              <w:t xml:space="preserve">All partners actively implementing CE according to their respective roles, in alignment with the implementation plan and Essential Elements model. </w:t>
            </w:r>
            <w:r w:rsidRPr="00206792">
              <w:rPr>
                <w:i/>
              </w:rPr>
              <w:t>Measurement: Quantitative assessment based on data from competency reviews or other agency protocols; qualitative assessment based on implementation plan, MOUs or other agreements</w:t>
            </w:r>
            <w:r w:rsidRPr="00206792">
              <w:t xml:space="preserve"> </w:t>
            </w:r>
          </w:p>
          <w:p w14:paraId="7BA71B5A" w14:textId="77777777" w:rsidR="00B360F2" w:rsidRPr="00206792" w:rsidRDefault="00B360F2" w:rsidP="00C575C8">
            <w:pPr>
              <w:pStyle w:val="ListParagraph"/>
              <w:numPr>
                <w:ilvl w:val="2"/>
                <w:numId w:val="45"/>
              </w:numPr>
            </w:pPr>
            <w:r w:rsidRPr="00206792">
              <w:t>NTACT: LEAs engaged in CE in collaboration with state and/or local VR, ID/DD, MH, CMS</w:t>
            </w:r>
          </w:p>
          <w:p w14:paraId="54D13FAF" w14:textId="77777777" w:rsidR="00B360F2" w:rsidRPr="00206792" w:rsidRDefault="00B360F2" w:rsidP="00B360F2">
            <w:pPr>
              <w:jc w:val="center"/>
              <w:rPr>
                <w:b/>
              </w:rPr>
            </w:pPr>
            <w:r w:rsidRPr="00206792">
              <w:rPr>
                <w:b/>
              </w:rPr>
              <w:t>Long-Term Outcomes</w:t>
            </w:r>
          </w:p>
          <w:p w14:paraId="7A84FD4E" w14:textId="77777777" w:rsidR="00B360F2" w:rsidRPr="00206792" w:rsidRDefault="00B360F2" w:rsidP="00C575C8">
            <w:pPr>
              <w:pStyle w:val="ListParagraph"/>
              <w:numPr>
                <w:ilvl w:val="0"/>
                <w:numId w:val="42"/>
              </w:numPr>
            </w:pPr>
            <w:r w:rsidRPr="00206792">
              <w:t xml:space="preserve">Decrease in unsuccessful closures due to severity of disability. </w:t>
            </w:r>
            <w:r w:rsidRPr="00206792">
              <w:rPr>
                <w:i/>
              </w:rPr>
              <w:t>Measurement: Case management system and 911 data</w:t>
            </w:r>
          </w:p>
          <w:p w14:paraId="5AF68648" w14:textId="77777777" w:rsidR="00B360F2" w:rsidRPr="00206792" w:rsidRDefault="00B360F2" w:rsidP="00C575C8">
            <w:pPr>
              <w:pStyle w:val="ListParagraph"/>
              <w:numPr>
                <w:ilvl w:val="0"/>
                <w:numId w:val="42"/>
              </w:numPr>
            </w:pPr>
            <w:r w:rsidRPr="00206792">
              <w:t xml:space="preserve">Increase in Competitive Integrated Employment for individuals as a result of CE, including those with the most significant disabilities [can specify other populations, e.g., youth, blind, co-enrolled, or “who would have otherwise been in subminimum wage employment”] YTAC: and/or system-involved, homeless, and out-of-school youth. </w:t>
            </w:r>
            <w:r w:rsidRPr="00206792">
              <w:rPr>
                <w:i/>
              </w:rPr>
              <w:t>Measurement: Case management system and 911 data compared with baseline year</w:t>
            </w:r>
          </w:p>
          <w:p w14:paraId="3E8A5631" w14:textId="77777777" w:rsidR="00B360F2" w:rsidRPr="00206792" w:rsidRDefault="00B360F2" w:rsidP="00C575C8">
            <w:pPr>
              <w:pStyle w:val="ListParagraph"/>
              <w:numPr>
                <w:ilvl w:val="1"/>
                <w:numId w:val="50"/>
              </w:numPr>
            </w:pPr>
            <w:r w:rsidRPr="00206792">
              <w:t>Placement, e.g., number of jobs in high demand areas as identified by the local workforce development system</w:t>
            </w:r>
          </w:p>
          <w:p w14:paraId="5C196E11" w14:textId="77777777" w:rsidR="00B360F2" w:rsidRPr="00206792" w:rsidRDefault="00B360F2" w:rsidP="00C575C8">
            <w:pPr>
              <w:pStyle w:val="ListParagraph"/>
              <w:numPr>
                <w:ilvl w:val="1"/>
                <w:numId w:val="50"/>
              </w:numPr>
            </w:pPr>
            <w:r w:rsidRPr="00206792">
              <w:t>Retention, e.g., consumers retain employment in 2nd and 4th quarter after exit from VR program</w:t>
            </w:r>
          </w:p>
          <w:p w14:paraId="56A05AF7" w14:textId="77777777" w:rsidR="00B360F2" w:rsidRPr="00206792" w:rsidRDefault="00B360F2" w:rsidP="00C575C8">
            <w:pPr>
              <w:pStyle w:val="ListParagraph"/>
              <w:numPr>
                <w:ilvl w:val="1"/>
                <w:numId w:val="50"/>
              </w:numPr>
            </w:pPr>
            <w:r w:rsidRPr="00206792">
              <w:t>Advancement, e.g., engaged in a recognized career pathway as identified by VR and other core workforce partners</w:t>
            </w:r>
          </w:p>
          <w:p w14:paraId="60CE98EF" w14:textId="77777777" w:rsidR="00B360F2" w:rsidRPr="00206792" w:rsidRDefault="00B360F2" w:rsidP="00C575C8">
            <w:pPr>
              <w:pStyle w:val="ListParagraph"/>
              <w:numPr>
                <w:ilvl w:val="1"/>
                <w:numId w:val="50"/>
              </w:numPr>
            </w:pPr>
            <w:r w:rsidRPr="00206792">
              <w:t>Self-sufficiency, e.g., average earnings from one year to the next in addition to number who moved from public support to earnings as their primary source of income at application vs. closure</w:t>
            </w:r>
          </w:p>
          <w:p w14:paraId="70CDF58B" w14:textId="77777777" w:rsidR="00B360F2" w:rsidRPr="00206792" w:rsidRDefault="00B360F2" w:rsidP="00C575C8">
            <w:pPr>
              <w:pStyle w:val="ListParagraph"/>
              <w:numPr>
                <w:ilvl w:val="0"/>
                <w:numId w:val="42"/>
              </w:numPr>
            </w:pPr>
            <w:r w:rsidRPr="00206792">
              <w:t xml:space="preserve">Increase in diversity of employment outcomes for individuals with most significant disabilities. </w:t>
            </w:r>
          </w:p>
          <w:p w14:paraId="2851C4D7" w14:textId="77777777" w:rsidR="00B360F2" w:rsidRPr="00206792" w:rsidRDefault="00B360F2" w:rsidP="00C575C8">
            <w:pPr>
              <w:pStyle w:val="ListParagraph"/>
              <w:numPr>
                <w:ilvl w:val="0"/>
                <w:numId w:val="42"/>
              </w:numPr>
              <w:rPr>
                <w:i/>
              </w:rPr>
            </w:pPr>
            <w:r w:rsidRPr="00206792">
              <w:t xml:space="preserve">Increase in number of employers willing to provide customized employment opportunities. </w:t>
            </w:r>
            <w:r w:rsidRPr="00206792">
              <w:rPr>
                <w:i/>
              </w:rPr>
              <w:t>Measurement: Activities and Outputs that link results to WINTAC TA</w:t>
            </w:r>
          </w:p>
          <w:p w14:paraId="63F942F2" w14:textId="77777777" w:rsidR="00B360F2" w:rsidRPr="00206792" w:rsidRDefault="00B360F2" w:rsidP="00C575C8">
            <w:pPr>
              <w:pStyle w:val="ListParagraph"/>
              <w:numPr>
                <w:ilvl w:val="0"/>
                <w:numId w:val="42"/>
              </w:numPr>
              <w:rPr>
                <w:i/>
              </w:rPr>
            </w:pPr>
            <w:r w:rsidRPr="00206792">
              <w:rPr>
                <w:i/>
              </w:rPr>
              <w:t>Increase in the Return-on-Investment for VR agencies.</w:t>
            </w:r>
          </w:p>
          <w:p w14:paraId="6C8A2BC2" w14:textId="77777777" w:rsidR="00B360F2" w:rsidRPr="00206792" w:rsidRDefault="00B360F2" w:rsidP="00C575C8">
            <w:pPr>
              <w:pStyle w:val="ListParagraph"/>
              <w:numPr>
                <w:ilvl w:val="0"/>
                <w:numId w:val="42"/>
              </w:numPr>
            </w:pPr>
            <w:r w:rsidRPr="00206792">
              <w:t xml:space="preserve">Increased leveraging of fiscal and other resources of partner agencies (systems change). </w:t>
            </w:r>
            <w:r w:rsidRPr="00206792">
              <w:rPr>
                <w:i/>
              </w:rPr>
              <w:t>Measurement: Agency budget data</w:t>
            </w:r>
          </w:p>
          <w:p w14:paraId="0BBD9642" w14:textId="77777777" w:rsidR="00B360F2" w:rsidRPr="00206792" w:rsidRDefault="00B360F2" w:rsidP="00C575C8">
            <w:pPr>
              <w:pStyle w:val="ListParagraph"/>
              <w:numPr>
                <w:ilvl w:val="0"/>
                <w:numId w:val="42"/>
              </w:numPr>
            </w:pPr>
            <w:r w:rsidRPr="00206792">
              <w:t xml:space="preserve">Increase in level of integration with workforce agencies; increase in number of individuals served in AJCs. </w:t>
            </w:r>
            <w:r w:rsidRPr="00206792">
              <w:rPr>
                <w:i/>
              </w:rPr>
              <w:t>Measurement: Rate of co-enrollments</w:t>
            </w:r>
            <w:r w:rsidRPr="00206792">
              <w:t xml:space="preserve"> </w:t>
            </w:r>
          </w:p>
          <w:p w14:paraId="033A214C" w14:textId="77777777" w:rsidR="00B360F2" w:rsidRPr="00206792" w:rsidRDefault="00B360F2" w:rsidP="00C575C8">
            <w:pPr>
              <w:pStyle w:val="ListParagraph"/>
              <w:numPr>
                <w:ilvl w:val="0"/>
                <w:numId w:val="42"/>
              </w:numPr>
            </w:pPr>
            <w:r w:rsidRPr="00206792">
              <w:t xml:space="preserve">Increased capacity to sustain CE as a practice after the pilot phase. </w:t>
            </w:r>
            <w:r w:rsidRPr="00206792">
              <w:rPr>
                <w:i/>
              </w:rPr>
              <w:t>Measurement: Sustainability plan</w:t>
            </w:r>
          </w:p>
          <w:p w14:paraId="681C0060" w14:textId="77777777" w:rsidR="00B360F2" w:rsidRPr="00206792" w:rsidRDefault="00B360F2" w:rsidP="00C575C8">
            <w:pPr>
              <w:pStyle w:val="ListParagraph"/>
              <w:numPr>
                <w:ilvl w:val="0"/>
                <w:numId w:val="2"/>
              </w:numPr>
              <w:spacing w:after="0" w:line="240" w:lineRule="auto"/>
            </w:pPr>
            <w:r w:rsidRPr="00206792">
              <w:t>Additional NTACT Outcome: Increase in the number of former students reporting that they are engaged in CIE based upon LEA’s IDEA Ind. 14 data.</w:t>
            </w:r>
          </w:p>
        </w:tc>
      </w:tr>
    </w:tbl>
    <w:p w14:paraId="6EC7DDE7" w14:textId="77777777" w:rsidR="00B360F2" w:rsidRDefault="00B360F2" w:rsidP="00B360F2">
      <w:pPr>
        <w:ind w:firstLine="0"/>
        <w:rPr>
          <w:rFonts w:cstheme="minorHAnsi"/>
          <w:b/>
          <w:caps/>
          <w:sz w:val="36"/>
          <w:szCs w:val="36"/>
        </w:rPr>
      </w:pPr>
      <w:r>
        <w:rPr>
          <w:caps/>
          <w:sz w:val="36"/>
          <w:szCs w:val="36"/>
        </w:rPr>
        <w:lastRenderedPageBreak/>
        <w:br w:type="page"/>
      </w:r>
    </w:p>
    <w:p w14:paraId="0498E301" w14:textId="771B08BB" w:rsidR="00B360F2" w:rsidRPr="00B360F2" w:rsidRDefault="00B360F2" w:rsidP="00B360F2">
      <w:pPr>
        <w:pStyle w:val="Heading2"/>
      </w:pPr>
      <w:bookmarkStart w:id="131" w:name="_Toc41940252"/>
      <w:r w:rsidRPr="00B360F2">
        <w:lastRenderedPageBreak/>
        <w:t>Customized Employment: Activities Progress Dashboards</w:t>
      </w:r>
      <w:bookmarkEnd w:id="131"/>
    </w:p>
    <w:p w14:paraId="7849490B" w14:textId="77777777" w:rsidR="00B360F2" w:rsidRDefault="00B360F2" w:rsidP="00B360F2">
      <w:pPr>
        <w:ind w:firstLine="0"/>
      </w:pPr>
      <w:r>
        <w:rPr>
          <w:noProof/>
          <w:lang w:eastAsia="ko-KR"/>
        </w:rPr>
        <w:drawing>
          <wp:inline distT="0" distB="0" distL="0" distR="0" wp14:anchorId="47E3FB35" wp14:editId="514CBDD0">
            <wp:extent cx="6858000" cy="2938145"/>
            <wp:effectExtent l="0" t="0" r="0" b="0"/>
            <wp:docPr id="108" name="Picture 108" descr="Progress Customized Employment Activities showing 63%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858000" cy="2938145"/>
                    </a:xfrm>
                    <a:prstGeom prst="rect">
                      <a:avLst/>
                    </a:prstGeom>
                  </pic:spPr>
                </pic:pic>
              </a:graphicData>
            </a:graphic>
          </wp:inline>
        </w:drawing>
      </w:r>
    </w:p>
    <w:p w14:paraId="2E84273B" w14:textId="77777777" w:rsidR="00B360F2" w:rsidRDefault="00B360F2" w:rsidP="00B360F2">
      <w:r>
        <w:t>WINTAC’s Customized Employment activities relate to supporting SVRAs in considering, developing, implementing and sustaining CE pilot projects. Thirteen SVRAs are implementing 11 pilots in 10 states under 12 ITAAs. An additional two SVRAs are in the process of establishing pilots. Across the topic area we see that as many as 71% of intensive TA activities are nearing or have reached completion (75-100% complete). Most of these activities and outputs involve pilot feasibility, readiness, planning and training. 29% of all CE activities are half completed or less and have mostly to do with preparations for sustaining CE after the pilot although the two projects in development understandably have lower completion rates for activities associated with feasibility, readiness and planning.</w:t>
      </w:r>
    </w:p>
    <w:p w14:paraId="1EE1BC35" w14:textId="77777777" w:rsidR="00B360F2" w:rsidRPr="00AC0D29" w:rsidRDefault="00B360F2" w:rsidP="00B360F2">
      <w:pPr>
        <w:spacing w:after="0"/>
        <w:rPr>
          <w:rFonts w:cstheme="minorHAnsi"/>
        </w:rPr>
        <w:sectPr w:rsidR="00B360F2" w:rsidRPr="00AC0D29" w:rsidSect="00B360F2">
          <w:pgSz w:w="12240" w:h="15840"/>
          <w:pgMar w:top="720" w:right="720" w:bottom="720" w:left="720" w:header="720" w:footer="720" w:gutter="0"/>
          <w:cols w:space="720"/>
          <w:docGrid w:linePitch="381"/>
        </w:sectPr>
      </w:pPr>
    </w:p>
    <w:p w14:paraId="54FDF274" w14:textId="6F25913C" w:rsidR="00B360F2" w:rsidRPr="00B360F2" w:rsidRDefault="00B360F2" w:rsidP="00B360F2">
      <w:pPr>
        <w:pStyle w:val="Heading2"/>
      </w:pPr>
      <w:bookmarkStart w:id="132" w:name="_Toc41940253"/>
      <w:r w:rsidRPr="00B360F2">
        <w:t>Customized Employment: Activities /Output Progress</w:t>
      </w:r>
      <w:bookmarkEnd w:id="132"/>
      <w:r w:rsidRPr="00B360F2">
        <w:t xml:space="preserve"> </w:t>
      </w:r>
    </w:p>
    <w:p w14:paraId="5D313BEA" w14:textId="491C7213" w:rsidR="00B360F2" w:rsidRPr="00411D18" w:rsidRDefault="00B360F2" w:rsidP="00B360F2">
      <w:pPr>
        <w:tabs>
          <w:tab w:val="left" w:pos="360"/>
        </w:tabs>
        <w:rPr>
          <w:rFonts w:cstheme="minorHAnsi"/>
        </w:rPr>
      </w:pPr>
      <w:r>
        <w:rPr>
          <w:rFonts w:cstheme="minorHAnsi"/>
        </w:rPr>
        <w:t xml:space="preserve">In the following “thermometer charts,” the progress rate is broken down by specific activity side-by-side with the linked output’s progress rate. These charts show a </w:t>
      </w:r>
      <w:r w:rsidRPr="00867954">
        <w:rPr>
          <w:rFonts w:cstheme="minorHAnsi"/>
        </w:rPr>
        <w:t xml:space="preserve">one-to-one </w:t>
      </w:r>
      <w:r w:rsidRPr="00867954">
        <w:rPr>
          <w:szCs w:val="14"/>
        </w:rPr>
        <w:t>correspondence</w:t>
      </w:r>
      <w:r w:rsidRPr="00867954">
        <w:rPr>
          <w:rFonts w:cstheme="minorHAnsi"/>
        </w:rPr>
        <w:t xml:space="preserve"> between the rate of completion for </w:t>
      </w:r>
      <w:r>
        <w:rPr>
          <w:rFonts w:cstheme="minorHAnsi"/>
        </w:rPr>
        <w:t>six</w:t>
      </w:r>
      <w:r w:rsidRPr="00867954">
        <w:rPr>
          <w:rFonts w:cstheme="minorHAnsi"/>
        </w:rPr>
        <w:t xml:space="preserve"> of the 1</w:t>
      </w:r>
      <w:r>
        <w:rPr>
          <w:rFonts w:cstheme="minorHAnsi"/>
        </w:rPr>
        <w:t>2</w:t>
      </w:r>
      <w:r w:rsidRPr="00867954">
        <w:rPr>
          <w:rFonts w:cstheme="minorHAnsi"/>
        </w:rPr>
        <w:t xml:space="preserve"> CE activities and their outputs as presented in the logic model.</w:t>
      </w:r>
      <w:r>
        <w:rPr>
          <w:rFonts w:cstheme="minorHAnsi"/>
        </w:rPr>
        <w:t xml:space="preserve"> In the other six, the rates at which outputs are generated differ slightly from the corresponding activities’ completion rates, likely due to the nature of the activity and varied results from one state to another.</w:t>
      </w:r>
    </w:p>
    <w:p w14:paraId="44D46DDA" w14:textId="77777777" w:rsidR="00B360F2" w:rsidRDefault="00B360F2" w:rsidP="00B360F2">
      <w:pPr>
        <w:tabs>
          <w:tab w:val="left" w:pos="360"/>
        </w:tabs>
        <w:spacing w:after="0"/>
        <w:rPr>
          <w:rFonts w:cstheme="minorHAnsi"/>
        </w:rPr>
        <w:sectPr w:rsidR="00B360F2" w:rsidSect="00B360F2">
          <w:headerReference w:type="even" r:id="rId320"/>
          <w:headerReference w:type="default" r:id="rId321"/>
          <w:footerReference w:type="even" r:id="rId322"/>
          <w:footerReference w:type="default" r:id="rId323"/>
          <w:headerReference w:type="first" r:id="rId324"/>
          <w:footerReference w:type="first" r:id="rId325"/>
          <w:type w:val="continuous"/>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docGrid w:linePitch="360"/>
        </w:sectPr>
      </w:pPr>
    </w:p>
    <w:p w14:paraId="248728FA" w14:textId="77777777" w:rsidR="00B360F2" w:rsidRDefault="00B360F2" w:rsidP="00B360F2">
      <w:pPr>
        <w:tabs>
          <w:tab w:val="left" w:pos="360"/>
        </w:tabs>
        <w:ind w:firstLine="0"/>
        <w:jc w:val="center"/>
        <w:rPr>
          <w:szCs w:val="14"/>
        </w:rPr>
      </w:pPr>
      <w:r w:rsidRPr="003A10D6">
        <w:rPr>
          <w:sz w:val="36"/>
          <w:szCs w:val="36"/>
        </w:rPr>
        <w:lastRenderedPageBreak/>
        <w:t xml:space="preserve">Activity </w:t>
      </w:r>
      <w:r>
        <w:rPr>
          <w:sz w:val="36"/>
          <w:szCs w:val="36"/>
        </w:rPr>
        <w:t>1</w:t>
      </w:r>
      <w:r>
        <w:rPr>
          <w:szCs w:val="14"/>
        </w:rPr>
        <w:br/>
      </w:r>
      <w:r>
        <w:rPr>
          <w:noProof/>
          <w:lang w:eastAsia="ko-KR"/>
        </w:rPr>
        <w:drawing>
          <wp:inline distT="0" distB="0" distL="0" distR="0" wp14:anchorId="0F03BCE9" wp14:editId="0F7A8B6E">
            <wp:extent cx="1631297" cy="4103077"/>
            <wp:effectExtent l="0" t="0" r="0" b="0"/>
            <wp:docPr id="109" name="Picture 109" descr="Activity &amp; Outputs Progress 1">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1686480" cy="4241874"/>
                    </a:xfrm>
                    <a:prstGeom prst="rect">
                      <a:avLst/>
                    </a:prstGeom>
                  </pic:spPr>
                </pic:pic>
              </a:graphicData>
            </a:graphic>
          </wp:inline>
        </w:drawing>
      </w:r>
      <w:r>
        <w:rPr>
          <w:sz w:val="36"/>
          <w:szCs w:val="36"/>
        </w:rPr>
        <w:br/>
      </w:r>
      <w:r>
        <w:rPr>
          <w:noProof/>
          <w:lang w:eastAsia="ko-KR"/>
        </w:rPr>
        <w:drawing>
          <wp:inline distT="0" distB="0" distL="0" distR="0" wp14:anchorId="5EF39D42" wp14:editId="315D416F">
            <wp:extent cx="2090057" cy="370114"/>
            <wp:effectExtent l="0" t="0" r="5715" b="0"/>
            <wp:docPr id="110" name="Picture 110"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90057" cy="370114"/>
                    </a:xfrm>
                    <a:prstGeom prst="rect">
                      <a:avLst/>
                    </a:prstGeom>
                  </pic:spPr>
                </pic:pic>
              </a:graphicData>
            </a:graphic>
          </wp:inline>
        </w:drawing>
      </w:r>
    </w:p>
    <w:p w14:paraId="703BBE0F" w14:textId="77777777" w:rsidR="00B360F2" w:rsidRPr="00BB2098" w:rsidRDefault="00B360F2" w:rsidP="00B360F2">
      <w:pPr>
        <w:spacing w:after="0" w:line="240" w:lineRule="auto"/>
        <w:ind w:firstLine="0"/>
        <w:rPr>
          <w:rFonts w:cstheme="minorHAnsi"/>
        </w:rPr>
      </w:pPr>
      <w:r w:rsidRPr="00B65379">
        <w:rPr>
          <w:rFonts w:cstheme="minorHAnsi"/>
          <w:b/>
          <w:bCs/>
        </w:rPr>
        <w:t>Activity 1:</w:t>
      </w:r>
      <w:r>
        <w:rPr>
          <w:rFonts w:cstheme="minorHAnsi"/>
        </w:rPr>
        <w:t xml:space="preserve"> </w:t>
      </w:r>
      <w:r w:rsidRPr="00BB2098">
        <w:rPr>
          <w:rFonts w:cstheme="minorHAnsi"/>
        </w:rPr>
        <w:t>WINTAC: Analyze system’s (VR and State Partners) readiness and capacity to implement CE.</w:t>
      </w:r>
    </w:p>
    <w:p w14:paraId="3EF72AFA" w14:textId="77777777" w:rsidR="00B360F2" w:rsidRPr="002A31D0" w:rsidRDefault="00B360F2" w:rsidP="00C575C8">
      <w:pPr>
        <w:pStyle w:val="ListParagraph"/>
        <w:numPr>
          <w:ilvl w:val="0"/>
          <w:numId w:val="51"/>
        </w:numPr>
        <w:spacing w:after="0" w:line="240" w:lineRule="auto"/>
        <w:ind w:left="360" w:firstLine="0"/>
        <w:rPr>
          <w:rFonts w:cstheme="minorHAnsi"/>
          <w:sz w:val="20"/>
          <w:szCs w:val="20"/>
        </w:rPr>
      </w:pPr>
      <w:r w:rsidRPr="002A31D0">
        <w:rPr>
          <w:rFonts w:cstheme="minorHAnsi"/>
          <w:sz w:val="20"/>
          <w:szCs w:val="20"/>
        </w:rPr>
        <w:t>NTACT: examine same, including current systems collaboration, for students and youth with disabilities between SEAs, LEAs, VR, ID/DD, MH, CMS, and other key partners</w:t>
      </w:r>
    </w:p>
    <w:p w14:paraId="2B389775" w14:textId="77777777" w:rsidR="00B360F2" w:rsidRPr="002A31D0" w:rsidRDefault="00B360F2" w:rsidP="00C575C8">
      <w:pPr>
        <w:pStyle w:val="ListParagraph"/>
        <w:numPr>
          <w:ilvl w:val="0"/>
          <w:numId w:val="51"/>
        </w:numPr>
        <w:spacing w:after="0" w:line="240" w:lineRule="auto"/>
        <w:ind w:left="360" w:firstLine="0"/>
        <w:rPr>
          <w:rFonts w:cstheme="minorHAnsi"/>
          <w:sz w:val="20"/>
          <w:szCs w:val="20"/>
        </w:rPr>
      </w:pPr>
      <w:r w:rsidRPr="002A31D0">
        <w:rPr>
          <w:rFonts w:cstheme="minorHAnsi"/>
          <w:sz w:val="20"/>
          <w:szCs w:val="20"/>
        </w:rPr>
        <w:t>YTAC: examine same, specifically for system-involved (juvenile justice, foster care), homeless, and out-of-school youth</w:t>
      </w:r>
    </w:p>
    <w:p w14:paraId="351726CA" w14:textId="77777777" w:rsidR="00B360F2" w:rsidRDefault="00B360F2" w:rsidP="00B360F2">
      <w:pPr>
        <w:spacing w:after="0" w:line="240" w:lineRule="auto"/>
        <w:ind w:firstLine="0"/>
        <w:rPr>
          <w:rFonts w:cstheme="minorHAnsi"/>
        </w:rPr>
      </w:pPr>
      <w:r w:rsidRPr="00EE7BF2">
        <w:rPr>
          <w:rFonts w:cstheme="minorHAnsi"/>
          <w:b/>
          <w:bCs/>
        </w:rPr>
        <w:t>Output A:</w:t>
      </w:r>
      <w:r>
        <w:rPr>
          <w:rFonts w:cstheme="minorHAnsi"/>
        </w:rPr>
        <w:t xml:space="preserve"> </w:t>
      </w:r>
      <w:r w:rsidRPr="00BB2098">
        <w:rPr>
          <w:rFonts w:cstheme="minorHAnsi"/>
        </w:rPr>
        <w:t>Completed readiness and capacity assessment.</w:t>
      </w:r>
    </w:p>
    <w:p w14:paraId="5437F191" w14:textId="77777777" w:rsidR="00B360F2" w:rsidRDefault="00B360F2" w:rsidP="00B360F2">
      <w:pPr>
        <w:tabs>
          <w:tab w:val="left" w:pos="360"/>
        </w:tabs>
        <w:ind w:firstLine="0"/>
        <w:jc w:val="center"/>
        <w:rPr>
          <w:szCs w:val="14"/>
        </w:rPr>
      </w:pPr>
      <w:r w:rsidRPr="003A10D6">
        <w:rPr>
          <w:sz w:val="36"/>
          <w:szCs w:val="36"/>
        </w:rPr>
        <w:t xml:space="preserve">Activity </w:t>
      </w:r>
      <w:r>
        <w:rPr>
          <w:sz w:val="36"/>
          <w:szCs w:val="36"/>
        </w:rPr>
        <w:t>2</w:t>
      </w:r>
      <w:r>
        <w:rPr>
          <w:szCs w:val="14"/>
        </w:rPr>
        <w:br/>
      </w:r>
      <w:r>
        <w:rPr>
          <w:noProof/>
          <w:lang w:eastAsia="ko-KR"/>
        </w:rPr>
        <w:drawing>
          <wp:inline distT="0" distB="0" distL="0" distR="0" wp14:anchorId="5DAC1199" wp14:editId="5A87F979">
            <wp:extent cx="1389380" cy="4102735"/>
            <wp:effectExtent l="0" t="0" r="0" b="0"/>
            <wp:docPr id="111" name="Picture 111" descr="Activity &amp; Outputs Progress 1">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1391612" cy="4109326"/>
                    </a:xfrm>
                    <a:prstGeom prst="rect">
                      <a:avLst/>
                    </a:prstGeom>
                  </pic:spPr>
                </pic:pic>
              </a:graphicData>
            </a:graphic>
          </wp:inline>
        </w:drawing>
      </w:r>
      <w:r>
        <w:rPr>
          <w:sz w:val="36"/>
          <w:szCs w:val="36"/>
        </w:rPr>
        <w:br/>
      </w:r>
      <w:r>
        <w:rPr>
          <w:noProof/>
          <w:lang w:eastAsia="ko-KR"/>
        </w:rPr>
        <w:drawing>
          <wp:inline distT="0" distB="0" distL="0" distR="0" wp14:anchorId="0A3B65B0" wp14:editId="25CBB855">
            <wp:extent cx="2090057" cy="370114"/>
            <wp:effectExtent l="0" t="0" r="5715" b="0"/>
            <wp:docPr id="112" name="Picture 112"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013B2DE2" w14:textId="77777777" w:rsidR="00B360F2" w:rsidRPr="00BB2098" w:rsidRDefault="00B360F2" w:rsidP="00B360F2">
      <w:pPr>
        <w:spacing w:after="0" w:line="240" w:lineRule="auto"/>
        <w:ind w:firstLine="0"/>
        <w:rPr>
          <w:rFonts w:cstheme="minorHAnsi"/>
        </w:rPr>
      </w:pPr>
      <w:r w:rsidRPr="00B65379">
        <w:rPr>
          <w:rFonts w:cstheme="minorHAnsi"/>
          <w:b/>
          <w:bCs/>
        </w:rPr>
        <w:t>Activity 2:</w:t>
      </w:r>
      <w:r>
        <w:rPr>
          <w:rFonts w:cstheme="minorHAnsi"/>
        </w:rPr>
        <w:t xml:space="preserve"> </w:t>
      </w:r>
      <w:r w:rsidRPr="00BB2098">
        <w:rPr>
          <w:rFonts w:cstheme="minorHAnsi"/>
        </w:rPr>
        <w:t>WINTAC: Analyze feasibility of system (VR and State Partners) to implement CE.</w:t>
      </w:r>
    </w:p>
    <w:p w14:paraId="565BE149" w14:textId="77777777" w:rsidR="00B360F2" w:rsidRPr="00D32E1A" w:rsidRDefault="00B360F2" w:rsidP="00C575C8">
      <w:pPr>
        <w:pStyle w:val="ListParagraph"/>
        <w:numPr>
          <w:ilvl w:val="0"/>
          <w:numId w:val="59"/>
        </w:numPr>
        <w:spacing w:after="0" w:line="240" w:lineRule="auto"/>
        <w:ind w:left="360" w:firstLine="0"/>
        <w:rPr>
          <w:rFonts w:cstheme="minorHAnsi"/>
          <w:sz w:val="20"/>
          <w:szCs w:val="20"/>
        </w:rPr>
      </w:pPr>
      <w:r w:rsidRPr="00D32E1A">
        <w:rPr>
          <w:rFonts w:cstheme="minorHAnsi"/>
          <w:sz w:val="20"/>
          <w:szCs w:val="20"/>
        </w:rPr>
        <w:t>NTACT: examine same, including current systems collaboration, for students and youth with disabilities between SEAs, LEAs, VR, ID/DD, MH, CMS, and other key partners</w:t>
      </w:r>
    </w:p>
    <w:p w14:paraId="1DDE917A" w14:textId="77777777" w:rsidR="00B360F2" w:rsidRPr="00D32E1A" w:rsidRDefault="00B360F2" w:rsidP="00C575C8">
      <w:pPr>
        <w:pStyle w:val="ListParagraph"/>
        <w:numPr>
          <w:ilvl w:val="0"/>
          <w:numId w:val="59"/>
        </w:numPr>
        <w:spacing w:after="0" w:line="240" w:lineRule="auto"/>
        <w:ind w:left="360" w:firstLine="0"/>
        <w:rPr>
          <w:rFonts w:cstheme="minorHAnsi"/>
          <w:sz w:val="20"/>
          <w:szCs w:val="20"/>
        </w:rPr>
      </w:pPr>
      <w:r w:rsidRPr="00D32E1A">
        <w:rPr>
          <w:rFonts w:cstheme="minorHAnsi"/>
          <w:sz w:val="20"/>
          <w:szCs w:val="20"/>
        </w:rPr>
        <w:t>YTAC: examine same specifically for system-involved (juvenile justice, foster care), homeless, and out-of-school youth</w:t>
      </w:r>
    </w:p>
    <w:p w14:paraId="7E7FC018" w14:textId="77777777" w:rsidR="00B360F2" w:rsidRPr="00BB2098" w:rsidRDefault="00B360F2" w:rsidP="00B360F2">
      <w:pPr>
        <w:spacing w:after="0" w:line="240" w:lineRule="auto"/>
        <w:ind w:firstLine="0"/>
        <w:rPr>
          <w:rFonts w:cstheme="minorHAnsi"/>
        </w:rPr>
      </w:pPr>
      <w:r w:rsidRPr="00EE7BF2">
        <w:rPr>
          <w:rFonts w:cstheme="minorHAnsi"/>
          <w:b/>
          <w:bCs/>
        </w:rPr>
        <w:t>Output B:</w:t>
      </w:r>
      <w:r>
        <w:rPr>
          <w:rFonts w:cstheme="minorHAnsi"/>
        </w:rPr>
        <w:t xml:space="preserve"> </w:t>
      </w:r>
      <w:r w:rsidRPr="00BB2098">
        <w:rPr>
          <w:rFonts w:cstheme="minorHAnsi"/>
        </w:rPr>
        <w:t>Completed feasibility assessment.</w:t>
      </w:r>
    </w:p>
    <w:p w14:paraId="05F96391" w14:textId="77777777" w:rsidR="00B360F2" w:rsidRPr="00BB2098" w:rsidRDefault="00B360F2" w:rsidP="00B360F2">
      <w:pPr>
        <w:spacing w:after="0" w:line="240" w:lineRule="auto"/>
        <w:rPr>
          <w:rFonts w:cstheme="minorHAnsi"/>
        </w:rPr>
      </w:pPr>
    </w:p>
    <w:p w14:paraId="4B6D551E" w14:textId="77777777" w:rsidR="00B360F2" w:rsidRDefault="00B360F2" w:rsidP="00B360F2">
      <w:pPr>
        <w:tabs>
          <w:tab w:val="left" w:pos="360"/>
        </w:tabs>
        <w:ind w:firstLine="0"/>
        <w:jc w:val="center"/>
        <w:rPr>
          <w:szCs w:val="14"/>
        </w:rPr>
      </w:pPr>
      <w:r w:rsidRPr="003A10D6">
        <w:rPr>
          <w:sz w:val="36"/>
          <w:szCs w:val="36"/>
        </w:rPr>
        <w:lastRenderedPageBreak/>
        <w:t xml:space="preserve">Activity </w:t>
      </w:r>
      <w:r>
        <w:rPr>
          <w:sz w:val="36"/>
          <w:szCs w:val="36"/>
        </w:rPr>
        <w:t>3</w:t>
      </w:r>
      <w:r>
        <w:rPr>
          <w:szCs w:val="14"/>
        </w:rPr>
        <w:br/>
      </w:r>
      <w:r>
        <w:rPr>
          <w:noProof/>
          <w:lang w:eastAsia="ko-KR"/>
        </w:rPr>
        <w:drawing>
          <wp:inline distT="0" distB="0" distL="0" distR="0" wp14:anchorId="0037807F" wp14:editId="47FA241C">
            <wp:extent cx="1499616" cy="4572000"/>
            <wp:effectExtent l="0" t="0" r="5715" b="0"/>
            <wp:docPr id="113" name="Picture 113" descr="Activity &amp; Outputs Progress 3">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1499616" cy="4572000"/>
                    </a:xfrm>
                    <a:prstGeom prst="rect">
                      <a:avLst/>
                    </a:prstGeom>
                  </pic:spPr>
                </pic:pic>
              </a:graphicData>
            </a:graphic>
          </wp:inline>
        </w:drawing>
      </w:r>
      <w:r>
        <w:rPr>
          <w:sz w:val="36"/>
          <w:szCs w:val="36"/>
        </w:rPr>
        <w:br/>
      </w:r>
      <w:r>
        <w:rPr>
          <w:noProof/>
          <w:lang w:eastAsia="ko-KR"/>
        </w:rPr>
        <w:drawing>
          <wp:inline distT="0" distB="0" distL="0" distR="0" wp14:anchorId="518EFB8D" wp14:editId="2E8D970B">
            <wp:extent cx="2090057" cy="370114"/>
            <wp:effectExtent l="0" t="0" r="5715" b="0"/>
            <wp:docPr id="114" name="Picture 114"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3C673684" w14:textId="77777777" w:rsidR="00B360F2" w:rsidRPr="00BB2098" w:rsidRDefault="00B360F2" w:rsidP="00B360F2">
      <w:pPr>
        <w:spacing w:after="0" w:line="240" w:lineRule="auto"/>
        <w:ind w:firstLine="0"/>
        <w:rPr>
          <w:rFonts w:cstheme="minorHAnsi"/>
        </w:rPr>
      </w:pPr>
      <w:r w:rsidRPr="00B65379">
        <w:rPr>
          <w:rFonts w:cstheme="minorHAnsi"/>
          <w:b/>
          <w:bCs/>
        </w:rPr>
        <w:t>Activity 3:</w:t>
      </w:r>
      <w:r>
        <w:rPr>
          <w:rFonts w:cstheme="minorHAnsi"/>
        </w:rPr>
        <w:t xml:space="preserve"> </w:t>
      </w:r>
      <w:r w:rsidRPr="00BB2098">
        <w:rPr>
          <w:rFonts w:cstheme="minorHAnsi"/>
        </w:rPr>
        <w:t>WINTAC: Conduct a survey of VR staff and CRPs/vendors to determine CE experience and capacity.</w:t>
      </w:r>
    </w:p>
    <w:p w14:paraId="5EA33EE4" w14:textId="77777777" w:rsidR="00B360F2" w:rsidRPr="00D32E1A" w:rsidRDefault="00B360F2" w:rsidP="00C575C8">
      <w:pPr>
        <w:pStyle w:val="ListParagraph"/>
        <w:numPr>
          <w:ilvl w:val="0"/>
          <w:numId w:val="52"/>
        </w:numPr>
        <w:spacing w:after="0" w:line="240" w:lineRule="auto"/>
        <w:ind w:left="360" w:firstLine="0"/>
        <w:rPr>
          <w:rFonts w:cstheme="minorHAnsi"/>
          <w:sz w:val="20"/>
          <w:szCs w:val="20"/>
        </w:rPr>
      </w:pPr>
      <w:r w:rsidRPr="00D32E1A">
        <w:rPr>
          <w:rFonts w:cstheme="minorHAnsi"/>
          <w:sz w:val="20"/>
          <w:szCs w:val="20"/>
        </w:rPr>
        <w:t>NTACT: survey SEAs and LEAs on past and current engagement in CE training and implementation.</w:t>
      </w:r>
    </w:p>
    <w:p w14:paraId="37B0A1F8" w14:textId="77777777" w:rsidR="00B360F2" w:rsidRPr="00D32E1A" w:rsidRDefault="00B360F2" w:rsidP="00C575C8">
      <w:pPr>
        <w:pStyle w:val="ListParagraph"/>
        <w:numPr>
          <w:ilvl w:val="0"/>
          <w:numId w:val="52"/>
        </w:numPr>
        <w:spacing w:after="0" w:line="240" w:lineRule="auto"/>
        <w:ind w:left="360" w:firstLine="0"/>
        <w:rPr>
          <w:rFonts w:cstheme="minorHAnsi"/>
          <w:sz w:val="20"/>
          <w:szCs w:val="20"/>
        </w:rPr>
      </w:pPr>
      <w:r w:rsidRPr="00D32E1A">
        <w:rPr>
          <w:rFonts w:cstheme="minorHAnsi"/>
          <w:sz w:val="20"/>
          <w:szCs w:val="20"/>
        </w:rPr>
        <w:t>YTAC: add to VR/CRPs/vendors survey to determine same for system-involved (juvenile justice, foster care), homeless, and out-of-school youth.</w:t>
      </w:r>
    </w:p>
    <w:p w14:paraId="0E428B93" w14:textId="77777777" w:rsidR="00B360F2" w:rsidRPr="00BB2098" w:rsidRDefault="00B360F2" w:rsidP="00B360F2">
      <w:pPr>
        <w:spacing w:after="0" w:line="240" w:lineRule="auto"/>
        <w:ind w:firstLine="0"/>
        <w:rPr>
          <w:rFonts w:cstheme="minorHAnsi"/>
        </w:rPr>
      </w:pPr>
      <w:r>
        <w:rPr>
          <w:rFonts w:cstheme="minorHAnsi"/>
          <w:b/>
          <w:bCs/>
        </w:rPr>
        <w:t>Output</w:t>
      </w:r>
      <w:r w:rsidRPr="00BB2098">
        <w:rPr>
          <w:rFonts w:cstheme="minorHAnsi"/>
        </w:rPr>
        <w:t xml:space="preserve"> </w:t>
      </w:r>
      <w:r w:rsidRPr="00EE7BF2">
        <w:rPr>
          <w:rFonts w:cstheme="minorHAnsi"/>
          <w:b/>
          <w:bCs/>
        </w:rPr>
        <w:t>C:</w:t>
      </w:r>
      <w:r>
        <w:rPr>
          <w:rFonts w:cstheme="minorHAnsi"/>
        </w:rPr>
        <w:t xml:space="preserve"> </w:t>
      </w:r>
      <w:r w:rsidRPr="00BB2098">
        <w:rPr>
          <w:rFonts w:cstheme="minorHAnsi"/>
        </w:rPr>
        <w:t>Survey Report.</w:t>
      </w:r>
    </w:p>
    <w:p w14:paraId="29F15022" w14:textId="77777777" w:rsidR="00B360F2" w:rsidRDefault="00B360F2" w:rsidP="00B360F2">
      <w:pPr>
        <w:tabs>
          <w:tab w:val="left" w:pos="360"/>
        </w:tabs>
        <w:ind w:firstLine="0"/>
        <w:jc w:val="center"/>
        <w:rPr>
          <w:szCs w:val="14"/>
        </w:rPr>
      </w:pPr>
      <w:r w:rsidRPr="003A10D6">
        <w:rPr>
          <w:sz w:val="36"/>
          <w:szCs w:val="36"/>
        </w:rPr>
        <w:t xml:space="preserve">Activity </w:t>
      </w:r>
      <w:r>
        <w:rPr>
          <w:sz w:val="36"/>
          <w:szCs w:val="36"/>
        </w:rPr>
        <w:t>4</w:t>
      </w:r>
      <w:r>
        <w:rPr>
          <w:szCs w:val="14"/>
        </w:rPr>
        <w:br/>
      </w:r>
      <w:r>
        <w:rPr>
          <w:noProof/>
          <w:lang w:eastAsia="ko-KR"/>
        </w:rPr>
        <w:drawing>
          <wp:inline distT="0" distB="0" distL="0" distR="0" wp14:anchorId="60C267E5" wp14:editId="72CFDD85">
            <wp:extent cx="1444625" cy="4505325"/>
            <wp:effectExtent l="0" t="0" r="3175" b="9525"/>
            <wp:docPr id="115" name="Picture 115" descr="Activity &amp; Outputs Progress 4">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cstate="print">
                      <a:extLst>
                        <a:ext uri="{28A0092B-C50C-407E-A947-70E740481C1C}">
                          <a14:useLocalDpi xmlns:a14="http://schemas.microsoft.com/office/drawing/2010/main"/>
                        </a:ext>
                      </a:extLst>
                    </a:blip>
                    <a:srcRect b="1449"/>
                    <a:stretch/>
                  </pic:blipFill>
                  <pic:spPr bwMode="auto">
                    <a:xfrm>
                      <a:off x="0" y="0"/>
                      <a:ext cx="1444752" cy="4505721"/>
                    </a:xfrm>
                    <a:prstGeom prst="rect">
                      <a:avLst/>
                    </a:prstGeom>
                    <a:ln>
                      <a:noFill/>
                    </a:ln>
                    <a:extLst>
                      <a:ext uri="{53640926-AAD7-44D8-BBD7-CCE9431645EC}">
                        <a14:shadowObscured xmlns:a14="http://schemas.microsoft.com/office/drawing/2010/main"/>
                      </a:ext>
                    </a:extLst>
                  </pic:spPr>
                </pic:pic>
              </a:graphicData>
            </a:graphic>
          </wp:inline>
        </w:drawing>
      </w:r>
      <w:r>
        <w:rPr>
          <w:sz w:val="36"/>
          <w:szCs w:val="36"/>
        </w:rPr>
        <w:br/>
      </w:r>
      <w:r>
        <w:rPr>
          <w:noProof/>
          <w:lang w:eastAsia="ko-KR"/>
        </w:rPr>
        <w:drawing>
          <wp:inline distT="0" distB="0" distL="0" distR="0" wp14:anchorId="5573E93B" wp14:editId="78605FAE">
            <wp:extent cx="2090057" cy="370114"/>
            <wp:effectExtent l="0" t="0" r="5715" b="0"/>
            <wp:docPr id="116" name="Picture 116"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7BAE60E5" w14:textId="77777777" w:rsidR="00B360F2" w:rsidRPr="00BB2098" w:rsidRDefault="00B360F2" w:rsidP="00B360F2">
      <w:pPr>
        <w:spacing w:after="0" w:line="240" w:lineRule="auto"/>
        <w:ind w:firstLine="0"/>
        <w:rPr>
          <w:rFonts w:cstheme="minorHAnsi"/>
        </w:rPr>
      </w:pPr>
      <w:r w:rsidRPr="00B65379">
        <w:rPr>
          <w:rFonts w:cstheme="minorHAnsi"/>
          <w:b/>
          <w:bCs/>
        </w:rPr>
        <w:t>Activity 4:</w:t>
      </w:r>
      <w:r>
        <w:rPr>
          <w:rFonts w:cstheme="minorHAnsi"/>
        </w:rPr>
        <w:t xml:space="preserve"> </w:t>
      </w:r>
      <w:r w:rsidRPr="00BB2098">
        <w:rPr>
          <w:rFonts w:cstheme="minorHAnsi"/>
        </w:rPr>
        <w:t>WINTAC: Conduct review of existing system (VR and State Partners) history, know</w:t>
      </w:r>
      <w:r>
        <w:rPr>
          <w:rFonts w:cstheme="minorHAnsi"/>
        </w:rPr>
        <w:t>-</w:t>
      </w:r>
      <w:r w:rsidRPr="00BB2098">
        <w:rPr>
          <w:rFonts w:cstheme="minorHAnsi"/>
        </w:rPr>
        <w:t>ledge, policies, procedures, fee structures, and MOUs relevant to the implementation of CE.</w:t>
      </w:r>
    </w:p>
    <w:p w14:paraId="6BC81E0F" w14:textId="77777777" w:rsidR="00B360F2" w:rsidRPr="002A31D0" w:rsidRDefault="00B360F2" w:rsidP="00C575C8">
      <w:pPr>
        <w:pStyle w:val="ListParagraph"/>
        <w:numPr>
          <w:ilvl w:val="0"/>
          <w:numId w:val="53"/>
        </w:numPr>
        <w:spacing w:after="0" w:line="240" w:lineRule="auto"/>
        <w:ind w:left="360"/>
        <w:rPr>
          <w:rFonts w:cstheme="minorHAnsi"/>
          <w:sz w:val="20"/>
          <w:szCs w:val="20"/>
        </w:rPr>
      </w:pPr>
      <w:r w:rsidRPr="002A31D0">
        <w:rPr>
          <w:rFonts w:cstheme="minorHAnsi"/>
          <w:sz w:val="20"/>
          <w:szCs w:val="20"/>
        </w:rPr>
        <w:t>NTACT: focus on SEAs and LEAs.</w:t>
      </w:r>
    </w:p>
    <w:p w14:paraId="773622CD" w14:textId="58303668" w:rsidR="00B360F2" w:rsidRDefault="00B360F2" w:rsidP="00C575C8">
      <w:pPr>
        <w:pStyle w:val="ListParagraph"/>
        <w:numPr>
          <w:ilvl w:val="0"/>
          <w:numId w:val="53"/>
        </w:numPr>
        <w:spacing w:after="0" w:line="240" w:lineRule="auto"/>
        <w:ind w:left="360"/>
        <w:rPr>
          <w:rFonts w:cstheme="minorHAnsi"/>
          <w:sz w:val="20"/>
          <w:szCs w:val="20"/>
        </w:rPr>
      </w:pPr>
      <w:r w:rsidRPr="002A31D0">
        <w:rPr>
          <w:rFonts w:cstheme="minorHAnsi"/>
          <w:sz w:val="20"/>
          <w:szCs w:val="20"/>
        </w:rPr>
        <w:t>YTAC: assist VR, SEAs, and LEAs to conduct a community resource mapping exercise to identify youth serving organizations for CE referrals and services.</w:t>
      </w:r>
    </w:p>
    <w:p w14:paraId="4CA4193C" w14:textId="7C970F87" w:rsidR="00672071" w:rsidRPr="00672071" w:rsidRDefault="00672071" w:rsidP="00672071">
      <w:pPr>
        <w:spacing w:after="0" w:line="240" w:lineRule="auto"/>
        <w:ind w:firstLine="0"/>
        <w:rPr>
          <w:rFonts w:cstheme="minorHAnsi"/>
        </w:rPr>
      </w:pPr>
      <w:r w:rsidRPr="00672071">
        <w:rPr>
          <w:rFonts w:cstheme="minorHAnsi"/>
          <w:b/>
          <w:bCs/>
        </w:rPr>
        <w:t>Output D.</w:t>
      </w:r>
      <w:r w:rsidRPr="00672071">
        <w:rPr>
          <w:rFonts w:cstheme="minorHAnsi"/>
        </w:rPr>
        <w:t xml:space="preserve"> Completed review of areas in need of development and enhancement for sustainable CE implementation.</w:t>
      </w:r>
    </w:p>
    <w:p w14:paraId="4A45FA06" w14:textId="77777777" w:rsidR="00B360F2" w:rsidRPr="0055576F" w:rsidRDefault="00B360F2" w:rsidP="00846DA6">
      <w:pPr>
        <w:tabs>
          <w:tab w:val="left" w:pos="360"/>
        </w:tabs>
        <w:ind w:firstLine="0"/>
        <w:jc w:val="center"/>
        <w:rPr>
          <w:szCs w:val="14"/>
        </w:rPr>
      </w:pPr>
      <w:r w:rsidRPr="003A10D6">
        <w:rPr>
          <w:sz w:val="36"/>
          <w:szCs w:val="36"/>
        </w:rPr>
        <w:lastRenderedPageBreak/>
        <w:t xml:space="preserve">Activity </w:t>
      </w:r>
      <w:r>
        <w:rPr>
          <w:sz w:val="36"/>
          <w:szCs w:val="36"/>
        </w:rPr>
        <w:t>5</w:t>
      </w:r>
      <w:r w:rsidRPr="0055576F">
        <w:rPr>
          <w:szCs w:val="14"/>
        </w:rPr>
        <w:br/>
      </w:r>
      <w:r>
        <w:rPr>
          <w:noProof/>
          <w:lang w:eastAsia="ko-KR"/>
        </w:rPr>
        <w:drawing>
          <wp:inline distT="0" distB="0" distL="0" distR="0" wp14:anchorId="2BE3D180" wp14:editId="4747BB42">
            <wp:extent cx="1499616" cy="4572000"/>
            <wp:effectExtent l="0" t="0" r="5715" b="0"/>
            <wp:docPr id="117" name="Picture 117" descr="Activity &amp; Outputs Progress 5">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1499616" cy="4572000"/>
                    </a:xfrm>
                    <a:prstGeom prst="rect">
                      <a:avLst/>
                    </a:prstGeom>
                  </pic:spPr>
                </pic:pic>
              </a:graphicData>
            </a:graphic>
          </wp:inline>
        </w:drawing>
      </w:r>
      <w:r w:rsidRPr="0055576F">
        <w:rPr>
          <w:sz w:val="36"/>
          <w:szCs w:val="36"/>
        </w:rPr>
        <w:br/>
      </w:r>
      <w:r>
        <w:rPr>
          <w:noProof/>
          <w:lang w:eastAsia="ko-KR"/>
        </w:rPr>
        <w:drawing>
          <wp:inline distT="0" distB="0" distL="0" distR="0" wp14:anchorId="4B07F413" wp14:editId="0CEC8ACA">
            <wp:extent cx="2090057" cy="370114"/>
            <wp:effectExtent l="0" t="0" r="5715" b="0"/>
            <wp:docPr id="118" name="Picture 118"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79959CF4" w14:textId="77777777" w:rsidR="00B360F2" w:rsidRPr="00BB2098" w:rsidRDefault="00B360F2" w:rsidP="00846DA6">
      <w:pPr>
        <w:spacing w:after="0" w:line="240" w:lineRule="auto"/>
        <w:ind w:firstLine="0"/>
        <w:rPr>
          <w:rFonts w:cstheme="minorHAnsi"/>
        </w:rPr>
      </w:pPr>
      <w:r w:rsidRPr="00B65379">
        <w:rPr>
          <w:rFonts w:cstheme="minorHAnsi"/>
          <w:b/>
          <w:bCs/>
        </w:rPr>
        <w:t>Activity 5:</w:t>
      </w:r>
      <w:r>
        <w:rPr>
          <w:rFonts w:cstheme="minorHAnsi"/>
        </w:rPr>
        <w:t xml:space="preserve"> </w:t>
      </w:r>
      <w:r w:rsidRPr="00BB2098">
        <w:rPr>
          <w:rFonts w:cstheme="minorHAnsi"/>
        </w:rPr>
        <w:t xml:space="preserve">WINTAC: Develop a Pilot </w:t>
      </w:r>
      <w:r>
        <w:rPr>
          <w:rFonts w:cstheme="minorHAnsi"/>
        </w:rPr>
        <w:t>Roadmap</w:t>
      </w:r>
      <w:r w:rsidRPr="00BB2098">
        <w:rPr>
          <w:rFonts w:cstheme="minorHAnsi"/>
        </w:rPr>
        <w:t>, including the identification of sites</w:t>
      </w:r>
      <w:r>
        <w:rPr>
          <w:rFonts w:cstheme="minorHAnsi"/>
        </w:rPr>
        <w:t xml:space="preserve">, </w:t>
      </w:r>
      <w:r w:rsidRPr="00BB2098">
        <w:rPr>
          <w:rFonts w:cstheme="minorHAnsi"/>
        </w:rPr>
        <w:t>CRPs and resources.</w:t>
      </w:r>
    </w:p>
    <w:p w14:paraId="7BB3489A" w14:textId="77777777" w:rsidR="00B360F2" w:rsidRPr="006C54A6" w:rsidRDefault="00B360F2" w:rsidP="00C575C8">
      <w:pPr>
        <w:pStyle w:val="ListParagraph"/>
        <w:numPr>
          <w:ilvl w:val="0"/>
          <w:numId w:val="54"/>
        </w:numPr>
        <w:spacing w:after="0" w:line="240" w:lineRule="auto"/>
        <w:ind w:left="360"/>
        <w:rPr>
          <w:rFonts w:cstheme="minorHAnsi"/>
          <w:sz w:val="20"/>
          <w:szCs w:val="20"/>
        </w:rPr>
      </w:pPr>
      <w:r w:rsidRPr="006C54A6">
        <w:rPr>
          <w:rFonts w:cstheme="minorHAnsi"/>
          <w:sz w:val="20"/>
          <w:szCs w:val="20"/>
        </w:rPr>
        <w:t>NTACT: identify potential LEA partner sites and resources and monitor LEA(s)’ engagement in the pilot CE site(s)</w:t>
      </w:r>
    </w:p>
    <w:p w14:paraId="27F547D7" w14:textId="77777777" w:rsidR="00B360F2" w:rsidRPr="006C54A6" w:rsidRDefault="00B360F2" w:rsidP="00C575C8">
      <w:pPr>
        <w:pStyle w:val="ListParagraph"/>
        <w:numPr>
          <w:ilvl w:val="0"/>
          <w:numId w:val="54"/>
        </w:numPr>
        <w:spacing w:after="0" w:line="240" w:lineRule="auto"/>
        <w:ind w:left="360"/>
        <w:rPr>
          <w:rFonts w:cstheme="minorHAnsi"/>
          <w:sz w:val="20"/>
          <w:szCs w:val="20"/>
        </w:rPr>
      </w:pPr>
      <w:r w:rsidRPr="006C54A6">
        <w:rPr>
          <w:rFonts w:cstheme="minorHAnsi"/>
          <w:sz w:val="20"/>
          <w:szCs w:val="20"/>
        </w:rPr>
        <w:t>YTAC: assist in development of comprehensive outreach plan to increase the engagement and enrollment of system-involved (juvenile justice, foster care), homeless, and out-of-school youth in customized employment.</w:t>
      </w:r>
    </w:p>
    <w:p w14:paraId="07D1BB61" w14:textId="77777777" w:rsidR="00B360F2" w:rsidRPr="00BB2098" w:rsidRDefault="00B360F2" w:rsidP="00846DA6">
      <w:pPr>
        <w:spacing w:after="0" w:line="240" w:lineRule="auto"/>
        <w:ind w:firstLine="0"/>
        <w:rPr>
          <w:rFonts w:cstheme="minorHAnsi"/>
        </w:rPr>
      </w:pPr>
      <w:r>
        <w:rPr>
          <w:rFonts w:cstheme="minorHAnsi"/>
          <w:b/>
          <w:bCs/>
        </w:rPr>
        <w:t>Output</w:t>
      </w:r>
      <w:r w:rsidRPr="00BB2098">
        <w:rPr>
          <w:rFonts w:cstheme="minorHAnsi"/>
        </w:rPr>
        <w:t xml:space="preserve"> </w:t>
      </w:r>
      <w:r w:rsidRPr="00EE7BF2">
        <w:rPr>
          <w:rFonts w:cstheme="minorHAnsi"/>
          <w:b/>
          <w:bCs/>
        </w:rPr>
        <w:t>E:</w:t>
      </w:r>
      <w:r>
        <w:rPr>
          <w:rFonts w:cstheme="minorHAnsi"/>
        </w:rPr>
        <w:t xml:space="preserve"> </w:t>
      </w:r>
      <w:r w:rsidRPr="00BB2098">
        <w:rPr>
          <w:rFonts w:cstheme="minorHAnsi"/>
        </w:rPr>
        <w:t xml:space="preserve">Completed project implementation plan (roadmap) including pilot site </w:t>
      </w:r>
      <w:r>
        <w:rPr>
          <w:rFonts w:cstheme="minorHAnsi"/>
        </w:rPr>
        <w:t>and</w:t>
      </w:r>
      <w:r w:rsidRPr="00BB2098">
        <w:rPr>
          <w:rFonts w:cstheme="minorHAnsi"/>
        </w:rPr>
        <w:t xml:space="preserve"> partner identification, and resources.</w:t>
      </w:r>
    </w:p>
    <w:p w14:paraId="140E3B87" w14:textId="77777777" w:rsidR="00B360F2" w:rsidRPr="006C54A6" w:rsidRDefault="00B360F2" w:rsidP="00C575C8">
      <w:pPr>
        <w:pStyle w:val="ListParagraph"/>
        <w:numPr>
          <w:ilvl w:val="0"/>
          <w:numId w:val="55"/>
        </w:numPr>
        <w:spacing w:after="0" w:line="240" w:lineRule="auto"/>
        <w:ind w:left="360"/>
        <w:rPr>
          <w:rFonts w:cstheme="minorHAnsi"/>
          <w:sz w:val="20"/>
          <w:szCs w:val="20"/>
        </w:rPr>
      </w:pPr>
      <w:r w:rsidRPr="006C54A6">
        <w:rPr>
          <w:rFonts w:cstheme="minorHAnsi"/>
          <w:sz w:val="20"/>
          <w:szCs w:val="20"/>
        </w:rPr>
        <w:t>NTACT: LEA engagement and monitoring plan.</w:t>
      </w:r>
    </w:p>
    <w:p w14:paraId="010E61DE" w14:textId="77777777" w:rsidR="00B360F2" w:rsidRPr="001833BA" w:rsidRDefault="00B360F2" w:rsidP="00C575C8">
      <w:pPr>
        <w:pStyle w:val="ListParagraph"/>
        <w:numPr>
          <w:ilvl w:val="0"/>
          <w:numId w:val="55"/>
        </w:numPr>
        <w:spacing w:after="0" w:line="240" w:lineRule="auto"/>
        <w:ind w:left="360"/>
        <w:rPr>
          <w:rFonts w:cstheme="minorHAnsi"/>
          <w:sz w:val="20"/>
          <w:szCs w:val="20"/>
        </w:rPr>
      </w:pPr>
      <w:r w:rsidRPr="006C54A6">
        <w:rPr>
          <w:rFonts w:cstheme="minorHAnsi"/>
          <w:sz w:val="20"/>
          <w:szCs w:val="20"/>
        </w:rPr>
        <w:t xml:space="preserve">YTAC: comprehensive outreach plan </w:t>
      </w:r>
      <w:r>
        <w:rPr>
          <w:rFonts w:cstheme="minorHAnsi"/>
          <w:sz w:val="20"/>
          <w:szCs w:val="20"/>
        </w:rPr>
        <w:t xml:space="preserve">for </w:t>
      </w:r>
      <w:r w:rsidRPr="006C54A6">
        <w:rPr>
          <w:rFonts w:cstheme="minorHAnsi"/>
          <w:sz w:val="20"/>
          <w:szCs w:val="20"/>
        </w:rPr>
        <w:t>justice, foster care, homeless, and out-of-school youth.</w:t>
      </w:r>
    </w:p>
    <w:p w14:paraId="1FCD417D" w14:textId="77777777" w:rsidR="00B360F2" w:rsidRDefault="00B360F2" w:rsidP="00846DA6">
      <w:pPr>
        <w:tabs>
          <w:tab w:val="left" w:pos="360"/>
        </w:tabs>
        <w:ind w:firstLine="0"/>
        <w:jc w:val="center"/>
        <w:rPr>
          <w:szCs w:val="14"/>
        </w:rPr>
      </w:pPr>
      <w:r w:rsidRPr="003A10D6">
        <w:rPr>
          <w:sz w:val="36"/>
          <w:szCs w:val="36"/>
        </w:rPr>
        <w:t xml:space="preserve">Activity </w:t>
      </w:r>
      <w:r>
        <w:rPr>
          <w:sz w:val="36"/>
          <w:szCs w:val="36"/>
        </w:rPr>
        <w:t>6</w:t>
      </w:r>
      <w:r>
        <w:rPr>
          <w:szCs w:val="14"/>
        </w:rPr>
        <w:br/>
      </w:r>
      <w:r>
        <w:rPr>
          <w:noProof/>
          <w:lang w:eastAsia="ko-KR"/>
        </w:rPr>
        <w:drawing>
          <wp:inline distT="0" distB="0" distL="0" distR="0" wp14:anchorId="174158FE" wp14:editId="2F6D1D9D">
            <wp:extent cx="1517904" cy="4572000"/>
            <wp:effectExtent l="0" t="0" r="6350" b="0"/>
            <wp:docPr id="119" name="Picture 119" descr="Activity &amp; Outputs Progress 6">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1" cstate="print">
                      <a:extLst>
                        <a:ext uri="{28A0092B-C50C-407E-A947-70E740481C1C}">
                          <a14:useLocalDpi xmlns:a14="http://schemas.microsoft.com/office/drawing/2010/main"/>
                        </a:ext>
                      </a:extLst>
                    </a:blip>
                    <a:srcRect b="1016"/>
                    <a:stretch/>
                  </pic:blipFill>
                  <pic:spPr bwMode="auto">
                    <a:xfrm>
                      <a:off x="0" y="0"/>
                      <a:ext cx="1517904" cy="4572000"/>
                    </a:xfrm>
                    <a:prstGeom prst="rect">
                      <a:avLst/>
                    </a:prstGeom>
                    <a:ln>
                      <a:noFill/>
                    </a:ln>
                    <a:extLst>
                      <a:ext uri="{53640926-AAD7-44D8-BBD7-CCE9431645EC}">
                        <a14:shadowObscured xmlns:a14="http://schemas.microsoft.com/office/drawing/2010/main"/>
                      </a:ext>
                    </a:extLst>
                  </pic:spPr>
                </pic:pic>
              </a:graphicData>
            </a:graphic>
          </wp:inline>
        </w:drawing>
      </w:r>
      <w:r>
        <w:rPr>
          <w:sz w:val="36"/>
          <w:szCs w:val="36"/>
        </w:rPr>
        <w:br/>
      </w:r>
      <w:r>
        <w:rPr>
          <w:noProof/>
          <w:lang w:eastAsia="ko-KR"/>
        </w:rPr>
        <w:drawing>
          <wp:inline distT="0" distB="0" distL="0" distR="0" wp14:anchorId="30D4E3C4" wp14:editId="21D8AE07">
            <wp:extent cx="2090057" cy="370114"/>
            <wp:effectExtent l="0" t="0" r="5715" b="0"/>
            <wp:docPr id="120" name="Picture 120"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205628F6" w14:textId="77777777" w:rsidR="00B360F2" w:rsidRPr="00B65379" w:rsidRDefault="00B360F2" w:rsidP="00846DA6">
      <w:pPr>
        <w:spacing w:after="0" w:line="240" w:lineRule="auto"/>
        <w:ind w:firstLine="0"/>
        <w:rPr>
          <w:rFonts w:cstheme="minorHAnsi"/>
        </w:rPr>
      </w:pPr>
      <w:r w:rsidRPr="00B65379">
        <w:rPr>
          <w:rFonts w:cstheme="minorHAnsi"/>
          <w:b/>
          <w:bCs/>
        </w:rPr>
        <w:t>Activity 6:</w:t>
      </w:r>
      <w:r>
        <w:rPr>
          <w:rFonts w:cstheme="minorHAnsi"/>
        </w:rPr>
        <w:t xml:space="preserve"> </w:t>
      </w:r>
      <w:r w:rsidRPr="00B65379">
        <w:rPr>
          <w:rFonts w:cstheme="minorHAnsi"/>
        </w:rPr>
        <w:t>WINTAC: Assist the agency in revising policies, procedures, fee structures, and MOUs relevant to the implementation of CE as needed.</w:t>
      </w:r>
    </w:p>
    <w:p w14:paraId="246E2E76" w14:textId="77777777" w:rsidR="00B360F2" w:rsidRPr="006C54A6" w:rsidRDefault="00B360F2" w:rsidP="00C575C8">
      <w:pPr>
        <w:pStyle w:val="ListParagraph"/>
        <w:numPr>
          <w:ilvl w:val="0"/>
          <w:numId w:val="56"/>
        </w:numPr>
        <w:spacing w:after="0" w:line="240" w:lineRule="auto"/>
        <w:ind w:left="360"/>
        <w:rPr>
          <w:rFonts w:cstheme="minorHAnsi"/>
          <w:sz w:val="20"/>
          <w:szCs w:val="20"/>
        </w:rPr>
      </w:pPr>
      <w:r w:rsidRPr="006C54A6">
        <w:rPr>
          <w:rFonts w:cstheme="minorHAnsi"/>
          <w:sz w:val="20"/>
          <w:szCs w:val="20"/>
        </w:rPr>
        <w:t>NTACT: facilitate discussion and coordination with pilot LEAs regarding alignment of current transition activities/services and CE implementation.</w:t>
      </w:r>
    </w:p>
    <w:p w14:paraId="31F932D5" w14:textId="77777777" w:rsidR="00B360F2" w:rsidRPr="00B65379" w:rsidRDefault="00B360F2" w:rsidP="00C575C8">
      <w:pPr>
        <w:pStyle w:val="ListParagraph"/>
        <w:numPr>
          <w:ilvl w:val="0"/>
          <w:numId w:val="56"/>
        </w:numPr>
        <w:spacing w:after="0" w:line="240" w:lineRule="auto"/>
        <w:ind w:left="360"/>
        <w:rPr>
          <w:rFonts w:cstheme="minorHAnsi"/>
        </w:rPr>
      </w:pPr>
      <w:r w:rsidRPr="00B65379">
        <w:rPr>
          <w:rFonts w:cstheme="minorHAnsi"/>
        </w:rPr>
        <w:t>YTAC: include braided funding to serve out-of-school youth, and MOUs relevant to the implementation of CE as needed</w:t>
      </w:r>
    </w:p>
    <w:p w14:paraId="401FDBED" w14:textId="77777777" w:rsidR="00B360F2" w:rsidRPr="00B65379" w:rsidRDefault="00B360F2" w:rsidP="00846DA6">
      <w:pPr>
        <w:spacing w:after="0" w:line="240" w:lineRule="auto"/>
        <w:ind w:firstLine="0"/>
        <w:rPr>
          <w:rFonts w:cstheme="minorHAnsi"/>
        </w:rPr>
      </w:pPr>
      <w:r w:rsidRPr="00EE7BF2">
        <w:rPr>
          <w:rFonts w:cstheme="minorHAnsi"/>
          <w:b/>
          <w:bCs/>
        </w:rPr>
        <w:t>Output F:</w:t>
      </w:r>
      <w:r>
        <w:rPr>
          <w:rFonts w:cstheme="minorHAnsi"/>
        </w:rPr>
        <w:t xml:space="preserve"> </w:t>
      </w:r>
      <w:r w:rsidRPr="00B65379">
        <w:rPr>
          <w:rFonts w:cstheme="minorHAnsi"/>
        </w:rPr>
        <w:t>Drafted policies, procedures, and fee structures governing the provision of CE.</w:t>
      </w:r>
    </w:p>
    <w:p w14:paraId="2144DA52" w14:textId="77777777" w:rsidR="00B360F2" w:rsidRDefault="00B360F2" w:rsidP="00846DA6">
      <w:pPr>
        <w:tabs>
          <w:tab w:val="left" w:pos="360"/>
        </w:tabs>
        <w:ind w:firstLine="0"/>
        <w:jc w:val="center"/>
        <w:rPr>
          <w:szCs w:val="14"/>
        </w:rPr>
      </w:pPr>
      <w:r w:rsidRPr="003A10D6">
        <w:rPr>
          <w:sz w:val="36"/>
          <w:szCs w:val="36"/>
        </w:rPr>
        <w:lastRenderedPageBreak/>
        <w:t xml:space="preserve">Activity </w:t>
      </w:r>
      <w:r>
        <w:rPr>
          <w:sz w:val="36"/>
          <w:szCs w:val="36"/>
        </w:rPr>
        <w:t>7</w:t>
      </w:r>
      <w:r>
        <w:rPr>
          <w:szCs w:val="14"/>
        </w:rPr>
        <w:br/>
      </w:r>
      <w:r>
        <w:rPr>
          <w:noProof/>
          <w:lang w:eastAsia="ko-KR"/>
        </w:rPr>
        <w:drawing>
          <wp:inline distT="0" distB="0" distL="0" distR="0" wp14:anchorId="18FDDCB2" wp14:editId="6143A21B">
            <wp:extent cx="1353312" cy="4572000"/>
            <wp:effectExtent l="0" t="0" r="0" b="0"/>
            <wp:docPr id="121" name="Picture 121" descr="Activity &amp; Outputs Progress 7">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1353312" cy="4572000"/>
                    </a:xfrm>
                    <a:prstGeom prst="rect">
                      <a:avLst/>
                    </a:prstGeom>
                  </pic:spPr>
                </pic:pic>
              </a:graphicData>
            </a:graphic>
          </wp:inline>
        </w:drawing>
      </w:r>
      <w:r>
        <w:rPr>
          <w:sz w:val="36"/>
          <w:szCs w:val="36"/>
        </w:rPr>
        <w:br/>
      </w:r>
      <w:r>
        <w:rPr>
          <w:noProof/>
          <w:lang w:eastAsia="ko-KR"/>
        </w:rPr>
        <w:drawing>
          <wp:inline distT="0" distB="0" distL="0" distR="0" wp14:anchorId="7F8BD0AD" wp14:editId="0884D546">
            <wp:extent cx="2090057" cy="370114"/>
            <wp:effectExtent l="0" t="0" r="5715" b="0"/>
            <wp:docPr id="122" name="Picture 122"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69783508" w14:textId="77777777" w:rsidR="00B360F2" w:rsidRPr="00B65379" w:rsidRDefault="00B360F2" w:rsidP="00846DA6">
      <w:pPr>
        <w:spacing w:after="0" w:line="240" w:lineRule="auto"/>
        <w:ind w:firstLine="0"/>
        <w:rPr>
          <w:rFonts w:cstheme="minorHAnsi"/>
        </w:rPr>
      </w:pPr>
      <w:r w:rsidRPr="00B65379">
        <w:rPr>
          <w:rFonts w:cstheme="minorHAnsi"/>
          <w:b/>
          <w:bCs/>
        </w:rPr>
        <w:t>Activity 7:</w:t>
      </w:r>
      <w:r>
        <w:rPr>
          <w:rFonts w:cstheme="minorHAnsi"/>
        </w:rPr>
        <w:t xml:space="preserve"> </w:t>
      </w:r>
      <w:r w:rsidRPr="00B65379">
        <w:rPr>
          <w:rFonts w:cstheme="minorHAnsi"/>
        </w:rPr>
        <w:t>WINTAC: Assist in development of a RFP for VR to disseminate to vendors so they can apply to receive training in the Essential Elements of CE and become CE service providers.</w:t>
      </w:r>
    </w:p>
    <w:p w14:paraId="43976B6B" w14:textId="77777777" w:rsidR="00B360F2" w:rsidRPr="00B65379" w:rsidRDefault="00B360F2" w:rsidP="00846DA6">
      <w:pPr>
        <w:spacing w:after="0" w:line="240" w:lineRule="auto"/>
        <w:ind w:firstLine="0"/>
        <w:rPr>
          <w:rFonts w:cstheme="minorHAnsi"/>
        </w:rPr>
      </w:pPr>
      <w:r w:rsidRPr="0004723B">
        <w:rPr>
          <w:rFonts w:cstheme="minorHAnsi"/>
          <w:b/>
          <w:bCs/>
        </w:rPr>
        <w:t>Output G:</w:t>
      </w:r>
      <w:r>
        <w:rPr>
          <w:rFonts w:cstheme="minorHAnsi"/>
        </w:rPr>
        <w:t xml:space="preserve"> </w:t>
      </w:r>
      <w:r w:rsidRPr="00B65379">
        <w:rPr>
          <w:rFonts w:cstheme="minorHAnsi"/>
        </w:rPr>
        <w:t>Drafted RFP for VR to disseminate to vendors so they can apply to receive training in the Essential Elements of CE and/or become contractors for the provision of CE.</w:t>
      </w:r>
    </w:p>
    <w:p w14:paraId="2300B6D9" w14:textId="77777777" w:rsidR="00B360F2" w:rsidRDefault="00B360F2" w:rsidP="00846DA6">
      <w:pPr>
        <w:tabs>
          <w:tab w:val="left" w:pos="360"/>
        </w:tabs>
        <w:ind w:firstLine="0"/>
        <w:jc w:val="center"/>
        <w:rPr>
          <w:szCs w:val="14"/>
        </w:rPr>
      </w:pPr>
      <w:r w:rsidRPr="003A10D6">
        <w:rPr>
          <w:sz w:val="36"/>
          <w:szCs w:val="36"/>
        </w:rPr>
        <w:t xml:space="preserve">Activity </w:t>
      </w:r>
      <w:r>
        <w:rPr>
          <w:sz w:val="36"/>
          <w:szCs w:val="36"/>
        </w:rPr>
        <w:t>8</w:t>
      </w:r>
      <w:r>
        <w:rPr>
          <w:szCs w:val="14"/>
        </w:rPr>
        <w:br/>
      </w:r>
      <w:r>
        <w:rPr>
          <w:noProof/>
          <w:lang w:eastAsia="ko-KR"/>
        </w:rPr>
        <w:drawing>
          <wp:inline distT="0" distB="0" distL="0" distR="0" wp14:anchorId="4E43DB9F" wp14:editId="2EBEB570">
            <wp:extent cx="1499616" cy="4572000"/>
            <wp:effectExtent l="0" t="0" r="5715" b="0"/>
            <wp:docPr id="123" name="Picture 123" descr="Activity &amp; Outputs Progress 8">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1499616" cy="4572000"/>
                    </a:xfrm>
                    <a:prstGeom prst="rect">
                      <a:avLst/>
                    </a:prstGeom>
                  </pic:spPr>
                </pic:pic>
              </a:graphicData>
            </a:graphic>
          </wp:inline>
        </w:drawing>
      </w:r>
      <w:r>
        <w:rPr>
          <w:sz w:val="36"/>
          <w:szCs w:val="36"/>
        </w:rPr>
        <w:br/>
      </w:r>
      <w:r>
        <w:rPr>
          <w:noProof/>
          <w:lang w:eastAsia="ko-KR"/>
        </w:rPr>
        <w:drawing>
          <wp:inline distT="0" distB="0" distL="0" distR="0" wp14:anchorId="5C177ABA" wp14:editId="16C3BA8A">
            <wp:extent cx="2090057" cy="370114"/>
            <wp:effectExtent l="0" t="0" r="5715" b="0"/>
            <wp:docPr id="124" name="Picture 124"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6D73678A" w14:textId="77777777" w:rsidR="00B360F2" w:rsidRPr="00B65379" w:rsidRDefault="00B360F2" w:rsidP="00846DA6">
      <w:pPr>
        <w:spacing w:after="0" w:line="240" w:lineRule="auto"/>
        <w:ind w:firstLine="0"/>
        <w:rPr>
          <w:rFonts w:cstheme="minorHAnsi"/>
        </w:rPr>
      </w:pPr>
      <w:r w:rsidRPr="00B65379">
        <w:rPr>
          <w:rFonts w:cstheme="minorHAnsi"/>
          <w:b/>
          <w:bCs/>
        </w:rPr>
        <w:t>Activity 8:</w:t>
      </w:r>
      <w:r>
        <w:rPr>
          <w:rFonts w:cstheme="minorHAnsi"/>
        </w:rPr>
        <w:t xml:space="preserve"> </w:t>
      </w:r>
      <w:r w:rsidRPr="00B65379">
        <w:rPr>
          <w:rFonts w:cstheme="minorHAnsi"/>
        </w:rPr>
        <w:t>WINTAC: Conduct training of the VR agency staff regarding the Essential Elements of CE, emphasizing appropriate referrals and implementation of quality CE programs and services.</w:t>
      </w:r>
    </w:p>
    <w:p w14:paraId="7F58089F" w14:textId="77777777" w:rsidR="00B360F2" w:rsidRPr="006C54A6" w:rsidRDefault="00B360F2" w:rsidP="00C575C8">
      <w:pPr>
        <w:pStyle w:val="ListParagraph"/>
        <w:numPr>
          <w:ilvl w:val="0"/>
          <w:numId w:val="57"/>
        </w:numPr>
        <w:spacing w:after="0" w:line="240" w:lineRule="auto"/>
        <w:ind w:left="360"/>
        <w:rPr>
          <w:rFonts w:cstheme="minorHAnsi"/>
          <w:sz w:val="20"/>
          <w:szCs w:val="20"/>
        </w:rPr>
      </w:pPr>
      <w:r w:rsidRPr="006C54A6">
        <w:rPr>
          <w:rFonts w:cstheme="minorHAnsi"/>
          <w:sz w:val="20"/>
          <w:szCs w:val="20"/>
        </w:rPr>
        <w:t>NTACT: facilitate participation of targeted SEA and LEA staff.</w:t>
      </w:r>
    </w:p>
    <w:p w14:paraId="6F4FC6C0" w14:textId="77777777" w:rsidR="00B360F2" w:rsidRPr="006C54A6" w:rsidRDefault="00B360F2" w:rsidP="00C575C8">
      <w:pPr>
        <w:pStyle w:val="ListParagraph"/>
        <w:numPr>
          <w:ilvl w:val="0"/>
          <w:numId w:val="57"/>
        </w:numPr>
        <w:spacing w:after="0" w:line="240" w:lineRule="auto"/>
        <w:ind w:left="360"/>
        <w:rPr>
          <w:rFonts w:cstheme="minorHAnsi"/>
          <w:sz w:val="20"/>
          <w:szCs w:val="20"/>
        </w:rPr>
      </w:pPr>
      <w:r w:rsidRPr="006C54A6">
        <w:rPr>
          <w:rFonts w:cstheme="minorHAnsi"/>
          <w:sz w:val="20"/>
          <w:szCs w:val="20"/>
        </w:rPr>
        <w:t>YTAC: conduct additional training of the VR agency staff around supporting system-involved (juvenile justice, foster care), homeless, and out-of-school youth in the CE process.</w:t>
      </w:r>
    </w:p>
    <w:p w14:paraId="6288B1DA" w14:textId="77777777" w:rsidR="00B360F2" w:rsidRPr="00B65379" w:rsidRDefault="00B360F2" w:rsidP="00846DA6">
      <w:pPr>
        <w:spacing w:after="0" w:line="240" w:lineRule="auto"/>
        <w:ind w:firstLine="0"/>
        <w:rPr>
          <w:rFonts w:cstheme="minorHAnsi"/>
        </w:rPr>
      </w:pPr>
      <w:r w:rsidRPr="0004723B">
        <w:rPr>
          <w:rFonts w:cstheme="minorHAnsi"/>
          <w:b/>
          <w:bCs/>
        </w:rPr>
        <w:t>Output H:</w:t>
      </w:r>
      <w:r>
        <w:rPr>
          <w:rFonts w:cstheme="minorHAnsi"/>
          <w:b/>
          <w:bCs/>
        </w:rPr>
        <w:t xml:space="preserve"> </w:t>
      </w:r>
      <w:r w:rsidRPr="00B65379">
        <w:rPr>
          <w:rFonts w:cstheme="minorHAnsi"/>
        </w:rPr>
        <w:t>Number of agency staff/CRPs/providers who completed CE training.</w:t>
      </w:r>
    </w:p>
    <w:p w14:paraId="311BED02" w14:textId="77777777" w:rsidR="00B360F2" w:rsidRDefault="00B360F2" w:rsidP="00846DA6">
      <w:pPr>
        <w:tabs>
          <w:tab w:val="left" w:pos="360"/>
        </w:tabs>
        <w:ind w:firstLine="0"/>
        <w:jc w:val="center"/>
        <w:rPr>
          <w:szCs w:val="14"/>
        </w:rPr>
      </w:pPr>
      <w:r w:rsidRPr="003A10D6">
        <w:rPr>
          <w:sz w:val="36"/>
          <w:szCs w:val="36"/>
        </w:rPr>
        <w:lastRenderedPageBreak/>
        <w:t xml:space="preserve">Activity </w:t>
      </w:r>
      <w:r>
        <w:rPr>
          <w:sz w:val="36"/>
          <w:szCs w:val="36"/>
        </w:rPr>
        <w:t>9</w:t>
      </w:r>
      <w:r>
        <w:rPr>
          <w:szCs w:val="14"/>
        </w:rPr>
        <w:br/>
      </w:r>
      <w:r>
        <w:rPr>
          <w:noProof/>
          <w:lang w:eastAsia="ko-KR"/>
        </w:rPr>
        <w:drawing>
          <wp:inline distT="0" distB="0" distL="0" distR="0" wp14:anchorId="2DB92E80" wp14:editId="75CB0555">
            <wp:extent cx="1517904" cy="4572000"/>
            <wp:effectExtent l="0" t="0" r="6350" b="0"/>
            <wp:docPr id="125" name="Picture 125" descr="Activity &amp; Outputs Progress 9">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1517904" cy="4572000"/>
                    </a:xfrm>
                    <a:prstGeom prst="rect">
                      <a:avLst/>
                    </a:prstGeom>
                  </pic:spPr>
                </pic:pic>
              </a:graphicData>
            </a:graphic>
          </wp:inline>
        </w:drawing>
      </w:r>
      <w:r>
        <w:rPr>
          <w:sz w:val="36"/>
          <w:szCs w:val="36"/>
        </w:rPr>
        <w:br/>
      </w:r>
      <w:r>
        <w:rPr>
          <w:noProof/>
          <w:lang w:eastAsia="ko-KR"/>
        </w:rPr>
        <w:drawing>
          <wp:inline distT="0" distB="0" distL="0" distR="0" wp14:anchorId="22BE6A04" wp14:editId="7E905DF2">
            <wp:extent cx="2090057" cy="370114"/>
            <wp:effectExtent l="0" t="0" r="5715" b="0"/>
            <wp:docPr id="126" name="Picture 126"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17604663" w14:textId="77777777" w:rsidR="00B360F2" w:rsidRPr="00B65379" w:rsidRDefault="00B360F2" w:rsidP="00846DA6">
      <w:pPr>
        <w:spacing w:after="0" w:line="240" w:lineRule="auto"/>
        <w:ind w:firstLine="0"/>
        <w:rPr>
          <w:rFonts w:cstheme="minorHAnsi"/>
        </w:rPr>
      </w:pPr>
      <w:r w:rsidRPr="00B65379">
        <w:rPr>
          <w:rFonts w:cstheme="minorHAnsi"/>
          <w:b/>
          <w:bCs/>
        </w:rPr>
        <w:t>Activity 9:</w:t>
      </w:r>
      <w:r>
        <w:rPr>
          <w:rFonts w:cstheme="minorHAnsi"/>
        </w:rPr>
        <w:t xml:space="preserve"> </w:t>
      </w:r>
      <w:r w:rsidRPr="00B65379">
        <w:rPr>
          <w:rFonts w:cstheme="minorHAnsi"/>
        </w:rPr>
        <w:t>WINTAC: Conduct training (performance-based) of direct service providers engaged in the Pilot Project regarding the provision of CE, following the Essential Elements model.</w:t>
      </w:r>
    </w:p>
    <w:p w14:paraId="63790394" w14:textId="77777777" w:rsidR="00B360F2" w:rsidRPr="0004723B" w:rsidRDefault="00B360F2" w:rsidP="00846DA6">
      <w:pPr>
        <w:spacing w:after="0" w:line="240" w:lineRule="auto"/>
        <w:ind w:firstLine="0"/>
        <w:rPr>
          <w:rFonts w:cstheme="minorHAnsi"/>
        </w:rPr>
      </w:pPr>
      <w:r w:rsidRPr="0004723B">
        <w:rPr>
          <w:rFonts w:cstheme="minorHAnsi"/>
          <w:b/>
          <w:bCs/>
        </w:rPr>
        <w:t>Output I:</w:t>
      </w:r>
      <w:r>
        <w:rPr>
          <w:rFonts w:cstheme="minorHAnsi"/>
        </w:rPr>
        <w:t xml:space="preserve"> </w:t>
      </w:r>
      <w:r w:rsidRPr="0004723B">
        <w:rPr>
          <w:rFonts w:cstheme="minorHAnsi"/>
        </w:rPr>
        <w:t>Number of agency staff/CRPs/</w:t>
      </w:r>
      <w:r>
        <w:rPr>
          <w:rFonts w:cstheme="minorHAnsi"/>
        </w:rPr>
        <w:t xml:space="preserve"> </w:t>
      </w:r>
      <w:r w:rsidRPr="0004723B">
        <w:rPr>
          <w:rFonts w:cstheme="minorHAnsi"/>
        </w:rPr>
        <w:t>providers who are authorized by the agency to receive referrals.</w:t>
      </w:r>
    </w:p>
    <w:p w14:paraId="348B26C6" w14:textId="77777777" w:rsidR="00B360F2" w:rsidRDefault="00B360F2" w:rsidP="00846DA6">
      <w:pPr>
        <w:tabs>
          <w:tab w:val="left" w:pos="360"/>
        </w:tabs>
        <w:ind w:firstLine="0"/>
        <w:jc w:val="center"/>
        <w:rPr>
          <w:szCs w:val="14"/>
        </w:rPr>
      </w:pPr>
      <w:r w:rsidRPr="003A10D6">
        <w:rPr>
          <w:sz w:val="36"/>
          <w:szCs w:val="36"/>
        </w:rPr>
        <w:t xml:space="preserve">Activity </w:t>
      </w:r>
      <w:r>
        <w:rPr>
          <w:sz w:val="36"/>
          <w:szCs w:val="36"/>
        </w:rPr>
        <w:t>10</w:t>
      </w:r>
      <w:r>
        <w:rPr>
          <w:szCs w:val="14"/>
        </w:rPr>
        <w:br/>
      </w:r>
      <w:r>
        <w:rPr>
          <w:noProof/>
          <w:lang w:eastAsia="ko-KR"/>
        </w:rPr>
        <w:drawing>
          <wp:inline distT="0" distB="0" distL="0" distR="0" wp14:anchorId="5ED03B6D" wp14:editId="3813BB8C">
            <wp:extent cx="1490472" cy="4572000"/>
            <wp:effectExtent l="0" t="0" r="0" b="0"/>
            <wp:docPr id="127" name="Picture 127" descr="Activity &amp; Outputs Progress 10">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1490472" cy="4572000"/>
                    </a:xfrm>
                    <a:prstGeom prst="rect">
                      <a:avLst/>
                    </a:prstGeom>
                  </pic:spPr>
                </pic:pic>
              </a:graphicData>
            </a:graphic>
          </wp:inline>
        </w:drawing>
      </w:r>
      <w:r>
        <w:rPr>
          <w:sz w:val="36"/>
          <w:szCs w:val="36"/>
        </w:rPr>
        <w:br/>
      </w:r>
      <w:r>
        <w:rPr>
          <w:noProof/>
          <w:lang w:eastAsia="ko-KR"/>
        </w:rPr>
        <w:drawing>
          <wp:inline distT="0" distB="0" distL="0" distR="0" wp14:anchorId="7EE99BE3" wp14:editId="59DB3E17">
            <wp:extent cx="2090057" cy="370114"/>
            <wp:effectExtent l="0" t="0" r="5715" b="0"/>
            <wp:docPr id="128" name="Picture 128"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595B43E2" w14:textId="77777777" w:rsidR="00B360F2" w:rsidRPr="00B65379" w:rsidRDefault="00B360F2" w:rsidP="00846DA6">
      <w:pPr>
        <w:spacing w:after="0" w:line="240" w:lineRule="auto"/>
        <w:ind w:firstLine="0"/>
        <w:rPr>
          <w:rFonts w:cstheme="minorHAnsi"/>
        </w:rPr>
      </w:pPr>
      <w:r w:rsidRPr="00B65379">
        <w:rPr>
          <w:rFonts w:cstheme="minorHAnsi"/>
          <w:b/>
          <w:bCs/>
        </w:rPr>
        <w:t>Activity 10:</w:t>
      </w:r>
      <w:r>
        <w:rPr>
          <w:rFonts w:cstheme="minorHAnsi"/>
        </w:rPr>
        <w:t xml:space="preserve"> </w:t>
      </w:r>
      <w:r w:rsidRPr="00B65379">
        <w:rPr>
          <w:rFonts w:cstheme="minorHAnsi"/>
        </w:rPr>
        <w:t>WINTAC: Develop a plan to expand and sustain CE.</w:t>
      </w:r>
    </w:p>
    <w:p w14:paraId="1D4819A8" w14:textId="77777777" w:rsidR="00B360F2" w:rsidRPr="006C54A6" w:rsidRDefault="00B360F2" w:rsidP="00C575C8">
      <w:pPr>
        <w:pStyle w:val="ListParagraph"/>
        <w:numPr>
          <w:ilvl w:val="0"/>
          <w:numId w:val="58"/>
        </w:numPr>
        <w:spacing w:after="0" w:line="240" w:lineRule="auto"/>
        <w:ind w:left="360"/>
        <w:rPr>
          <w:rFonts w:cstheme="minorHAnsi"/>
          <w:sz w:val="20"/>
          <w:szCs w:val="20"/>
        </w:rPr>
      </w:pPr>
      <w:r w:rsidRPr="006C54A6">
        <w:rPr>
          <w:rFonts w:cstheme="minorHAnsi"/>
          <w:sz w:val="20"/>
          <w:szCs w:val="20"/>
        </w:rPr>
        <w:t>NTACT: include SEAs and LEAs.</w:t>
      </w:r>
    </w:p>
    <w:p w14:paraId="720D12BA" w14:textId="77777777" w:rsidR="00B360F2" w:rsidRPr="00B65379" w:rsidRDefault="00B360F2" w:rsidP="00846DA6">
      <w:pPr>
        <w:spacing w:after="0" w:line="240" w:lineRule="auto"/>
        <w:ind w:firstLine="0"/>
        <w:rPr>
          <w:rFonts w:cstheme="minorHAnsi"/>
        </w:rPr>
      </w:pPr>
      <w:r w:rsidRPr="0004723B">
        <w:rPr>
          <w:rFonts w:cstheme="minorHAnsi"/>
          <w:b/>
          <w:bCs/>
        </w:rPr>
        <w:t>Output J:</w:t>
      </w:r>
      <w:r>
        <w:rPr>
          <w:rFonts w:cstheme="minorHAnsi"/>
        </w:rPr>
        <w:t xml:space="preserve"> </w:t>
      </w:r>
      <w:r w:rsidRPr="00B65379">
        <w:rPr>
          <w:rFonts w:cstheme="minorHAnsi"/>
        </w:rPr>
        <w:t>Completed sustainability plan.</w:t>
      </w:r>
    </w:p>
    <w:p w14:paraId="7A945B75" w14:textId="77777777" w:rsidR="00B360F2" w:rsidRPr="00B65379" w:rsidRDefault="00B360F2" w:rsidP="00B360F2">
      <w:pPr>
        <w:spacing w:after="0" w:line="240" w:lineRule="auto"/>
        <w:rPr>
          <w:rFonts w:cstheme="minorHAnsi"/>
        </w:rPr>
      </w:pPr>
    </w:p>
    <w:p w14:paraId="28859B4E" w14:textId="77777777" w:rsidR="00B360F2" w:rsidRDefault="00B360F2" w:rsidP="00846DA6">
      <w:pPr>
        <w:tabs>
          <w:tab w:val="left" w:pos="360"/>
        </w:tabs>
        <w:ind w:firstLine="0"/>
        <w:jc w:val="center"/>
        <w:rPr>
          <w:szCs w:val="14"/>
        </w:rPr>
      </w:pPr>
      <w:r w:rsidRPr="003A10D6">
        <w:rPr>
          <w:sz w:val="36"/>
          <w:szCs w:val="36"/>
        </w:rPr>
        <w:lastRenderedPageBreak/>
        <w:t xml:space="preserve">Activity </w:t>
      </w:r>
      <w:r>
        <w:rPr>
          <w:sz w:val="36"/>
          <w:szCs w:val="36"/>
        </w:rPr>
        <w:t>Unique</w:t>
      </w:r>
      <w:r>
        <w:rPr>
          <w:szCs w:val="14"/>
        </w:rPr>
        <w:br/>
      </w:r>
      <w:r>
        <w:rPr>
          <w:noProof/>
          <w:lang w:eastAsia="ko-KR"/>
        </w:rPr>
        <w:drawing>
          <wp:inline distT="0" distB="0" distL="0" distR="0" wp14:anchorId="35EC2D0B" wp14:editId="3054A8FE">
            <wp:extent cx="1517904" cy="4572000"/>
            <wp:effectExtent l="0" t="0" r="6350" b="0"/>
            <wp:docPr id="129" name="Picture 129" descr="Activity &amp; Outputs Progress Unique">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1517904" cy="4572000"/>
                    </a:xfrm>
                    <a:prstGeom prst="rect">
                      <a:avLst/>
                    </a:prstGeom>
                  </pic:spPr>
                </pic:pic>
              </a:graphicData>
            </a:graphic>
          </wp:inline>
        </w:drawing>
      </w:r>
      <w:r>
        <w:rPr>
          <w:sz w:val="36"/>
          <w:szCs w:val="36"/>
        </w:rPr>
        <w:br/>
      </w:r>
      <w:r>
        <w:rPr>
          <w:noProof/>
          <w:lang w:eastAsia="ko-KR"/>
        </w:rPr>
        <w:drawing>
          <wp:inline distT="0" distB="0" distL="0" distR="0" wp14:anchorId="5C890033" wp14:editId="38C719C2">
            <wp:extent cx="2090057" cy="370114"/>
            <wp:effectExtent l="0" t="0" r="5715" b="0"/>
            <wp:docPr id="130" name="Picture 130"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28A3C64B" w14:textId="77777777" w:rsidR="00B360F2" w:rsidRPr="0004723B" w:rsidRDefault="00B360F2" w:rsidP="00846DA6">
      <w:pPr>
        <w:spacing w:after="0" w:line="240" w:lineRule="auto"/>
        <w:ind w:firstLine="0"/>
        <w:rPr>
          <w:rFonts w:cstheme="minorHAnsi"/>
        </w:rPr>
      </w:pPr>
      <w:r w:rsidRPr="0004723B">
        <w:rPr>
          <w:rFonts w:cstheme="minorHAnsi"/>
          <w:b/>
          <w:bCs/>
        </w:rPr>
        <w:t xml:space="preserve">Activity </w:t>
      </w:r>
      <w:r>
        <w:rPr>
          <w:rFonts w:cstheme="minorHAnsi"/>
          <w:b/>
          <w:bCs/>
        </w:rPr>
        <w:t xml:space="preserve">Unique </w:t>
      </w:r>
      <w:r w:rsidRPr="0004723B">
        <w:rPr>
          <w:rFonts w:cstheme="minorHAnsi"/>
          <w:b/>
          <w:bCs/>
        </w:rPr>
        <w:t>:</w:t>
      </w:r>
      <w:r w:rsidRPr="0004723B">
        <w:t xml:space="preserve"> </w:t>
      </w:r>
      <w:r w:rsidRPr="0004723B">
        <w:rPr>
          <w:rFonts w:cstheme="minorHAnsi"/>
        </w:rPr>
        <w:t>Research CE models nationally.</w:t>
      </w:r>
    </w:p>
    <w:p w14:paraId="2DFB059C" w14:textId="77777777" w:rsidR="00B360F2" w:rsidRPr="0004723B" w:rsidRDefault="00B360F2" w:rsidP="00846DA6">
      <w:pPr>
        <w:spacing w:after="0" w:line="240" w:lineRule="auto"/>
        <w:ind w:firstLine="0"/>
        <w:rPr>
          <w:rFonts w:cstheme="minorHAnsi"/>
        </w:rPr>
      </w:pPr>
      <w:r>
        <w:rPr>
          <w:rFonts w:cstheme="minorHAnsi"/>
          <w:b/>
          <w:bCs/>
        </w:rPr>
        <w:t>Activity Unique 2</w:t>
      </w:r>
      <w:r w:rsidRPr="0004723B">
        <w:rPr>
          <w:rFonts w:cstheme="minorHAnsi"/>
          <w:b/>
          <w:bCs/>
        </w:rPr>
        <w:t>:</w:t>
      </w:r>
      <w:r w:rsidRPr="0004723B">
        <w:t xml:space="preserve"> </w:t>
      </w:r>
      <w:r w:rsidRPr="0004723B">
        <w:rPr>
          <w:rFonts w:cstheme="minorHAnsi"/>
        </w:rPr>
        <w:t>Research rates paid for the provision of CE by other VR programs.</w:t>
      </w:r>
    </w:p>
    <w:p w14:paraId="12130DC3" w14:textId="77777777" w:rsidR="00B360F2" w:rsidRPr="0004723B" w:rsidRDefault="00B360F2" w:rsidP="00846DA6">
      <w:pPr>
        <w:spacing w:after="0" w:line="240" w:lineRule="auto"/>
        <w:ind w:firstLine="0"/>
        <w:rPr>
          <w:rFonts w:cstheme="minorHAnsi"/>
        </w:rPr>
      </w:pPr>
      <w:r>
        <w:rPr>
          <w:rFonts w:cstheme="minorHAnsi"/>
          <w:b/>
          <w:bCs/>
        </w:rPr>
        <w:t>Output 1</w:t>
      </w:r>
      <w:r w:rsidRPr="0004723B">
        <w:rPr>
          <w:rFonts w:cstheme="minorHAnsi"/>
          <w:b/>
          <w:bCs/>
        </w:rPr>
        <w:t>:</w:t>
      </w:r>
      <w:r w:rsidRPr="0004723B">
        <w:t xml:space="preserve"> </w:t>
      </w:r>
      <w:r w:rsidRPr="0004723B">
        <w:rPr>
          <w:rFonts w:cstheme="minorHAnsi"/>
        </w:rPr>
        <w:t>Number of CE models provided to DOR.</w:t>
      </w:r>
    </w:p>
    <w:p w14:paraId="0003AE63" w14:textId="77777777" w:rsidR="00B360F2" w:rsidRDefault="00B360F2" w:rsidP="00846DA6">
      <w:pPr>
        <w:ind w:firstLine="0"/>
        <w:rPr>
          <w:szCs w:val="14"/>
        </w:rPr>
        <w:sectPr w:rsidR="00B360F2" w:rsidSect="00B360F2">
          <w:type w:val="continuous"/>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num="2" w:space="720"/>
          <w:docGrid w:linePitch="360"/>
        </w:sectPr>
      </w:pPr>
      <w:r>
        <w:rPr>
          <w:rFonts w:cstheme="minorHAnsi"/>
          <w:b/>
          <w:bCs/>
        </w:rPr>
        <w:t>Output 2</w:t>
      </w:r>
      <w:r w:rsidRPr="0004723B">
        <w:rPr>
          <w:rFonts w:cstheme="minorHAnsi"/>
          <w:b/>
          <w:bCs/>
        </w:rPr>
        <w:t>:</w:t>
      </w:r>
      <w:r w:rsidRPr="0004723B">
        <w:t xml:space="preserve"> </w:t>
      </w:r>
      <w:r w:rsidRPr="0004723B">
        <w:rPr>
          <w:rFonts w:cstheme="minorHAnsi"/>
        </w:rPr>
        <w:t>Rate structure provided to DOR</w:t>
      </w:r>
    </w:p>
    <w:p w14:paraId="2845B673" w14:textId="77777777" w:rsidR="00B360F2" w:rsidRDefault="00B360F2" w:rsidP="00846DA6">
      <w:pPr>
        <w:pStyle w:val="Heading2"/>
      </w:pPr>
      <w:bookmarkStart w:id="133" w:name="_Toc41940254"/>
      <w:r>
        <w:lastRenderedPageBreak/>
        <w:t>Customized Employment</w:t>
      </w:r>
      <w:r w:rsidRPr="009E708E">
        <w:t>:</w:t>
      </w:r>
      <w:r>
        <w:t xml:space="preserve"> </w:t>
      </w:r>
      <w:r w:rsidRPr="00333BAD">
        <w:t>Outcomes Progress Dashboards</w:t>
      </w:r>
      <w:bookmarkEnd w:id="133"/>
    </w:p>
    <w:p w14:paraId="1575333F" w14:textId="77777777" w:rsidR="00B360F2" w:rsidRDefault="00B360F2" w:rsidP="00B360F2">
      <w:pPr>
        <w:ind w:firstLine="0"/>
        <w:jc w:val="center"/>
        <w:rPr>
          <w:sz w:val="24"/>
          <w:szCs w:val="24"/>
        </w:rPr>
      </w:pPr>
      <w:r>
        <w:rPr>
          <w:noProof/>
          <w:lang w:eastAsia="ko-KR"/>
        </w:rPr>
        <w:drawing>
          <wp:inline distT="0" distB="0" distL="0" distR="0" wp14:anchorId="489B1047" wp14:editId="513D08B6">
            <wp:extent cx="4779818" cy="2514512"/>
            <wp:effectExtent l="0" t="0" r="0" b="635"/>
            <wp:docPr id="131" name="Picture 131" descr="Outcomes Progress speedometer showing 47%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4825455" cy="2538520"/>
                    </a:xfrm>
                    <a:prstGeom prst="rect">
                      <a:avLst/>
                    </a:prstGeom>
                  </pic:spPr>
                </pic:pic>
              </a:graphicData>
            </a:graphic>
          </wp:inline>
        </w:drawing>
      </w:r>
    </w:p>
    <w:p w14:paraId="4C3BB48A" w14:textId="77777777" w:rsidR="00B360F2" w:rsidRDefault="00B360F2" w:rsidP="00B360F2">
      <w:pPr>
        <w:ind w:firstLine="0"/>
      </w:pPr>
      <w:r>
        <w:t>The speedometer dashboard shows that nearly one-third of anticipated CE outcomes are at least 75% achieved. Most of these outcomes are associated with completion of readiness or feasibility assessments and training activities, and a few with completion of expansion and sustainability plans. Nearly half of all outcomes are only 25% achieved, likely reflecting the amount of time between foundational activities (e.g., policies, procedures, fee structures and MOUs) and short term outcomes (e.g., clients whose plans contain CIE goals).</w:t>
      </w:r>
    </w:p>
    <w:p w14:paraId="298A009E" w14:textId="77777777" w:rsidR="00B360F2" w:rsidRDefault="00B360F2" w:rsidP="00846DA6">
      <w:pPr>
        <w:pStyle w:val="Heading2"/>
      </w:pPr>
      <w:bookmarkStart w:id="134" w:name="_Toc41940255"/>
      <w:r>
        <w:t>Customized Employment Pilot Data</w:t>
      </w:r>
      <w:r w:rsidRPr="00333BAD">
        <w:t xml:space="preserve"> Dashboards</w:t>
      </w:r>
      <w:bookmarkEnd w:id="134"/>
    </w:p>
    <w:p w14:paraId="2E466D8A" w14:textId="77777777" w:rsidR="00B360F2" w:rsidRDefault="00B360F2" w:rsidP="00B360F2">
      <w:pPr>
        <w:tabs>
          <w:tab w:val="left" w:pos="360"/>
        </w:tabs>
        <w:spacing w:after="0"/>
        <w:rPr>
          <w:rFonts w:cstheme="minorHAnsi"/>
        </w:rPr>
      </w:pPr>
      <w:r>
        <w:t xml:space="preserve">SVRAs report quarterly to WINTAC on </w:t>
      </w:r>
      <w:r>
        <w:rPr>
          <w:rFonts w:cstheme="minorHAnsi"/>
        </w:rPr>
        <w:t>six core data elements describing their CE pilots’ progress. They can enter and view their data via online report forms and dashboards. Aggregated dashboard data for the 13 SVRAs with active pilots is displayed below. These figures cover the period from pilot start-up through March 2020.</w:t>
      </w:r>
    </w:p>
    <w:p w14:paraId="5EE50D30" w14:textId="77777777" w:rsidR="00B360F2" w:rsidRPr="000F3D12" w:rsidRDefault="00B360F2" w:rsidP="00B360F2">
      <w:pPr>
        <w:tabs>
          <w:tab w:val="left" w:pos="360"/>
        </w:tabs>
        <w:spacing w:after="0"/>
        <w:ind w:left="1350" w:right="1350"/>
        <w:jc w:val="center"/>
        <w:rPr>
          <w:rFonts w:cstheme="minorHAnsi"/>
          <w:b/>
        </w:rPr>
      </w:pPr>
      <w:r>
        <w:rPr>
          <w:rFonts w:cstheme="minorHAnsi"/>
          <w:b/>
        </w:rPr>
        <w:t xml:space="preserve">-CE DASHBOARD: PILOT </w:t>
      </w:r>
      <w:r w:rsidRPr="000F3D12">
        <w:rPr>
          <w:rFonts w:cstheme="minorHAnsi"/>
          <w:b/>
        </w:rPr>
        <w:t>INPUTS-</w:t>
      </w:r>
    </w:p>
    <w:p w14:paraId="1437E446" w14:textId="77777777" w:rsidR="00B360F2" w:rsidRDefault="00B360F2" w:rsidP="00B360F2">
      <w:pPr>
        <w:tabs>
          <w:tab w:val="left" w:pos="360"/>
        </w:tabs>
        <w:jc w:val="center"/>
      </w:pPr>
      <w:r>
        <w:rPr>
          <w:noProof/>
          <w:lang w:eastAsia="ko-KR"/>
        </w:rPr>
        <w:drawing>
          <wp:inline distT="0" distB="0" distL="0" distR="0" wp14:anchorId="5BF62F95" wp14:editId="0339890E">
            <wp:extent cx="4390500" cy="2542673"/>
            <wp:effectExtent l="25400" t="25400" r="29210" b="22860"/>
            <wp:docPr id="132" name="Picture 132" descr="Number of Sites and Partners Involved in Pi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426121" cy="2563302"/>
                    </a:xfrm>
                    <a:prstGeom prst="rect">
                      <a:avLst/>
                    </a:prstGeom>
                    <a:ln w="28575">
                      <a:solidFill>
                        <a:schemeClr val="tx1"/>
                      </a:solidFill>
                    </a:ln>
                  </pic:spPr>
                </pic:pic>
              </a:graphicData>
            </a:graphic>
          </wp:inline>
        </w:drawing>
      </w:r>
    </w:p>
    <w:p w14:paraId="3F3D123E" w14:textId="77777777" w:rsidR="00B360F2" w:rsidRDefault="00B360F2" w:rsidP="00B360F2">
      <w:pPr>
        <w:tabs>
          <w:tab w:val="left" w:pos="360"/>
        </w:tabs>
        <w:spacing w:after="0"/>
        <w:ind w:left="1710" w:right="1710"/>
        <w:jc w:val="center"/>
        <w:rPr>
          <w:b/>
        </w:rPr>
      </w:pPr>
      <w:r w:rsidRPr="004C5DD3">
        <w:rPr>
          <w:b/>
        </w:rPr>
        <w:lastRenderedPageBreak/>
        <w:t>-</w:t>
      </w:r>
      <w:r>
        <w:rPr>
          <w:b/>
        </w:rPr>
        <w:t xml:space="preserve">CE DASHBOARD: PILOT </w:t>
      </w:r>
      <w:r w:rsidRPr="000F3D12">
        <w:rPr>
          <w:rFonts w:cstheme="minorHAnsi"/>
          <w:b/>
        </w:rPr>
        <w:t>OUTPUTS</w:t>
      </w:r>
      <w:r w:rsidRPr="004C5DD3">
        <w:rPr>
          <w:b/>
        </w:rPr>
        <w:t>-</w:t>
      </w:r>
    </w:p>
    <w:p w14:paraId="24F1B2EF" w14:textId="77777777" w:rsidR="00B360F2" w:rsidRPr="004C5DD3" w:rsidRDefault="00B360F2" w:rsidP="00B360F2">
      <w:pPr>
        <w:tabs>
          <w:tab w:val="left" w:pos="360"/>
        </w:tabs>
        <w:spacing w:after="0"/>
        <w:ind w:left="1710" w:right="1710"/>
        <w:jc w:val="center"/>
        <w:rPr>
          <w:b/>
        </w:rPr>
      </w:pPr>
      <w:r>
        <w:rPr>
          <w:b/>
        </w:rPr>
        <w:t>TRAINING COHORTS</w:t>
      </w:r>
    </w:p>
    <w:p w14:paraId="676A4F91" w14:textId="77777777" w:rsidR="00B360F2" w:rsidRPr="00672071" w:rsidRDefault="00B360F2" w:rsidP="00672071">
      <w:pPr>
        <w:spacing w:after="0"/>
        <w:ind w:firstLine="0"/>
        <w:jc w:val="center"/>
      </w:pPr>
      <w:r>
        <w:rPr>
          <w:noProof/>
          <w:lang w:eastAsia="ko-KR"/>
        </w:rPr>
        <w:drawing>
          <wp:inline distT="0" distB="0" distL="0" distR="0" wp14:anchorId="37D2E2AD" wp14:editId="02E2C6E4">
            <wp:extent cx="3749168" cy="2417618"/>
            <wp:effectExtent l="25400" t="25400" r="22860" b="20955"/>
            <wp:docPr id="133" name="Picture 133" descr="Number of Cohorts Training completed in progress showing 28 completed and 9 in progress">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3778362" cy="2436443"/>
                    </a:xfrm>
                    <a:prstGeom prst="rect">
                      <a:avLst/>
                    </a:prstGeom>
                    <a:ln w="28575">
                      <a:solidFill>
                        <a:schemeClr val="tx1"/>
                      </a:solidFill>
                    </a:ln>
                  </pic:spPr>
                </pic:pic>
              </a:graphicData>
            </a:graphic>
          </wp:inline>
        </w:drawing>
      </w:r>
    </w:p>
    <w:p w14:paraId="747B5839" w14:textId="77777777" w:rsidR="00B360F2" w:rsidRPr="006466FD" w:rsidRDefault="00B360F2" w:rsidP="00B360F2">
      <w:pPr>
        <w:spacing w:after="0"/>
        <w:ind w:left="1710" w:right="1710"/>
        <w:jc w:val="center"/>
        <w:rPr>
          <w:b/>
        </w:rPr>
      </w:pPr>
      <w:r w:rsidRPr="006466FD">
        <w:rPr>
          <w:b/>
        </w:rPr>
        <w:t>TRAINING COMPLETIONS</w:t>
      </w:r>
    </w:p>
    <w:p w14:paraId="3AF467C9" w14:textId="77777777" w:rsidR="00B360F2" w:rsidRPr="00672071" w:rsidRDefault="00B360F2" w:rsidP="00672071">
      <w:pPr>
        <w:spacing w:after="240"/>
        <w:ind w:firstLine="0"/>
        <w:jc w:val="center"/>
      </w:pPr>
      <w:r>
        <w:rPr>
          <w:noProof/>
          <w:lang w:eastAsia="ko-KR"/>
        </w:rPr>
        <w:drawing>
          <wp:inline distT="0" distB="0" distL="0" distR="0" wp14:anchorId="5DE907C7" wp14:editId="68DCD08D">
            <wp:extent cx="4166105" cy="2441986"/>
            <wp:effectExtent l="25400" t="25400" r="25400" b="22225"/>
            <wp:docPr id="134" name="Picture 134" descr="Participants Completed CE Training, By organizations ">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220267" cy="2473733"/>
                    </a:xfrm>
                    <a:prstGeom prst="rect">
                      <a:avLst/>
                    </a:prstGeom>
                    <a:ln w="28575">
                      <a:solidFill>
                        <a:schemeClr val="tx1"/>
                      </a:solidFill>
                    </a:ln>
                  </pic:spPr>
                </pic:pic>
              </a:graphicData>
            </a:graphic>
          </wp:inline>
        </w:drawing>
      </w:r>
    </w:p>
    <w:p w14:paraId="4D3E6535" w14:textId="77777777" w:rsidR="00B360F2" w:rsidRPr="00672071" w:rsidRDefault="00B360F2" w:rsidP="00672071">
      <w:pPr>
        <w:spacing w:after="0"/>
        <w:ind w:firstLine="0"/>
        <w:jc w:val="center"/>
      </w:pPr>
      <w:r>
        <w:rPr>
          <w:noProof/>
          <w:lang w:eastAsia="ko-KR"/>
        </w:rPr>
        <w:drawing>
          <wp:inline distT="0" distB="0" distL="0" distR="0" wp14:anchorId="52F8EE72" wp14:editId="30250201">
            <wp:extent cx="4122569" cy="2402967"/>
            <wp:effectExtent l="25400" t="25400" r="30480" b="22860"/>
            <wp:docPr id="135" name="Picture 135" descr="Participants completed CE training by Modality">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4122569" cy="2402967"/>
                    </a:xfrm>
                    <a:prstGeom prst="rect">
                      <a:avLst/>
                    </a:prstGeom>
                    <a:ln w="28575">
                      <a:solidFill>
                        <a:schemeClr val="tx1"/>
                      </a:solidFill>
                    </a:ln>
                  </pic:spPr>
                </pic:pic>
              </a:graphicData>
            </a:graphic>
          </wp:inline>
        </w:drawing>
      </w:r>
    </w:p>
    <w:p w14:paraId="6DBD7E43" w14:textId="77777777" w:rsidR="00B360F2" w:rsidRDefault="00B360F2" w:rsidP="00B360F2">
      <w:pPr>
        <w:tabs>
          <w:tab w:val="left" w:pos="360"/>
        </w:tabs>
        <w:spacing w:after="0"/>
        <w:ind w:left="720" w:right="720"/>
        <w:jc w:val="center"/>
        <w:rPr>
          <w:b/>
        </w:rPr>
      </w:pPr>
      <w:r>
        <w:rPr>
          <w:b/>
        </w:rPr>
        <w:lastRenderedPageBreak/>
        <w:t xml:space="preserve">-CE DASHBOARD: PILOT </w:t>
      </w:r>
      <w:r w:rsidRPr="000F3D12">
        <w:rPr>
          <w:rFonts w:cstheme="minorHAnsi"/>
          <w:b/>
        </w:rPr>
        <w:t>OUTCOMES</w:t>
      </w:r>
      <w:r>
        <w:rPr>
          <w:b/>
        </w:rPr>
        <w:t>-</w:t>
      </w:r>
    </w:p>
    <w:p w14:paraId="19A1D2A5" w14:textId="77777777" w:rsidR="00B360F2" w:rsidRDefault="00B360F2" w:rsidP="00B360F2">
      <w:pPr>
        <w:spacing w:after="0"/>
        <w:ind w:left="720" w:right="720"/>
        <w:jc w:val="center"/>
        <w:rPr>
          <w:b/>
        </w:rPr>
      </w:pPr>
      <w:r>
        <w:rPr>
          <w:b/>
        </w:rPr>
        <w:t>CONSUMERS SERVED</w:t>
      </w:r>
    </w:p>
    <w:p w14:paraId="701AB29E" w14:textId="77777777" w:rsidR="00B360F2" w:rsidRPr="008D0CA1" w:rsidRDefault="00B360F2" w:rsidP="00B360F2">
      <w:pPr>
        <w:spacing w:after="0"/>
        <w:ind w:left="720" w:right="720"/>
        <w:jc w:val="center"/>
        <w:rPr>
          <w:sz w:val="20"/>
          <w:szCs w:val="20"/>
        </w:rPr>
      </w:pPr>
      <w:r w:rsidRPr="008D0CA1">
        <w:rPr>
          <w:sz w:val="20"/>
          <w:szCs w:val="20"/>
        </w:rPr>
        <w:t>(unduplicated counts)</w:t>
      </w:r>
    </w:p>
    <w:p w14:paraId="4B435DD2" w14:textId="77777777" w:rsidR="00B360F2" w:rsidRPr="00672071" w:rsidRDefault="00B360F2" w:rsidP="00B360F2">
      <w:pPr>
        <w:spacing w:after="240"/>
        <w:ind w:left="720" w:right="720"/>
        <w:jc w:val="center"/>
      </w:pPr>
      <w:r>
        <w:rPr>
          <w:noProof/>
          <w:lang w:eastAsia="ko-KR"/>
        </w:rPr>
        <w:drawing>
          <wp:inline distT="0" distB="0" distL="0" distR="0" wp14:anchorId="695F14D4" wp14:editId="52D32C0B">
            <wp:extent cx="4214680" cy="2777490"/>
            <wp:effectExtent l="25400" t="25400" r="27305" b="29210"/>
            <wp:docPr id="136" name="Picture 136" descr="Consumer Served 314 started customized employment, 146 completed discovery, 95 completed job development, placed in competitive employment">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4239930" cy="2794130"/>
                    </a:xfrm>
                    <a:prstGeom prst="rect">
                      <a:avLst/>
                    </a:prstGeom>
                    <a:ln w="28575">
                      <a:solidFill>
                        <a:schemeClr val="tx1"/>
                      </a:solidFill>
                    </a:ln>
                  </pic:spPr>
                </pic:pic>
              </a:graphicData>
            </a:graphic>
          </wp:inline>
        </w:drawing>
      </w:r>
    </w:p>
    <w:p w14:paraId="72731608" w14:textId="77777777" w:rsidR="00B360F2" w:rsidRPr="000F3D12" w:rsidRDefault="00B360F2" w:rsidP="00B360F2">
      <w:pPr>
        <w:spacing w:after="0"/>
        <w:ind w:left="720" w:right="720"/>
        <w:jc w:val="center"/>
        <w:rPr>
          <w:b/>
        </w:rPr>
      </w:pPr>
      <w:r>
        <w:rPr>
          <w:b/>
        </w:rPr>
        <w:t>CAPACITY</w:t>
      </w:r>
    </w:p>
    <w:p w14:paraId="44211B74" w14:textId="77777777" w:rsidR="00B360F2" w:rsidRPr="00672071" w:rsidRDefault="00B360F2" w:rsidP="00B360F2">
      <w:pPr>
        <w:spacing w:after="240"/>
        <w:ind w:left="720" w:right="720"/>
        <w:jc w:val="center"/>
      </w:pPr>
      <w:r>
        <w:rPr>
          <w:noProof/>
          <w:lang w:eastAsia="ko-KR"/>
        </w:rPr>
        <w:drawing>
          <wp:inline distT="0" distB="0" distL="0" distR="0" wp14:anchorId="786641FF" wp14:editId="3777B97C">
            <wp:extent cx="1995055" cy="2037204"/>
            <wp:effectExtent l="25400" t="25400" r="24765" b="20320"/>
            <wp:docPr id="137" name="Picture 137" descr="No of organization with certified, active, direct service staff">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2010539" cy="2053015"/>
                    </a:xfrm>
                    <a:prstGeom prst="rect">
                      <a:avLst/>
                    </a:prstGeom>
                    <a:ln w="28575">
                      <a:solidFill>
                        <a:schemeClr val="tx1"/>
                      </a:solidFill>
                    </a:ln>
                  </pic:spPr>
                </pic:pic>
              </a:graphicData>
            </a:graphic>
          </wp:inline>
        </w:drawing>
      </w:r>
    </w:p>
    <w:p w14:paraId="4264C087" w14:textId="77777777" w:rsidR="00DC30A7" w:rsidRDefault="00B360F2" w:rsidP="00DC30A7">
      <w:pPr>
        <w:jc w:val="center"/>
      </w:pPr>
      <w:r>
        <w:rPr>
          <w:noProof/>
          <w:lang w:eastAsia="ko-KR"/>
        </w:rPr>
        <w:drawing>
          <wp:inline distT="0" distB="0" distL="0" distR="0" wp14:anchorId="1ADB3ED2" wp14:editId="5D54B816">
            <wp:extent cx="3756025" cy="2111961"/>
            <wp:effectExtent l="38100" t="38100" r="34925" b="41275"/>
            <wp:docPr id="138" name="Picture 138" descr="Staff involved in customized employment services">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3798730" cy="2135974"/>
                    </a:xfrm>
                    <a:prstGeom prst="rect">
                      <a:avLst/>
                    </a:prstGeom>
                    <a:ln w="28575">
                      <a:solidFill>
                        <a:schemeClr val="tx1"/>
                      </a:solidFill>
                    </a:ln>
                  </pic:spPr>
                </pic:pic>
              </a:graphicData>
            </a:graphic>
          </wp:inline>
        </w:drawing>
      </w:r>
    </w:p>
    <w:p w14:paraId="0791FD34" w14:textId="3F33D44F" w:rsidR="00B360F2" w:rsidRPr="00846DA6" w:rsidRDefault="00846DA6" w:rsidP="00846DA6">
      <w:pPr>
        <w:pStyle w:val="Heading2"/>
      </w:pPr>
      <w:bookmarkStart w:id="135" w:name="_Toc41940256"/>
      <w:r w:rsidRPr="00846DA6">
        <w:lastRenderedPageBreak/>
        <w:t>Customized Employment: Resources</w:t>
      </w:r>
      <w:bookmarkEnd w:id="135"/>
    </w:p>
    <w:p w14:paraId="06AB5A55" w14:textId="77777777" w:rsidR="00B360F2" w:rsidRPr="00F57B5E" w:rsidRDefault="00B360F2" w:rsidP="00B360F2">
      <w:pPr>
        <w:spacing w:before="240" w:after="240" w:line="240" w:lineRule="auto"/>
        <w:rPr>
          <w:rFonts w:eastAsia="Times New Roman" w:cstheme="minorHAnsi"/>
          <w:sz w:val="24"/>
          <w:szCs w:val="24"/>
        </w:rPr>
      </w:pPr>
      <w:r>
        <w:rPr>
          <w:rFonts w:eastAsia="Times New Roman" w:cstheme="minorHAnsi"/>
          <w:sz w:val="24"/>
          <w:szCs w:val="24"/>
        </w:rPr>
        <w:t>The CE team has developed or facilitated the development of a number of resources to support TA and training and provide guidance to SVRAs as they develop pilots or other strategies to meet the requirements for customized</w:t>
      </w:r>
      <w:r w:rsidRPr="00F57B5E">
        <w:rPr>
          <w:rFonts w:eastAsia="Times New Roman" w:cstheme="minorHAnsi"/>
          <w:sz w:val="24"/>
          <w:szCs w:val="24"/>
        </w:rPr>
        <w:t xml:space="preserve"> employment under WIOA</w:t>
      </w:r>
      <w:r>
        <w:rPr>
          <w:rFonts w:eastAsia="Times New Roman" w:cstheme="minorHAnsi"/>
          <w:sz w:val="24"/>
          <w:szCs w:val="24"/>
        </w:rPr>
        <w:t>, and as they plan for expansion and sustainability</w:t>
      </w:r>
      <w:r w:rsidRPr="00F57B5E">
        <w:rPr>
          <w:rFonts w:eastAsia="Times New Roman" w:cstheme="minorHAnsi"/>
          <w:sz w:val="24"/>
          <w:szCs w:val="24"/>
        </w:rPr>
        <w:t>:</w:t>
      </w:r>
    </w:p>
    <w:p w14:paraId="76B52952" w14:textId="77777777" w:rsidR="00B360F2" w:rsidRPr="00F57B5E" w:rsidRDefault="0084664F" w:rsidP="00C575C8">
      <w:pPr>
        <w:pStyle w:val="ListParagraph"/>
        <w:numPr>
          <w:ilvl w:val="0"/>
          <w:numId w:val="60"/>
        </w:numPr>
        <w:spacing w:before="100" w:beforeAutospacing="1" w:after="100" w:afterAutospacing="1"/>
        <w:rPr>
          <w:sz w:val="24"/>
          <w:szCs w:val="24"/>
        </w:rPr>
      </w:pPr>
      <w:hyperlink r:id="rId345" w:history="1">
        <w:r w:rsidR="00B360F2" w:rsidRPr="00F57B5E">
          <w:rPr>
            <w:rStyle w:val="Hyperlink"/>
            <w:sz w:val="24"/>
            <w:szCs w:val="24"/>
          </w:rPr>
          <w:t>Essential Elements of Customized Employment for Universal Application</w:t>
        </w:r>
      </w:hyperlink>
    </w:p>
    <w:p w14:paraId="1EFF22B5" w14:textId="77777777" w:rsidR="00B360F2" w:rsidRPr="00F57B5E" w:rsidRDefault="00B360F2" w:rsidP="00C575C8">
      <w:pPr>
        <w:pStyle w:val="ListParagraph"/>
        <w:numPr>
          <w:ilvl w:val="0"/>
          <w:numId w:val="60"/>
        </w:numPr>
        <w:spacing w:before="100" w:beforeAutospacing="1" w:after="100" w:afterAutospacing="1"/>
        <w:rPr>
          <w:sz w:val="24"/>
          <w:szCs w:val="24"/>
        </w:rPr>
      </w:pPr>
      <w:r w:rsidRPr="00F57B5E">
        <w:rPr>
          <w:sz w:val="24"/>
          <w:szCs w:val="24"/>
        </w:rPr>
        <w:t>CE Logic Model (Integrated With N</w:t>
      </w:r>
      <w:r>
        <w:rPr>
          <w:sz w:val="24"/>
          <w:szCs w:val="24"/>
        </w:rPr>
        <w:t>TACT</w:t>
      </w:r>
      <w:r w:rsidRPr="00F57B5E">
        <w:rPr>
          <w:sz w:val="24"/>
          <w:szCs w:val="24"/>
        </w:rPr>
        <w:t xml:space="preserve"> &amp; Y-T</w:t>
      </w:r>
      <w:r>
        <w:rPr>
          <w:sz w:val="24"/>
          <w:szCs w:val="24"/>
        </w:rPr>
        <w:t>AC</w:t>
      </w:r>
      <w:r w:rsidRPr="00F57B5E">
        <w:rPr>
          <w:sz w:val="24"/>
          <w:szCs w:val="24"/>
        </w:rPr>
        <w:t xml:space="preserve"> CE Logic Models)  </w:t>
      </w:r>
    </w:p>
    <w:p w14:paraId="3CE32D3B" w14:textId="77777777" w:rsidR="00B360F2" w:rsidRPr="00F57B5E" w:rsidRDefault="0084664F" w:rsidP="00C575C8">
      <w:pPr>
        <w:pStyle w:val="ListParagraph"/>
        <w:numPr>
          <w:ilvl w:val="0"/>
          <w:numId w:val="60"/>
        </w:numPr>
        <w:spacing w:before="100" w:beforeAutospacing="1" w:after="100" w:afterAutospacing="1"/>
        <w:rPr>
          <w:sz w:val="24"/>
          <w:szCs w:val="24"/>
        </w:rPr>
      </w:pPr>
      <w:hyperlink r:id="rId346" w:history="1">
        <w:r w:rsidR="00B360F2" w:rsidRPr="00F57B5E">
          <w:rPr>
            <w:rStyle w:val="Hyperlink"/>
            <w:sz w:val="24"/>
            <w:szCs w:val="24"/>
          </w:rPr>
          <w:t>Customized Employment Implementation Roadmap</w:t>
        </w:r>
      </w:hyperlink>
    </w:p>
    <w:p w14:paraId="724B021A" w14:textId="77777777" w:rsidR="00B360F2" w:rsidRDefault="00B360F2" w:rsidP="00C575C8">
      <w:pPr>
        <w:pStyle w:val="ListParagraph"/>
        <w:numPr>
          <w:ilvl w:val="0"/>
          <w:numId w:val="60"/>
        </w:numPr>
        <w:spacing w:before="100" w:beforeAutospacing="1" w:after="100" w:afterAutospacing="1"/>
        <w:rPr>
          <w:sz w:val="24"/>
          <w:szCs w:val="24"/>
        </w:rPr>
      </w:pPr>
      <w:r w:rsidRPr="00F57B5E">
        <w:rPr>
          <w:sz w:val="24"/>
          <w:szCs w:val="24"/>
        </w:rPr>
        <w:t xml:space="preserve">CE Readiness Assessment </w:t>
      </w:r>
      <w:r>
        <w:rPr>
          <w:sz w:val="24"/>
          <w:szCs w:val="24"/>
        </w:rPr>
        <w:t xml:space="preserve">Self-Rating Survey </w:t>
      </w:r>
    </w:p>
    <w:p w14:paraId="429C9F33" w14:textId="77777777" w:rsidR="00B360F2" w:rsidRDefault="00B360F2" w:rsidP="00C575C8">
      <w:pPr>
        <w:pStyle w:val="ListParagraph"/>
        <w:numPr>
          <w:ilvl w:val="0"/>
          <w:numId w:val="60"/>
        </w:numPr>
        <w:spacing w:before="100" w:beforeAutospacing="1" w:after="100" w:afterAutospacing="1"/>
        <w:rPr>
          <w:sz w:val="24"/>
          <w:szCs w:val="24"/>
        </w:rPr>
      </w:pPr>
      <w:r>
        <w:rPr>
          <w:sz w:val="24"/>
          <w:szCs w:val="24"/>
        </w:rPr>
        <w:t xml:space="preserve">CE Readiness </w:t>
      </w:r>
      <w:r w:rsidRPr="00F57B5E">
        <w:rPr>
          <w:sz w:val="24"/>
          <w:szCs w:val="24"/>
        </w:rPr>
        <w:t>Gap Analysis</w:t>
      </w:r>
    </w:p>
    <w:p w14:paraId="0D9435D5" w14:textId="77777777" w:rsidR="00B360F2" w:rsidRDefault="0084664F" w:rsidP="00C575C8">
      <w:pPr>
        <w:pStyle w:val="ListParagraph"/>
        <w:numPr>
          <w:ilvl w:val="0"/>
          <w:numId w:val="60"/>
        </w:numPr>
        <w:spacing w:before="100" w:beforeAutospacing="1" w:after="100" w:afterAutospacing="1"/>
        <w:rPr>
          <w:sz w:val="24"/>
          <w:szCs w:val="24"/>
        </w:rPr>
      </w:pPr>
      <w:hyperlink r:id="rId347" w:history="1">
        <w:r w:rsidR="00B360F2" w:rsidRPr="00223683">
          <w:rPr>
            <w:rStyle w:val="Hyperlink"/>
            <w:sz w:val="24"/>
            <w:szCs w:val="24"/>
          </w:rPr>
          <w:t>CE Delivery Checklist</w:t>
        </w:r>
      </w:hyperlink>
    </w:p>
    <w:p w14:paraId="09E1D8BD" w14:textId="77777777" w:rsidR="00B360F2" w:rsidRPr="00F57B5E" w:rsidRDefault="00B360F2" w:rsidP="00C575C8">
      <w:pPr>
        <w:pStyle w:val="ListParagraph"/>
        <w:numPr>
          <w:ilvl w:val="0"/>
          <w:numId w:val="60"/>
        </w:numPr>
        <w:spacing w:before="100" w:beforeAutospacing="1" w:after="100" w:afterAutospacing="1"/>
        <w:rPr>
          <w:sz w:val="24"/>
          <w:szCs w:val="24"/>
        </w:rPr>
      </w:pPr>
      <w:r w:rsidRPr="00F57B5E">
        <w:rPr>
          <w:sz w:val="24"/>
          <w:szCs w:val="24"/>
        </w:rPr>
        <w:t>CE Overview/Orientation For V</w:t>
      </w:r>
      <w:r>
        <w:rPr>
          <w:sz w:val="24"/>
          <w:szCs w:val="24"/>
        </w:rPr>
        <w:t>R</w:t>
      </w:r>
      <w:r w:rsidRPr="00F57B5E">
        <w:rPr>
          <w:sz w:val="24"/>
          <w:szCs w:val="24"/>
        </w:rPr>
        <w:t xml:space="preserve"> Agencies </w:t>
      </w:r>
      <w:r>
        <w:rPr>
          <w:sz w:val="24"/>
          <w:szCs w:val="24"/>
        </w:rPr>
        <w:t>a</w:t>
      </w:r>
      <w:r w:rsidRPr="00F57B5E">
        <w:rPr>
          <w:sz w:val="24"/>
          <w:szCs w:val="24"/>
        </w:rPr>
        <w:t>nd Partners (Day-Long Session)</w:t>
      </w:r>
    </w:p>
    <w:p w14:paraId="38449284" w14:textId="77777777" w:rsidR="00B360F2" w:rsidRPr="00F57B5E" w:rsidRDefault="00B360F2" w:rsidP="00C575C8">
      <w:pPr>
        <w:pStyle w:val="ListParagraph"/>
        <w:numPr>
          <w:ilvl w:val="0"/>
          <w:numId w:val="60"/>
        </w:numPr>
        <w:spacing w:before="100" w:beforeAutospacing="1" w:after="100" w:afterAutospacing="1"/>
        <w:rPr>
          <w:sz w:val="24"/>
          <w:szCs w:val="24"/>
        </w:rPr>
      </w:pPr>
      <w:r w:rsidRPr="00F57B5E">
        <w:rPr>
          <w:sz w:val="24"/>
          <w:szCs w:val="24"/>
        </w:rPr>
        <w:t>Discovery/Pre-ETS Cross Walk (Revised Draft Under Review By R</w:t>
      </w:r>
      <w:r>
        <w:rPr>
          <w:sz w:val="24"/>
          <w:szCs w:val="24"/>
        </w:rPr>
        <w:t>SA</w:t>
      </w:r>
      <w:r w:rsidRPr="00F57B5E">
        <w:rPr>
          <w:sz w:val="24"/>
          <w:szCs w:val="24"/>
        </w:rPr>
        <w:t>)</w:t>
      </w:r>
    </w:p>
    <w:p w14:paraId="39B5B336" w14:textId="77777777" w:rsidR="00B360F2" w:rsidRPr="00F57B5E" w:rsidRDefault="00B360F2" w:rsidP="00C575C8">
      <w:pPr>
        <w:pStyle w:val="ListParagraph"/>
        <w:numPr>
          <w:ilvl w:val="0"/>
          <w:numId w:val="60"/>
        </w:numPr>
        <w:spacing w:before="100" w:beforeAutospacing="1" w:after="100" w:afterAutospacing="1"/>
        <w:rPr>
          <w:sz w:val="24"/>
          <w:szCs w:val="24"/>
        </w:rPr>
      </w:pPr>
      <w:r w:rsidRPr="00F57B5E">
        <w:rPr>
          <w:sz w:val="24"/>
          <w:szCs w:val="24"/>
        </w:rPr>
        <w:t>Templates</w:t>
      </w:r>
    </w:p>
    <w:p w14:paraId="0AA8EF9E" w14:textId="77777777" w:rsidR="00B360F2" w:rsidRPr="00F57B5E" w:rsidRDefault="00B360F2" w:rsidP="00C575C8">
      <w:pPr>
        <w:pStyle w:val="ListParagraph"/>
        <w:numPr>
          <w:ilvl w:val="1"/>
          <w:numId w:val="61"/>
        </w:numPr>
        <w:spacing w:before="100" w:beforeAutospacing="1" w:after="100" w:afterAutospacing="1"/>
        <w:rPr>
          <w:sz w:val="24"/>
          <w:szCs w:val="24"/>
        </w:rPr>
      </w:pPr>
      <w:r w:rsidRPr="00F57B5E">
        <w:rPr>
          <w:sz w:val="24"/>
          <w:szCs w:val="24"/>
        </w:rPr>
        <w:t>CE Milestone Fee Structure</w:t>
      </w:r>
    </w:p>
    <w:p w14:paraId="0DFD4171" w14:textId="77777777" w:rsidR="00B360F2" w:rsidRPr="00F57B5E" w:rsidRDefault="00B360F2" w:rsidP="00C575C8">
      <w:pPr>
        <w:pStyle w:val="ListParagraph"/>
        <w:numPr>
          <w:ilvl w:val="1"/>
          <w:numId w:val="61"/>
        </w:numPr>
        <w:spacing w:before="100" w:beforeAutospacing="1" w:after="100" w:afterAutospacing="1"/>
        <w:rPr>
          <w:sz w:val="24"/>
          <w:szCs w:val="24"/>
        </w:rPr>
      </w:pPr>
      <w:r w:rsidRPr="00F57B5E">
        <w:rPr>
          <w:sz w:val="24"/>
          <w:szCs w:val="24"/>
        </w:rPr>
        <w:t>CE Milestones Activity Log</w:t>
      </w:r>
    </w:p>
    <w:p w14:paraId="47C432A4" w14:textId="77777777" w:rsidR="00B360F2" w:rsidRPr="00F57B5E" w:rsidRDefault="00B360F2" w:rsidP="00C575C8">
      <w:pPr>
        <w:pStyle w:val="ListParagraph"/>
        <w:numPr>
          <w:ilvl w:val="1"/>
          <w:numId w:val="61"/>
        </w:numPr>
        <w:spacing w:before="100" w:beforeAutospacing="1" w:after="100" w:afterAutospacing="1"/>
        <w:rPr>
          <w:sz w:val="24"/>
          <w:szCs w:val="24"/>
        </w:rPr>
      </w:pPr>
      <w:r w:rsidRPr="00F57B5E">
        <w:rPr>
          <w:sz w:val="24"/>
          <w:szCs w:val="24"/>
        </w:rPr>
        <w:t xml:space="preserve">CE Policies </w:t>
      </w:r>
      <w:r>
        <w:rPr>
          <w:sz w:val="24"/>
          <w:szCs w:val="24"/>
        </w:rPr>
        <w:t>a</w:t>
      </w:r>
      <w:r w:rsidRPr="00F57B5E">
        <w:rPr>
          <w:sz w:val="24"/>
          <w:szCs w:val="24"/>
        </w:rPr>
        <w:t>nd Procedures</w:t>
      </w:r>
    </w:p>
    <w:p w14:paraId="4CD785F5" w14:textId="77777777" w:rsidR="00B360F2" w:rsidRPr="00F57B5E" w:rsidRDefault="00B360F2" w:rsidP="00C575C8">
      <w:pPr>
        <w:pStyle w:val="ListParagraph"/>
        <w:numPr>
          <w:ilvl w:val="1"/>
          <w:numId w:val="61"/>
        </w:numPr>
        <w:spacing w:before="100" w:beforeAutospacing="1" w:after="100" w:afterAutospacing="1"/>
        <w:rPr>
          <w:sz w:val="24"/>
          <w:szCs w:val="24"/>
        </w:rPr>
      </w:pPr>
      <w:r w:rsidRPr="00F57B5E">
        <w:rPr>
          <w:sz w:val="24"/>
          <w:szCs w:val="24"/>
        </w:rPr>
        <w:t xml:space="preserve">Request </w:t>
      </w:r>
      <w:r>
        <w:rPr>
          <w:sz w:val="24"/>
          <w:szCs w:val="24"/>
        </w:rPr>
        <w:t>for</w:t>
      </w:r>
      <w:r w:rsidRPr="00F57B5E">
        <w:rPr>
          <w:sz w:val="24"/>
          <w:szCs w:val="24"/>
        </w:rPr>
        <w:t xml:space="preserve"> Proposals </w:t>
      </w:r>
      <w:r>
        <w:rPr>
          <w:sz w:val="24"/>
          <w:szCs w:val="24"/>
        </w:rPr>
        <w:t>f</w:t>
      </w:r>
      <w:r w:rsidRPr="00F57B5E">
        <w:rPr>
          <w:sz w:val="24"/>
          <w:szCs w:val="24"/>
        </w:rPr>
        <w:t>or CE Training</w:t>
      </w:r>
    </w:p>
    <w:p w14:paraId="033AF3AE" w14:textId="77777777" w:rsidR="00B360F2" w:rsidRPr="00F57B5E" w:rsidRDefault="00B360F2" w:rsidP="00C575C8">
      <w:pPr>
        <w:pStyle w:val="ListParagraph"/>
        <w:numPr>
          <w:ilvl w:val="1"/>
          <w:numId w:val="61"/>
        </w:numPr>
        <w:spacing w:before="100" w:beforeAutospacing="1" w:after="100" w:afterAutospacing="1"/>
        <w:rPr>
          <w:sz w:val="24"/>
          <w:szCs w:val="24"/>
        </w:rPr>
      </w:pPr>
      <w:r w:rsidRPr="00F57B5E">
        <w:rPr>
          <w:sz w:val="24"/>
          <w:szCs w:val="24"/>
        </w:rPr>
        <w:t xml:space="preserve">Guidance </w:t>
      </w:r>
      <w:r>
        <w:rPr>
          <w:sz w:val="24"/>
          <w:szCs w:val="24"/>
        </w:rPr>
        <w:t>f</w:t>
      </w:r>
      <w:r w:rsidRPr="00F57B5E">
        <w:rPr>
          <w:sz w:val="24"/>
          <w:szCs w:val="24"/>
        </w:rPr>
        <w:t xml:space="preserve">or Explaining CE </w:t>
      </w:r>
      <w:r>
        <w:rPr>
          <w:sz w:val="24"/>
          <w:szCs w:val="24"/>
        </w:rPr>
        <w:t>t</w:t>
      </w:r>
      <w:r w:rsidRPr="00F57B5E">
        <w:rPr>
          <w:sz w:val="24"/>
          <w:szCs w:val="24"/>
        </w:rPr>
        <w:t>o Families</w:t>
      </w:r>
    </w:p>
    <w:p w14:paraId="07A30E5D" w14:textId="77777777" w:rsidR="00B360F2" w:rsidRDefault="00B360F2" w:rsidP="00C575C8">
      <w:pPr>
        <w:pStyle w:val="ListParagraph"/>
        <w:numPr>
          <w:ilvl w:val="1"/>
          <w:numId w:val="61"/>
        </w:numPr>
        <w:spacing w:before="100" w:beforeAutospacing="1" w:after="100" w:afterAutospacing="1"/>
        <w:rPr>
          <w:sz w:val="24"/>
          <w:szCs w:val="24"/>
        </w:rPr>
      </w:pPr>
      <w:r w:rsidRPr="00F57B5E">
        <w:rPr>
          <w:sz w:val="24"/>
          <w:szCs w:val="24"/>
        </w:rPr>
        <w:t>Local Site Selection Rating Sheet</w:t>
      </w:r>
    </w:p>
    <w:p w14:paraId="156AC973" w14:textId="77777777" w:rsidR="00B360F2" w:rsidRDefault="00B360F2" w:rsidP="00C575C8">
      <w:pPr>
        <w:pStyle w:val="ListParagraph"/>
        <w:numPr>
          <w:ilvl w:val="1"/>
          <w:numId w:val="61"/>
        </w:numPr>
        <w:spacing w:before="100" w:beforeAutospacing="1" w:after="100" w:afterAutospacing="1"/>
        <w:rPr>
          <w:sz w:val="24"/>
          <w:szCs w:val="24"/>
        </w:rPr>
      </w:pPr>
      <w:r>
        <w:rPr>
          <w:sz w:val="24"/>
          <w:szCs w:val="24"/>
        </w:rPr>
        <w:t>CE Rate-setting Guide, Methodology and Samples</w:t>
      </w:r>
    </w:p>
    <w:p w14:paraId="3CBF0C12" w14:textId="77777777" w:rsidR="00B360F2" w:rsidRPr="00F57B5E" w:rsidRDefault="00B360F2" w:rsidP="00C575C8">
      <w:pPr>
        <w:pStyle w:val="ListParagraph"/>
        <w:numPr>
          <w:ilvl w:val="1"/>
          <w:numId w:val="61"/>
        </w:numPr>
        <w:spacing w:before="100" w:beforeAutospacing="1" w:after="100" w:afterAutospacing="1"/>
        <w:rPr>
          <w:sz w:val="24"/>
          <w:szCs w:val="24"/>
        </w:rPr>
      </w:pPr>
      <w:r>
        <w:rPr>
          <w:sz w:val="24"/>
          <w:szCs w:val="24"/>
        </w:rPr>
        <w:t>CE Credentialing Guidance (draft)</w:t>
      </w:r>
    </w:p>
    <w:p w14:paraId="083EEE30" w14:textId="77777777" w:rsidR="00B360F2" w:rsidRPr="00F57B5E" w:rsidRDefault="00B360F2" w:rsidP="00C575C8">
      <w:pPr>
        <w:pStyle w:val="ListParagraph"/>
        <w:numPr>
          <w:ilvl w:val="0"/>
          <w:numId w:val="60"/>
        </w:numPr>
        <w:spacing w:before="100" w:beforeAutospacing="1" w:after="100" w:afterAutospacing="1"/>
        <w:rPr>
          <w:sz w:val="24"/>
          <w:szCs w:val="24"/>
        </w:rPr>
      </w:pPr>
      <w:r w:rsidRPr="00F57B5E">
        <w:rPr>
          <w:sz w:val="24"/>
          <w:szCs w:val="24"/>
        </w:rPr>
        <w:t xml:space="preserve">CE Training </w:t>
      </w:r>
      <w:r>
        <w:rPr>
          <w:sz w:val="24"/>
          <w:szCs w:val="24"/>
        </w:rPr>
        <w:t xml:space="preserve">Participant </w:t>
      </w:r>
      <w:r w:rsidRPr="00F57B5E">
        <w:rPr>
          <w:sz w:val="24"/>
          <w:szCs w:val="24"/>
        </w:rPr>
        <w:t>Surveys</w:t>
      </w:r>
    </w:p>
    <w:p w14:paraId="714468EC" w14:textId="77777777" w:rsidR="00B360F2" w:rsidRPr="00F57B5E" w:rsidRDefault="00B360F2" w:rsidP="00C575C8">
      <w:pPr>
        <w:pStyle w:val="ListParagraph"/>
        <w:numPr>
          <w:ilvl w:val="0"/>
          <w:numId w:val="60"/>
        </w:numPr>
        <w:spacing w:before="100" w:beforeAutospacing="1" w:after="100" w:afterAutospacing="1"/>
        <w:rPr>
          <w:sz w:val="24"/>
          <w:szCs w:val="24"/>
        </w:rPr>
      </w:pPr>
      <w:r w:rsidRPr="00F57B5E">
        <w:rPr>
          <w:sz w:val="24"/>
          <w:szCs w:val="24"/>
        </w:rPr>
        <w:t>CE Vendor Competency Review – Sample Protocol</w:t>
      </w:r>
    </w:p>
    <w:p w14:paraId="687A1C7E" w14:textId="77777777" w:rsidR="00B360F2" w:rsidRPr="00F57B5E" w:rsidRDefault="00B360F2" w:rsidP="00C575C8">
      <w:pPr>
        <w:pStyle w:val="ListParagraph"/>
        <w:numPr>
          <w:ilvl w:val="0"/>
          <w:numId w:val="60"/>
        </w:numPr>
        <w:spacing w:before="100" w:beforeAutospacing="1" w:after="100" w:afterAutospacing="1"/>
        <w:rPr>
          <w:sz w:val="24"/>
          <w:szCs w:val="24"/>
        </w:rPr>
      </w:pPr>
      <w:r w:rsidRPr="00F57B5E">
        <w:rPr>
          <w:sz w:val="24"/>
          <w:szCs w:val="24"/>
        </w:rPr>
        <w:t>CE Pilot Narratives</w:t>
      </w:r>
    </w:p>
    <w:p w14:paraId="2FA40A3B" w14:textId="77777777" w:rsidR="00B360F2" w:rsidRPr="00F57B5E" w:rsidRDefault="00B360F2" w:rsidP="00C575C8">
      <w:pPr>
        <w:pStyle w:val="ListParagraph"/>
        <w:numPr>
          <w:ilvl w:val="0"/>
          <w:numId w:val="60"/>
        </w:numPr>
        <w:spacing w:before="100" w:beforeAutospacing="1" w:after="100" w:afterAutospacing="1"/>
        <w:rPr>
          <w:sz w:val="24"/>
          <w:szCs w:val="24"/>
        </w:rPr>
      </w:pPr>
      <w:r w:rsidRPr="00F57B5E">
        <w:rPr>
          <w:sz w:val="24"/>
          <w:szCs w:val="24"/>
        </w:rPr>
        <w:t>CE Pilot Implementation Plan</w:t>
      </w:r>
    </w:p>
    <w:p w14:paraId="432947F5" w14:textId="77777777" w:rsidR="00B360F2" w:rsidRPr="00F57B5E" w:rsidRDefault="00B360F2" w:rsidP="00C575C8">
      <w:pPr>
        <w:pStyle w:val="ListParagraph"/>
        <w:numPr>
          <w:ilvl w:val="0"/>
          <w:numId w:val="60"/>
        </w:numPr>
        <w:spacing w:before="100" w:beforeAutospacing="1" w:after="100" w:afterAutospacing="1"/>
        <w:rPr>
          <w:sz w:val="24"/>
          <w:szCs w:val="24"/>
        </w:rPr>
      </w:pPr>
      <w:r w:rsidRPr="00F57B5E">
        <w:rPr>
          <w:sz w:val="24"/>
          <w:szCs w:val="24"/>
        </w:rPr>
        <w:t xml:space="preserve">CE </w:t>
      </w:r>
      <w:r>
        <w:rPr>
          <w:sz w:val="24"/>
          <w:szCs w:val="24"/>
        </w:rPr>
        <w:t xml:space="preserve">Pilot Data </w:t>
      </w:r>
      <w:r w:rsidRPr="00F57B5E">
        <w:rPr>
          <w:sz w:val="24"/>
          <w:szCs w:val="24"/>
        </w:rPr>
        <w:t>Dashboard</w:t>
      </w:r>
      <w:r>
        <w:rPr>
          <w:sz w:val="24"/>
          <w:szCs w:val="24"/>
        </w:rPr>
        <w:t>s</w:t>
      </w:r>
    </w:p>
    <w:p w14:paraId="21BA69A2" w14:textId="77777777" w:rsidR="00B360F2" w:rsidRPr="00F57B5E" w:rsidRDefault="00B360F2" w:rsidP="00C575C8">
      <w:pPr>
        <w:pStyle w:val="ListParagraph"/>
        <w:numPr>
          <w:ilvl w:val="0"/>
          <w:numId w:val="60"/>
        </w:numPr>
        <w:spacing w:before="100" w:beforeAutospacing="1" w:after="100" w:afterAutospacing="1"/>
        <w:rPr>
          <w:sz w:val="24"/>
          <w:szCs w:val="24"/>
        </w:rPr>
      </w:pPr>
      <w:r w:rsidRPr="00F57B5E">
        <w:rPr>
          <w:sz w:val="24"/>
          <w:szCs w:val="24"/>
        </w:rPr>
        <w:t>CE End Of Pilot Survey</w:t>
      </w:r>
    </w:p>
    <w:p w14:paraId="07732759" w14:textId="77777777" w:rsidR="00B360F2" w:rsidRDefault="00B360F2" w:rsidP="00C575C8">
      <w:pPr>
        <w:pStyle w:val="ListParagraph"/>
        <w:numPr>
          <w:ilvl w:val="0"/>
          <w:numId w:val="60"/>
        </w:numPr>
        <w:spacing w:before="100" w:beforeAutospacing="1" w:after="100" w:afterAutospacing="1"/>
        <w:rPr>
          <w:sz w:val="24"/>
          <w:szCs w:val="24"/>
        </w:rPr>
      </w:pPr>
      <w:r w:rsidRPr="00F57B5E">
        <w:rPr>
          <w:sz w:val="24"/>
          <w:szCs w:val="24"/>
        </w:rPr>
        <w:t xml:space="preserve">CE Sustainability Analysis </w:t>
      </w:r>
      <w:r>
        <w:rPr>
          <w:sz w:val="24"/>
          <w:szCs w:val="24"/>
        </w:rPr>
        <w:t>a</w:t>
      </w:r>
      <w:r w:rsidRPr="00F57B5E">
        <w:rPr>
          <w:sz w:val="24"/>
          <w:szCs w:val="24"/>
        </w:rPr>
        <w:t>nd Plan</w:t>
      </w:r>
    </w:p>
    <w:p w14:paraId="67B93D59" w14:textId="77777777" w:rsidR="00B360F2" w:rsidRDefault="0084664F" w:rsidP="00C575C8">
      <w:pPr>
        <w:pStyle w:val="ListParagraph"/>
        <w:numPr>
          <w:ilvl w:val="0"/>
          <w:numId w:val="60"/>
        </w:numPr>
        <w:spacing w:before="100" w:beforeAutospacing="1" w:after="100" w:afterAutospacing="1"/>
        <w:rPr>
          <w:sz w:val="24"/>
          <w:szCs w:val="24"/>
        </w:rPr>
      </w:pPr>
      <w:hyperlink r:id="rId348" w:history="1">
        <w:r w:rsidR="00B360F2" w:rsidRPr="00A51700">
          <w:rPr>
            <w:rStyle w:val="Hyperlink"/>
            <w:sz w:val="24"/>
            <w:szCs w:val="24"/>
          </w:rPr>
          <w:t>Recommendations for Customized Employment Practices</w:t>
        </w:r>
      </w:hyperlink>
    </w:p>
    <w:p w14:paraId="48736C21" w14:textId="77777777" w:rsidR="00B360F2" w:rsidRDefault="0084664F" w:rsidP="00C575C8">
      <w:pPr>
        <w:pStyle w:val="ListParagraph"/>
        <w:numPr>
          <w:ilvl w:val="0"/>
          <w:numId w:val="60"/>
        </w:numPr>
        <w:spacing w:before="100" w:beforeAutospacing="1" w:after="100" w:afterAutospacing="1"/>
        <w:rPr>
          <w:sz w:val="24"/>
          <w:szCs w:val="24"/>
        </w:rPr>
      </w:pPr>
      <w:hyperlink r:id="rId349" w:history="1">
        <w:r w:rsidR="00B360F2" w:rsidRPr="00A51700">
          <w:rPr>
            <w:rStyle w:val="Hyperlink"/>
            <w:sz w:val="24"/>
            <w:szCs w:val="24"/>
          </w:rPr>
          <w:t>Customized employment rates paid by VR programs across the nation</w:t>
        </w:r>
      </w:hyperlink>
    </w:p>
    <w:p w14:paraId="0F07FDF1" w14:textId="77777777" w:rsidR="00B360F2" w:rsidRPr="00F57B5E" w:rsidRDefault="0084664F" w:rsidP="00C575C8">
      <w:pPr>
        <w:pStyle w:val="ListParagraph"/>
        <w:numPr>
          <w:ilvl w:val="0"/>
          <w:numId w:val="60"/>
        </w:numPr>
        <w:spacing w:before="100" w:beforeAutospacing="1" w:after="100" w:afterAutospacing="1"/>
        <w:rPr>
          <w:sz w:val="24"/>
          <w:szCs w:val="24"/>
        </w:rPr>
      </w:pPr>
      <w:hyperlink r:id="rId350" w:history="1">
        <w:r w:rsidR="00B360F2" w:rsidRPr="00A51700">
          <w:rPr>
            <w:rStyle w:val="Hyperlink"/>
            <w:sz w:val="24"/>
            <w:szCs w:val="24"/>
          </w:rPr>
          <w:t>Customized Employment (CE) Webinar Orientation</w:t>
        </w:r>
      </w:hyperlink>
    </w:p>
    <w:p w14:paraId="40A5B2C2" w14:textId="77777777" w:rsidR="00B360F2" w:rsidRDefault="00B360F2" w:rsidP="00B360F2">
      <w:pPr>
        <w:ind w:firstLine="0"/>
        <w:rPr>
          <w:rFonts w:cstheme="minorHAnsi"/>
          <w:b/>
          <w:caps/>
          <w:sz w:val="36"/>
          <w:szCs w:val="36"/>
        </w:rPr>
      </w:pPr>
      <w:r>
        <w:rPr>
          <w:caps/>
          <w:sz w:val="36"/>
          <w:szCs w:val="36"/>
        </w:rPr>
        <w:br w:type="page"/>
      </w:r>
    </w:p>
    <w:p w14:paraId="2FC79CC3" w14:textId="2B02E270" w:rsidR="00B360F2" w:rsidRPr="00DC30A7" w:rsidRDefault="00DC30A7" w:rsidP="00DC30A7">
      <w:pPr>
        <w:pStyle w:val="Heading2"/>
      </w:pPr>
      <w:bookmarkStart w:id="136" w:name="_Toc41940257"/>
      <w:r w:rsidRPr="00DC30A7">
        <w:lastRenderedPageBreak/>
        <w:t>Customized Employment: Progress Narrative</w:t>
      </w:r>
      <w:bookmarkEnd w:id="136"/>
    </w:p>
    <w:p w14:paraId="17D5A7FA" w14:textId="77777777" w:rsidR="00B360F2" w:rsidRPr="00A23C46" w:rsidRDefault="00B360F2" w:rsidP="0067196C">
      <w:pPr>
        <w:pStyle w:val="Heading3"/>
      </w:pPr>
      <w:bookmarkStart w:id="137" w:name="_Toc41940258"/>
      <w:r w:rsidRPr="00A23C46">
        <w:t>National Lens</w:t>
      </w:r>
      <w:bookmarkEnd w:id="137"/>
    </w:p>
    <w:p w14:paraId="7A99F211" w14:textId="77777777" w:rsidR="00B360F2" w:rsidRPr="008D5E5C" w:rsidRDefault="00B360F2" w:rsidP="00B360F2">
      <w:pPr>
        <w:tabs>
          <w:tab w:val="left" w:pos="360"/>
        </w:tabs>
      </w:pPr>
      <w:r>
        <w:t>As noted in the previous chapter, c</w:t>
      </w:r>
      <w:r w:rsidRPr="008D5E5C">
        <w:t xml:space="preserve">ompetitive </w:t>
      </w:r>
      <w:r>
        <w:t>i</w:t>
      </w:r>
      <w:r w:rsidRPr="008D5E5C">
        <w:t xml:space="preserve">ntegrated </w:t>
      </w:r>
      <w:r>
        <w:t>e</w:t>
      </w:r>
      <w:r w:rsidRPr="008D5E5C">
        <w:t xml:space="preserve">mployment </w:t>
      </w:r>
      <w:r>
        <w:t xml:space="preserve">(CIE) </w:t>
      </w:r>
      <w:r w:rsidRPr="008D5E5C">
        <w:t>is the foundation of the Workforce Innovation and Opportunity Act (WIOA) and regulations</w:t>
      </w:r>
      <w:r>
        <w:t xml:space="preserve"> (Wehman et al., 2018)</w:t>
      </w:r>
      <w:r w:rsidRPr="008D5E5C">
        <w:t>. It is the common theme in all of the WINTAC topical areas, as well as the work of other technical assistance centers. Successful competitive integrated employment outcomes for people with disabilities correspond with effective VR engagement with a wide range of businesses and workforce development partners.</w:t>
      </w:r>
    </w:p>
    <w:p w14:paraId="7EE8649E" w14:textId="77777777" w:rsidR="00B360F2" w:rsidRDefault="00B360F2" w:rsidP="00B360F2">
      <w:pPr>
        <w:tabs>
          <w:tab w:val="left" w:pos="360"/>
        </w:tabs>
      </w:pPr>
      <w:r>
        <w:t xml:space="preserve">Customized Employment (CE) is one strategy promoted in </w:t>
      </w:r>
      <w:r w:rsidRPr="008D5E5C">
        <w:t xml:space="preserve">WIOA and final regulations for VR agencies to </w:t>
      </w:r>
      <w:r>
        <w:t>adopt as a means of increasing</w:t>
      </w:r>
      <w:r w:rsidRPr="008D5E5C">
        <w:t xml:space="preserve"> successful competitive integrated employment </w:t>
      </w:r>
      <w:r>
        <w:t>outcomes</w:t>
      </w:r>
      <w:r w:rsidRPr="008D5E5C">
        <w:t xml:space="preserve"> for individuals with the most significant disabilitie</w:t>
      </w:r>
      <w:r>
        <w:t>s. Contemporary research from national project evaluations demonstrate that every state can chart a path to successful outcomes despite different contexts or approaches (Tucker, Feng, Gruman, &amp; Crossen, 2017).</w:t>
      </w:r>
    </w:p>
    <w:p w14:paraId="3468F7B6" w14:textId="77777777" w:rsidR="00B360F2" w:rsidRDefault="00B360F2" w:rsidP="00B360F2">
      <w:pPr>
        <w:tabs>
          <w:tab w:val="left" w:pos="360"/>
        </w:tabs>
      </w:pPr>
      <w:r>
        <w:t>On a national scale, WINTAC has been in a unique position to identify the need for and take a leadership role in building consensus around the foundational principles of CIE practices, starting with Customized Employment. One product of this effort, the “</w:t>
      </w:r>
      <w:r w:rsidRPr="00D57A4B">
        <w:t>Essential Elements of Customized Employment for Universal Application</w:t>
      </w:r>
      <w:r>
        <w:t>” document, is now widely recognized and cited in setting standards for excellence, building capacity, measuring performance in VR practice and promoting sustainability. WINTAC continues to provide a platform for ongoing dialogue and leveraging of resources</w:t>
      </w:r>
      <w:r w:rsidRPr="00722F85">
        <w:t xml:space="preserve"> </w:t>
      </w:r>
      <w:r>
        <w:t xml:space="preserve">among a growing network of experts, certification entities and technical assistance centers to refine national standards and promote and support their practical application in Customized Employment service delivery. </w:t>
      </w:r>
    </w:p>
    <w:p w14:paraId="39F3D3C4" w14:textId="77777777" w:rsidR="00B360F2" w:rsidRDefault="00B360F2" w:rsidP="00B360F2">
      <w:pPr>
        <w:tabs>
          <w:tab w:val="left" w:pos="360"/>
        </w:tabs>
      </w:pPr>
      <w:r>
        <w:t>Also impacting CE at the national level, WINTAC’s TA approach has significantly altered the nature of the CE training model. Where training typically had been a “train and leave” transaction, often for one provider or agency, and often with little VR involvement, it is now integrated into a systems strategy with VR among (or leading) a collaborative of multiple stakeholders committing to a comprehensive and sustainable capacity-building plan. As a result, VR and partners are investing in infrastructure, and capacity to provide quality CE services is growing appreciably.</w:t>
      </w:r>
    </w:p>
    <w:p w14:paraId="5A0FC717" w14:textId="77777777" w:rsidR="00B360F2" w:rsidRPr="00220867" w:rsidRDefault="00B360F2" w:rsidP="0067196C">
      <w:pPr>
        <w:pStyle w:val="Heading3"/>
      </w:pPr>
      <w:bookmarkStart w:id="138" w:name="_Toc41940259"/>
      <w:r w:rsidRPr="00220867">
        <w:t>WINTAC Lens</w:t>
      </w:r>
      <w:bookmarkEnd w:id="138"/>
    </w:p>
    <w:p w14:paraId="2A55A2BC" w14:textId="77777777" w:rsidR="00B360F2" w:rsidRDefault="00B360F2" w:rsidP="00B360F2">
      <w:pPr>
        <w:tabs>
          <w:tab w:val="left" w:pos="360"/>
        </w:tabs>
      </w:pPr>
      <w:r>
        <w:t>In the first few years of this project, WINTAC entered into Intensive TA agreements to assist 31 SVRAs in improving their understanding of the rationale, concepts, implications and WIOA requirements associated with CIE, as well as best practices in supported and customized employment services. Over time, this assistance resulted in changing TA needs, and WINTAC adjusted accordingly. Customized Employment, in particular, played a role in other WINTAC domains, including Section 511 (as a viable alternative to sheltered work), Pre-ETS (Discovery in the schools as a Pre-ETS activity), Workforce Integration (partnering with education, developmental disabilities, workforce, Employment First) and Common Performance Measures (its potential to increase positive outcomes). These and other factors created high demand for technical assistance to SVRAs in adding Customized Employment to their service portfolios. For example, many SVRAs found CE to be a logical extension of their efforts to divert individuals from subminimum wage employment.</w:t>
      </w:r>
    </w:p>
    <w:p w14:paraId="3250D6EC" w14:textId="77777777" w:rsidR="00B360F2" w:rsidRPr="00527178" w:rsidRDefault="00B360F2" w:rsidP="00B360F2">
      <w:pPr>
        <w:tabs>
          <w:tab w:val="left" w:pos="360"/>
        </w:tabs>
      </w:pPr>
      <w:r>
        <w:lastRenderedPageBreak/>
        <w:t>WINTAC determined that one way to address this increased demand was to partner with other TACs – especially NTACT and Y-TAC, even to the point of integrating their activities, outputs and outcomes into WINTAC’s CE Logic Model (see above). Another way to address the increased demand was to invest more heavily in CE as a CIE TA strategy, carving it out of the CIE topic area and adopting a clearly defined pilot project structure. Highlights of WINTAC’s work with SVRAs implementing CE Pilot Projects are discussed below.</w:t>
      </w:r>
    </w:p>
    <w:p w14:paraId="6251E04B" w14:textId="77777777" w:rsidR="00B360F2" w:rsidRDefault="00B360F2" w:rsidP="00B360F2">
      <w:pPr>
        <w:tabs>
          <w:tab w:val="left" w:pos="360"/>
        </w:tabs>
        <w:rPr>
          <w:rFonts w:cstheme="minorHAnsi"/>
        </w:rPr>
      </w:pPr>
      <w:r w:rsidRPr="003C1AA3">
        <w:rPr>
          <w:rFonts w:cstheme="minorHAnsi"/>
          <w:b/>
          <w:i/>
        </w:rPr>
        <w:t>TA Progress</w:t>
      </w:r>
      <w:r>
        <w:rPr>
          <w:rFonts w:cstheme="minorHAnsi"/>
          <w:b/>
          <w:i/>
        </w:rPr>
        <w:t>: Activities and Outputs</w:t>
      </w:r>
      <w:r w:rsidRPr="003C1AA3">
        <w:rPr>
          <w:rFonts w:cstheme="minorHAnsi"/>
        </w:rPr>
        <w:t xml:space="preserve"> </w:t>
      </w:r>
      <w:r>
        <w:rPr>
          <w:rFonts w:cstheme="minorHAnsi"/>
        </w:rPr>
        <w:t>The Customized Employment team has worked with a growing number of SVRAs on CE strategies. Fifteen SVRAs have ITAAs for CE-related TA services. Thirteen of them are engaged in eleven official CE pilots in ten states, with two additional pilots under development. As noted in the logic model, the ITAAs plot out a range of activities intended to assist states in testing out the application of CE in their respective VR settings. Progress on ITAA activities has been steady, as noted in the above charts and detailed below.</w:t>
      </w:r>
    </w:p>
    <w:p w14:paraId="7A167ECD" w14:textId="77777777" w:rsidR="00B360F2" w:rsidRDefault="00B360F2" w:rsidP="00B360F2">
      <w:pPr>
        <w:tabs>
          <w:tab w:val="left" w:pos="360"/>
        </w:tabs>
        <w:rPr>
          <w:rFonts w:cstheme="minorHAnsi"/>
        </w:rPr>
      </w:pPr>
      <w:r>
        <w:t>Fully</w:t>
      </w:r>
      <w:r w:rsidRPr="003C1AA3">
        <w:t xml:space="preserve"> </w:t>
      </w:r>
      <w:r>
        <w:rPr>
          <w:szCs w:val="14"/>
        </w:rPr>
        <w:t xml:space="preserve">71% of CE-related activities are </w:t>
      </w:r>
      <w:r w:rsidRPr="003C1AA3">
        <w:rPr>
          <w:szCs w:val="14"/>
        </w:rPr>
        <w:t>already</w:t>
      </w:r>
      <w:r>
        <w:rPr>
          <w:szCs w:val="14"/>
        </w:rPr>
        <w:t xml:space="preserve"> nearing or have reached completion (completion rates of 75% or more). </w:t>
      </w:r>
      <w:r w:rsidRPr="00CC1C78">
        <w:rPr>
          <w:szCs w:val="14"/>
        </w:rPr>
        <w:t>Ten per cent are</w:t>
      </w:r>
      <w:r>
        <w:rPr>
          <w:szCs w:val="14"/>
        </w:rPr>
        <w:t xml:space="preserve"> half way to completion, with </w:t>
      </w:r>
      <w:r w:rsidRPr="00CC1C78">
        <w:rPr>
          <w:szCs w:val="14"/>
        </w:rPr>
        <w:t>another 20%</w:t>
      </w:r>
      <w:r>
        <w:rPr>
          <w:szCs w:val="14"/>
        </w:rPr>
        <w:t xml:space="preserve"> of </w:t>
      </w:r>
      <w:r w:rsidRPr="005E5B52">
        <w:t>activities</w:t>
      </w:r>
      <w:r>
        <w:rPr>
          <w:szCs w:val="14"/>
        </w:rPr>
        <w:t xml:space="preserve"> showing a quarter or less progress. </w:t>
      </w:r>
      <w:r>
        <w:rPr>
          <w:rFonts w:cstheme="minorHAnsi"/>
        </w:rPr>
        <w:t xml:space="preserve">The thermometer charts show a </w:t>
      </w:r>
      <w:r w:rsidRPr="00867954">
        <w:rPr>
          <w:rFonts w:cstheme="minorHAnsi"/>
        </w:rPr>
        <w:t xml:space="preserve">one-to-one </w:t>
      </w:r>
      <w:r w:rsidRPr="00867954">
        <w:rPr>
          <w:szCs w:val="14"/>
        </w:rPr>
        <w:t>correspondence</w:t>
      </w:r>
      <w:r w:rsidRPr="00867954">
        <w:rPr>
          <w:rFonts w:cstheme="minorHAnsi"/>
        </w:rPr>
        <w:t xml:space="preserve"> between the rate of completion for </w:t>
      </w:r>
      <w:r>
        <w:rPr>
          <w:rFonts w:cstheme="minorHAnsi"/>
        </w:rPr>
        <w:t>six</w:t>
      </w:r>
      <w:r w:rsidRPr="00867954">
        <w:rPr>
          <w:rFonts w:cstheme="minorHAnsi"/>
        </w:rPr>
        <w:t xml:space="preserve"> of the 1</w:t>
      </w:r>
      <w:r>
        <w:rPr>
          <w:rFonts w:cstheme="minorHAnsi"/>
        </w:rPr>
        <w:t>2</w:t>
      </w:r>
      <w:r w:rsidRPr="00867954">
        <w:rPr>
          <w:rFonts w:cstheme="minorHAnsi"/>
        </w:rPr>
        <w:t xml:space="preserve"> CE activities and their outputs as presented in the logic model.</w:t>
      </w:r>
      <w:r>
        <w:rPr>
          <w:rFonts w:cstheme="minorHAnsi"/>
        </w:rPr>
        <w:t xml:space="preserve"> In the other six, the rates at which outputs are generated differ slightly from the corresponding activities’ completion rates, likely due to the nature of the activity and varied results from one state to another.</w:t>
      </w:r>
    </w:p>
    <w:p w14:paraId="4C0B6B58" w14:textId="43F8DDCB" w:rsidR="00B360F2" w:rsidRPr="00315A1B" w:rsidRDefault="00B360F2" w:rsidP="00B360F2">
      <w:pPr>
        <w:tabs>
          <w:tab w:val="left" w:pos="360"/>
        </w:tabs>
        <w:rPr>
          <w:highlight w:val="lightGray"/>
        </w:rPr>
      </w:pPr>
      <w:r>
        <w:rPr>
          <w:rFonts w:cstheme="minorHAnsi"/>
        </w:rPr>
        <w:t>Sites engaging in six</w:t>
      </w:r>
      <w:r w:rsidRPr="00554398">
        <w:rPr>
          <w:rFonts w:cstheme="minorHAnsi"/>
        </w:rPr>
        <w:t xml:space="preserve"> </w:t>
      </w:r>
      <w:r>
        <w:rPr>
          <w:rFonts w:cstheme="minorHAnsi"/>
        </w:rPr>
        <w:t>of the CE</w:t>
      </w:r>
      <w:r w:rsidRPr="00554398">
        <w:rPr>
          <w:rFonts w:cstheme="minorHAnsi"/>
        </w:rPr>
        <w:t xml:space="preserve"> </w:t>
      </w:r>
      <w:r>
        <w:rPr>
          <w:rFonts w:cstheme="minorHAnsi"/>
        </w:rPr>
        <w:t xml:space="preserve">activities nearly or fully completed them (75-100% completion) and generated their associated outputs accordingly. These activities tended to involve research and feasibility studies which naturally </w:t>
      </w:r>
      <w:r w:rsidR="00281AEA">
        <w:rPr>
          <w:rFonts w:cstheme="minorHAnsi"/>
        </w:rPr>
        <w:t xml:space="preserve">preceed </w:t>
      </w:r>
      <w:r>
        <w:rPr>
          <w:rFonts w:cstheme="minorHAnsi"/>
        </w:rPr>
        <w:t>launching a pilot, as well as the performance-</w:t>
      </w:r>
      <w:r w:rsidRPr="0014049F">
        <w:rPr>
          <w:rFonts w:cstheme="minorHAnsi"/>
        </w:rPr>
        <w:t>based</w:t>
      </w:r>
      <w:r>
        <w:rPr>
          <w:rFonts w:cstheme="minorHAnsi"/>
        </w:rPr>
        <w:t xml:space="preserve"> CE training, a key component of pilots’ capacity-building objectives. Lower rates of completion can be seen for development of expansion and sustainability plans but progress is already evident in the six months since last reported, as would be expected given that this is the TA team’s primary focus in Year 5.</w:t>
      </w:r>
    </w:p>
    <w:p w14:paraId="6D21E5F5" w14:textId="77777777" w:rsidR="00B360F2" w:rsidRDefault="00B360F2" w:rsidP="00B360F2">
      <w:pPr>
        <w:tabs>
          <w:tab w:val="left" w:pos="360"/>
        </w:tabs>
        <w:rPr>
          <w:rFonts w:cstheme="minorHAnsi"/>
        </w:rPr>
      </w:pPr>
      <w:r>
        <w:rPr>
          <w:rFonts w:cstheme="minorHAnsi"/>
        </w:rPr>
        <w:t xml:space="preserve">All of this activity, over time, has resulted in refinement of WINTAC’s TA approach and CE Pilot framework, generating well-articulated pilot design and implementation steps and accompanying resources (see “Resources” section). The approach </w:t>
      </w:r>
      <w:r w:rsidRPr="005E5B52">
        <w:t>involves</w:t>
      </w:r>
      <w:r>
        <w:rPr>
          <w:rFonts w:cstheme="minorHAnsi"/>
        </w:rPr>
        <w:t xml:space="preserve"> a sequence of orientation, readiness assessment, planning and design steps, followed by infrastructure development, training and pilot implementation – with provisions for evaluation, expansion and sustainability. All recommended pilot actions are guided by a flexible “Roadmap” and various tools and templates. An example of an</w:t>
      </w:r>
      <w:r w:rsidRPr="00E36508">
        <w:rPr>
          <w:rFonts w:cstheme="minorHAnsi"/>
        </w:rPr>
        <w:t xml:space="preserve"> </w:t>
      </w:r>
      <w:r>
        <w:rPr>
          <w:rFonts w:cstheme="minorHAnsi"/>
        </w:rPr>
        <w:t xml:space="preserve">infrastructure tool, the </w:t>
      </w:r>
      <w:hyperlink r:id="rId351" w:history="1">
        <w:r w:rsidRPr="006254AC">
          <w:rPr>
            <w:rStyle w:val="Hyperlink"/>
            <w:rFonts w:cstheme="minorHAnsi"/>
          </w:rPr>
          <w:t>CE Delivery Checklist</w:t>
        </w:r>
      </w:hyperlink>
      <w:r>
        <w:rPr>
          <w:rFonts w:cstheme="minorHAnsi"/>
        </w:rPr>
        <w:t xml:space="preserve">, can be found on the WINTAC website. The Checklist evolved from early work by WINTAC and was refined and finalized in collaboration with Y-TAC and NTACT. </w:t>
      </w:r>
    </w:p>
    <w:p w14:paraId="487FE3C9" w14:textId="77777777" w:rsidR="00B360F2" w:rsidRDefault="00B360F2" w:rsidP="00B360F2">
      <w:pPr>
        <w:tabs>
          <w:tab w:val="left" w:pos="360"/>
        </w:tabs>
        <w:rPr>
          <w:rFonts w:cstheme="minorHAnsi"/>
        </w:rPr>
      </w:pPr>
      <w:r>
        <w:rPr>
          <w:rFonts w:cstheme="minorHAnsi"/>
        </w:rPr>
        <w:t xml:space="preserve">In collaboration with the other two TACs, WINTAC convened and now facilitates a CE Community of Practice (CoP) consisting of SVRAs actively involved in CE implementation. Most members represent the 13 SVRAs involved in WINTAC pilots, although additional SVRAs with comparable CE experience have been invited to join. As of March 31, fourteen CoP sessions had been held, with discussions focusing on experiences and strategies </w:t>
      </w:r>
      <w:r w:rsidRPr="005E5B52">
        <w:t>relating</w:t>
      </w:r>
      <w:r>
        <w:rPr>
          <w:rFonts w:cstheme="minorHAnsi"/>
        </w:rPr>
        <w:t xml:space="preserve"> to staff turnover, fee structures, sustainable training, program evaluation and engaging clients and families.</w:t>
      </w:r>
    </w:p>
    <w:p w14:paraId="6D52728E" w14:textId="77777777" w:rsidR="00B360F2" w:rsidRDefault="00B360F2" w:rsidP="00B360F2">
      <w:pPr>
        <w:tabs>
          <w:tab w:val="left" w:pos="360"/>
        </w:tabs>
        <w:rPr>
          <w:rFonts w:cstheme="minorHAnsi"/>
        </w:rPr>
      </w:pPr>
      <w:r>
        <w:rPr>
          <w:rFonts w:cstheme="minorHAnsi"/>
        </w:rPr>
        <w:lastRenderedPageBreak/>
        <w:t>Finally, WINTAC’s evaluation team launched and continues to refine the CE Pilot Dashboards included earlier in this chapter, for SVRAs to report and display pilot progress on six core data elements aligned with the CE Logic Model:</w:t>
      </w:r>
    </w:p>
    <w:p w14:paraId="0F0197F1" w14:textId="77777777" w:rsidR="00B360F2" w:rsidRPr="003067BF" w:rsidRDefault="00B360F2" w:rsidP="00B360F2">
      <w:pPr>
        <w:spacing w:after="0"/>
        <w:rPr>
          <w:rFonts w:cstheme="minorHAnsi"/>
          <w:b/>
          <w:bCs/>
        </w:rPr>
      </w:pPr>
      <w:r w:rsidRPr="003067BF">
        <w:rPr>
          <w:rFonts w:cstheme="minorHAnsi"/>
          <w:b/>
          <w:bCs/>
        </w:rPr>
        <w:t>Inputs</w:t>
      </w:r>
    </w:p>
    <w:p w14:paraId="4B2EB0D2" w14:textId="77777777" w:rsidR="00B360F2" w:rsidRDefault="00B360F2" w:rsidP="00C575C8">
      <w:pPr>
        <w:pStyle w:val="ListParagraph"/>
        <w:numPr>
          <w:ilvl w:val="0"/>
          <w:numId w:val="62"/>
        </w:numPr>
        <w:spacing w:after="100" w:afterAutospacing="1"/>
        <w:rPr>
          <w:rFonts w:cstheme="minorHAnsi"/>
        </w:rPr>
      </w:pPr>
      <w:r w:rsidRPr="00765368">
        <w:rPr>
          <w:rFonts w:cstheme="minorHAnsi"/>
        </w:rPr>
        <w:t>Number of sites within a pilot</w:t>
      </w:r>
    </w:p>
    <w:p w14:paraId="594251F0" w14:textId="77777777" w:rsidR="00B360F2" w:rsidRDefault="00B360F2" w:rsidP="00C575C8">
      <w:pPr>
        <w:pStyle w:val="ListParagraph"/>
        <w:numPr>
          <w:ilvl w:val="0"/>
          <w:numId w:val="62"/>
        </w:numPr>
        <w:spacing w:after="0"/>
        <w:rPr>
          <w:rFonts w:cstheme="minorHAnsi"/>
        </w:rPr>
      </w:pPr>
      <w:r w:rsidRPr="00765368">
        <w:rPr>
          <w:rFonts w:cstheme="minorHAnsi"/>
        </w:rPr>
        <w:t>Partners involved</w:t>
      </w:r>
    </w:p>
    <w:p w14:paraId="604E425F" w14:textId="77777777" w:rsidR="00B360F2" w:rsidRPr="0036122F" w:rsidRDefault="00B360F2" w:rsidP="00B360F2">
      <w:pPr>
        <w:spacing w:after="0"/>
        <w:ind w:left="720"/>
        <w:rPr>
          <w:rFonts w:cstheme="minorHAnsi"/>
        </w:rPr>
      </w:pPr>
      <w:r>
        <w:rPr>
          <w:rFonts w:cstheme="minorHAnsi"/>
        </w:rPr>
        <w:t>Outputs</w:t>
      </w:r>
    </w:p>
    <w:p w14:paraId="35551CB7" w14:textId="77777777" w:rsidR="00B360F2" w:rsidRDefault="00B360F2" w:rsidP="00C575C8">
      <w:pPr>
        <w:pStyle w:val="ListParagraph"/>
        <w:numPr>
          <w:ilvl w:val="0"/>
          <w:numId w:val="62"/>
        </w:numPr>
        <w:spacing w:after="100" w:afterAutospacing="1"/>
        <w:rPr>
          <w:rFonts w:cstheme="minorHAnsi"/>
        </w:rPr>
      </w:pPr>
      <w:r w:rsidRPr="00765368">
        <w:rPr>
          <w:rFonts w:cstheme="minorHAnsi"/>
        </w:rPr>
        <w:t>Number of training cohorts conducted</w:t>
      </w:r>
    </w:p>
    <w:p w14:paraId="1D3B6908" w14:textId="77777777" w:rsidR="00B360F2" w:rsidRDefault="00B360F2" w:rsidP="00C575C8">
      <w:pPr>
        <w:pStyle w:val="ListParagraph"/>
        <w:numPr>
          <w:ilvl w:val="0"/>
          <w:numId w:val="62"/>
        </w:numPr>
        <w:spacing w:after="0"/>
        <w:rPr>
          <w:rFonts w:cstheme="minorHAnsi"/>
        </w:rPr>
      </w:pPr>
      <w:r w:rsidRPr="00765368">
        <w:rPr>
          <w:rFonts w:cstheme="minorHAnsi"/>
        </w:rPr>
        <w:t>Number of training participants by affiliation and modality</w:t>
      </w:r>
    </w:p>
    <w:p w14:paraId="0B391580" w14:textId="77777777" w:rsidR="00B360F2" w:rsidRPr="003067BF" w:rsidRDefault="00B360F2" w:rsidP="00B360F2">
      <w:pPr>
        <w:spacing w:after="0"/>
        <w:rPr>
          <w:rFonts w:cstheme="minorHAnsi"/>
          <w:b/>
          <w:bCs/>
        </w:rPr>
      </w:pPr>
      <w:r w:rsidRPr="003067BF">
        <w:rPr>
          <w:rFonts w:cstheme="minorHAnsi"/>
          <w:b/>
          <w:bCs/>
        </w:rPr>
        <w:t>Outcomes</w:t>
      </w:r>
    </w:p>
    <w:p w14:paraId="27FA8ED1" w14:textId="77777777" w:rsidR="00B360F2" w:rsidRDefault="00B360F2" w:rsidP="00C575C8">
      <w:pPr>
        <w:pStyle w:val="ListParagraph"/>
        <w:numPr>
          <w:ilvl w:val="0"/>
          <w:numId w:val="62"/>
        </w:numPr>
        <w:spacing w:after="100" w:afterAutospacing="1"/>
        <w:rPr>
          <w:rFonts w:cstheme="minorHAnsi"/>
        </w:rPr>
      </w:pPr>
      <w:r w:rsidRPr="00765368">
        <w:rPr>
          <w:rFonts w:cstheme="minorHAnsi"/>
        </w:rPr>
        <w:t>Consumers served</w:t>
      </w:r>
    </w:p>
    <w:p w14:paraId="5245AE0F" w14:textId="77777777" w:rsidR="00B360F2" w:rsidRPr="0036122F" w:rsidRDefault="00B360F2" w:rsidP="00C575C8">
      <w:pPr>
        <w:pStyle w:val="ListParagraph"/>
        <w:numPr>
          <w:ilvl w:val="0"/>
          <w:numId w:val="62"/>
        </w:numPr>
        <w:spacing w:after="120"/>
        <w:rPr>
          <w:rFonts w:cstheme="minorHAnsi"/>
        </w:rPr>
      </w:pPr>
      <w:r w:rsidRPr="00765368">
        <w:rPr>
          <w:rFonts w:cstheme="minorHAnsi"/>
        </w:rPr>
        <w:t>Service delivery capacity</w:t>
      </w:r>
    </w:p>
    <w:p w14:paraId="56334FE3" w14:textId="77777777" w:rsidR="00B360F2" w:rsidRDefault="00B360F2" w:rsidP="00B360F2">
      <w:pPr>
        <w:tabs>
          <w:tab w:val="left" w:pos="360"/>
        </w:tabs>
        <w:ind w:firstLine="0"/>
        <w:rPr>
          <w:rFonts w:cstheme="minorHAnsi"/>
        </w:rPr>
      </w:pPr>
      <w:r>
        <w:rPr>
          <w:rFonts w:cstheme="minorHAnsi"/>
        </w:rPr>
        <w:t>SVRAs report the data via online form and can view it on their own respective dashboard as well an aggregate dashboard posted on the WINTAC website’s CE Portal.</w:t>
      </w:r>
    </w:p>
    <w:p w14:paraId="098C9A86" w14:textId="77777777" w:rsidR="00B360F2" w:rsidRDefault="00B360F2" w:rsidP="00B360F2">
      <w:pPr>
        <w:tabs>
          <w:tab w:val="left" w:pos="360"/>
        </w:tabs>
        <w:spacing w:after="120"/>
        <w:rPr>
          <w:rFonts w:cstheme="minorHAnsi"/>
        </w:rPr>
      </w:pPr>
      <w:r>
        <w:rPr>
          <w:rFonts w:cstheme="minorHAnsi"/>
        </w:rPr>
        <w:t>With</w:t>
      </w:r>
      <w:r w:rsidRPr="00765368">
        <w:rPr>
          <w:rFonts w:cstheme="minorHAnsi"/>
        </w:rPr>
        <w:t xml:space="preserve"> 13 SVRAs (eleven pilots) </w:t>
      </w:r>
      <w:r>
        <w:rPr>
          <w:rFonts w:cstheme="minorHAnsi"/>
        </w:rPr>
        <w:t>reporting,</w:t>
      </w:r>
      <w:r w:rsidRPr="00765368">
        <w:rPr>
          <w:rFonts w:cstheme="minorHAnsi"/>
        </w:rPr>
        <w:t xml:space="preserve"> </w:t>
      </w:r>
      <w:r>
        <w:rPr>
          <w:rFonts w:cstheme="minorHAnsi"/>
        </w:rPr>
        <w:t>the aggregate CE data dashboard elaborates on the above activities and outputs progress data as follows:</w:t>
      </w:r>
    </w:p>
    <w:p w14:paraId="7210BF19" w14:textId="77777777" w:rsidR="00B360F2" w:rsidRDefault="00B360F2" w:rsidP="00C575C8">
      <w:pPr>
        <w:pStyle w:val="ListParagraph"/>
        <w:numPr>
          <w:ilvl w:val="0"/>
          <w:numId w:val="60"/>
        </w:numPr>
        <w:spacing w:after="100" w:afterAutospacing="1"/>
        <w:rPr>
          <w:rFonts w:cstheme="minorHAnsi"/>
        </w:rPr>
      </w:pPr>
      <w:r w:rsidRPr="008B53E7">
        <w:rPr>
          <w:rFonts w:cstheme="minorHAnsi"/>
          <w:i/>
        </w:rPr>
        <w:t>Sites:</w:t>
      </w:r>
      <w:r>
        <w:rPr>
          <w:rFonts w:cstheme="minorHAnsi"/>
        </w:rPr>
        <w:t xml:space="preserve"> The eleven pilots account </w:t>
      </w:r>
      <w:r w:rsidRPr="00D07425">
        <w:rPr>
          <w:rFonts w:cstheme="minorHAnsi"/>
        </w:rPr>
        <w:t>for 23</w:t>
      </w:r>
      <w:r>
        <w:rPr>
          <w:rFonts w:cstheme="minorHAnsi"/>
        </w:rPr>
        <w:t xml:space="preserve"> sites (local, regional or statewide) in which CE is being piloted.</w:t>
      </w:r>
    </w:p>
    <w:p w14:paraId="078019AC" w14:textId="77777777" w:rsidR="00B360F2" w:rsidRPr="003E1BF8" w:rsidRDefault="00B360F2" w:rsidP="00C575C8">
      <w:pPr>
        <w:pStyle w:val="ListParagraph"/>
        <w:numPr>
          <w:ilvl w:val="0"/>
          <w:numId w:val="60"/>
        </w:numPr>
        <w:spacing w:after="100" w:afterAutospacing="1"/>
        <w:rPr>
          <w:rFonts w:cstheme="minorHAnsi"/>
        </w:rPr>
      </w:pPr>
      <w:r w:rsidRPr="008B53E7">
        <w:rPr>
          <w:rFonts w:cstheme="minorHAnsi"/>
          <w:i/>
        </w:rPr>
        <w:t>Partners:</w:t>
      </w:r>
      <w:r>
        <w:rPr>
          <w:rFonts w:cstheme="minorHAnsi"/>
        </w:rPr>
        <w:t xml:space="preserve"> In addition to the reporting VR agency, partnerships </w:t>
      </w:r>
      <w:r w:rsidRPr="003E1BF8">
        <w:rPr>
          <w:rFonts w:cstheme="minorHAnsi"/>
        </w:rPr>
        <w:t>included sister VR agencies in 7 SVRAs, CRPs in 11 SVRAs, DD agencies in 10 SVRAs, Education in 7 SVRAs and Employment First in 2 SVRAs. Single SVRAs reported partnerships with Mental Health and the Workforce agency.</w:t>
      </w:r>
    </w:p>
    <w:p w14:paraId="58658B10" w14:textId="77777777" w:rsidR="00B360F2" w:rsidRDefault="00B360F2" w:rsidP="00C575C8">
      <w:pPr>
        <w:pStyle w:val="ListParagraph"/>
        <w:numPr>
          <w:ilvl w:val="0"/>
          <w:numId w:val="60"/>
        </w:numPr>
        <w:spacing w:after="100" w:afterAutospacing="1"/>
        <w:rPr>
          <w:rFonts w:cstheme="minorHAnsi"/>
        </w:rPr>
      </w:pPr>
      <w:r>
        <w:rPr>
          <w:rFonts w:cstheme="minorHAnsi"/>
          <w:i/>
        </w:rPr>
        <w:t xml:space="preserve">Cohorts: </w:t>
      </w:r>
      <w:r>
        <w:rPr>
          <w:rFonts w:cstheme="minorHAnsi"/>
        </w:rPr>
        <w:t>2</w:t>
      </w:r>
      <w:r w:rsidRPr="003E1BF8">
        <w:rPr>
          <w:rFonts w:cstheme="minorHAnsi"/>
        </w:rPr>
        <w:t>8 c</w:t>
      </w:r>
      <w:r>
        <w:rPr>
          <w:rFonts w:cstheme="minorHAnsi"/>
        </w:rPr>
        <w:t xml:space="preserve">ohorts of CE training have been completed; an additional </w:t>
      </w:r>
      <w:r w:rsidRPr="003E1BF8">
        <w:rPr>
          <w:rFonts w:cstheme="minorHAnsi"/>
        </w:rPr>
        <w:t>9 a</w:t>
      </w:r>
      <w:r>
        <w:rPr>
          <w:rFonts w:cstheme="minorHAnsi"/>
        </w:rPr>
        <w:t>re in progress.</w:t>
      </w:r>
    </w:p>
    <w:p w14:paraId="4A94CBC3" w14:textId="77777777" w:rsidR="00B360F2" w:rsidRPr="008B53E7" w:rsidRDefault="00B360F2" w:rsidP="00C575C8">
      <w:pPr>
        <w:pStyle w:val="ListParagraph"/>
        <w:numPr>
          <w:ilvl w:val="0"/>
          <w:numId w:val="60"/>
        </w:numPr>
        <w:spacing w:after="100" w:afterAutospacing="1"/>
        <w:rPr>
          <w:rFonts w:cstheme="minorHAnsi"/>
        </w:rPr>
      </w:pPr>
      <w:r>
        <w:rPr>
          <w:rFonts w:cstheme="minorHAnsi"/>
          <w:i/>
        </w:rPr>
        <w:t>Training completers</w:t>
      </w:r>
    </w:p>
    <w:p w14:paraId="4959E7B5" w14:textId="77777777" w:rsidR="00B360F2" w:rsidRPr="003E1BF8" w:rsidRDefault="00B360F2" w:rsidP="00C575C8">
      <w:pPr>
        <w:pStyle w:val="ListParagraph"/>
        <w:numPr>
          <w:ilvl w:val="2"/>
          <w:numId w:val="63"/>
        </w:numPr>
        <w:spacing w:after="100" w:afterAutospacing="1"/>
        <w:ind w:left="720"/>
        <w:rPr>
          <w:rFonts w:cstheme="minorHAnsi"/>
        </w:rPr>
      </w:pPr>
      <w:r>
        <w:rPr>
          <w:rFonts w:cstheme="minorHAnsi"/>
        </w:rPr>
        <w:t>731</w:t>
      </w:r>
      <w:r w:rsidRPr="003E1BF8">
        <w:rPr>
          <w:rFonts w:cstheme="minorHAnsi"/>
        </w:rPr>
        <w:t xml:space="preserve"> individuals</w:t>
      </w:r>
      <w:r>
        <w:rPr>
          <w:rFonts w:cstheme="minorHAnsi"/>
        </w:rPr>
        <w:t xml:space="preserve"> have completed CE training. 216 (</w:t>
      </w:r>
      <w:r w:rsidRPr="003E1BF8">
        <w:rPr>
          <w:rFonts w:cstheme="minorHAnsi"/>
        </w:rPr>
        <w:t>30%</w:t>
      </w:r>
      <w:r>
        <w:rPr>
          <w:rFonts w:cstheme="minorHAnsi"/>
        </w:rPr>
        <w:t>)</w:t>
      </w:r>
      <w:r w:rsidRPr="003E1BF8">
        <w:rPr>
          <w:rFonts w:cstheme="minorHAnsi"/>
        </w:rPr>
        <w:t xml:space="preserve"> participated in classroom + mentoring; </w:t>
      </w:r>
      <w:r>
        <w:rPr>
          <w:rFonts w:cstheme="minorHAnsi"/>
        </w:rPr>
        <w:t>balance</w:t>
      </w:r>
      <w:r w:rsidRPr="003E1BF8">
        <w:rPr>
          <w:rFonts w:cstheme="minorHAnsi"/>
        </w:rPr>
        <w:t xml:space="preserve"> in classroom only.</w:t>
      </w:r>
    </w:p>
    <w:p w14:paraId="191AEBDD" w14:textId="77777777" w:rsidR="00B360F2" w:rsidRPr="00962B79" w:rsidRDefault="00B360F2" w:rsidP="00C575C8">
      <w:pPr>
        <w:pStyle w:val="ListParagraph"/>
        <w:numPr>
          <w:ilvl w:val="2"/>
          <w:numId w:val="63"/>
        </w:numPr>
        <w:spacing w:after="100" w:afterAutospacing="1"/>
        <w:ind w:left="720"/>
        <w:rPr>
          <w:rFonts w:cstheme="minorHAnsi"/>
        </w:rPr>
      </w:pPr>
      <w:r>
        <w:rPr>
          <w:rFonts w:cstheme="minorHAnsi"/>
        </w:rPr>
        <w:t>423 (</w:t>
      </w:r>
      <w:r w:rsidRPr="00962B79">
        <w:rPr>
          <w:rFonts w:cstheme="minorHAnsi"/>
        </w:rPr>
        <w:t>58%</w:t>
      </w:r>
      <w:r>
        <w:rPr>
          <w:rFonts w:cstheme="minorHAnsi"/>
        </w:rPr>
        <w:t>)</w:t>
      </w:r>
      <w:r w:rsidRPr="00962B79">
        <w:rPr>
          <w:rFonts w:cstheme="minorHAnsi"/>
        </w:rPr>
        <w:t xml:space="preserve"> of</w:t>
      </w:r>
      <w:r w:rsidRPr="008B53E7">
        <w:rPr>
          <w:rFonts w:cstheme="minorHAnsi"/>
        </w:rPr>
        <w:t xml:space="preserve"> all training completers were from VR agencies; </w:t>
      </w:r>
      <w:r>
        <w:rPr>
          <w:rFonts w:cstheme="minorHAnsi"/>
        </w:rPr>
        <w:t>220 (</w:t>
      </w:r>
      <w:r w:rsidRPr="00962B79">
        <w:rPr>
          <w:rFonts w:cstheme="minorHAnsi"/>
        </w:rPr>
        <w:t>30%</w:t>
      </w:r>
      <w:r>
        <w:rPr>
          <w:rFonts w:cstheme="minorHAnsi"/>
        </w:rPr>
        <w:t>)</w:t>
      </w:r>
      <w:r w:rsidRPr="008B53E7">
        <w:rPr>
          <w:rFonts w:cstheme="minorHAnsi"/>
        </w:rPr>
        <w:t xml:space="preserve"> were from CRPs</w:t>
      </w:r>
      <w:r w:rsidRPr="00962B79">
        <w:rPr>
          <w:rFonts w:cstheme="minorHAnsi"/>
        </w:rPr>
        <w:t xml:space="preserve">. </w:t>
      </w:r>
      <w:r>
        <w:rPr>
          <w:rFonts w:cstheme="minorHAnsi"/>
        </w:rPr>
        <w:t>57 (</w:t>
      </w:r>
      <w:r w:rsidRPr="00962B79">
        <w:rPr>
          <w:rFonts w:cstheme="minorHAnsi"/>
        </w:rPr>
        <w:t>8%</w:t>
      </w:r>
      <w:r>
        <w:rPr>
          <w:rFonts w:cstheme="minorHAnsi"/>
        </w:rPr>
        <w:t>)</w:t>
      </w:r>
      <w:r w:rsidRPr="00962B79">
        <w:rPr>
          <w:rFonts w:cstheme="minorHAnsi"/>
        </w:rPr>
        <w:t xml:space="preserve"> were from DD agencies and </w:t>
      </w:r>
      <w:r>
        <w:rPr>
          <w:rFonts w:cstheme="minorHAnsi"/>
        </w:rPr>
        <w:t>31 (</w:t>
      </w:r>
      <w:r w:rsidRPr="00962B79">
        <w:rPr>
          <w:rFonts w:cstheme="minorHAnsi"/>
        </w:rPr>
        <w:t>4%</w:t>
      </w:r>
      <w:r>
        <w:rPr>
          <w:rFonts w:cstheme="minorHAnsi"/>
        </w:rPr>
        <w:t>)</w:t>
      </w:r>
      <w:r w:rsidRPr="00962B79">
        <w:rPr>
          <w:rFonts w:cstheme="minorHAnsi"/>
        </w:rPr>
        <w:t xml:space="preserve"> from Education.</w:t>
      </w:r>
    </w:p>
    <w:p w14:paraId="38D74059" w14:textId="77777777" w:rsidR="00B360F2" w:rsidRPr="00DE1690" w:rsidRDefault="00B360F2" w:rsidP="00C575C8">
      <w:pPr>
        <w:pStyle w:val="ListParagraph"/>
        <w:numPr>
          <w:ilvl w:val="2"/>
          <w:numId w:val="63"/>
        </w:numPr>
        <w:spacing w:after="100" w:afterAutospacing="1"/>
        <w:ind w:left="720"/>
        <w:rPr>
          <w:rFonts w:cstheme="minorHAnsi"/>
        </w:rPr>
      </w:pPr>
      <w:r w:rsidRPr="00962B79">
        <w:rPr>
          <w:rFonts w:cstheme="minorHAnsi"/>
        </w:rPr>
        <w:t>50% of those who completed the classroom + mentoring components were from CRPs; 29% were from VR agencies.</w:t>
      </w:r>
    </w:p>
    <w:p w14:paraId="34CC5F9D" w14:textId="77777777" w:rsidR="00B360F2" w:rsidRPr="003067BF" w:rsidRDefault="00B360F2" w:rsidP="00B360F2">
      <w:pPr>
        <w:tabs>
          <w:tab w:val="left" w:pos="360"/>
        </w:tabs>
        <w:spacing w:after="120"/>
        <w:rPr>
          <w:rFonts w:cstheme="minorHAnsi"/>
        </w:rPr>
      </w:pPr>
      <w:r>
        <w:rPr>
          <w:rFonts w:cstheme="minorHAnsi"/>
          <w:b/>
          <w:i/>
        </w:rPr>
        <w:t xml:space="preserve">TA Progress: Outcomes </w:t>
      </w:r>
      <w:r>
        <w:rPr>
          <w:rFonts w:cstheme="minorHAnsi"/>
        </w:rPr>
        <w:tab/>
      </w:r>
      <w:r>
        <w:t>As presented in the Outcomes Progress</w:t>
      </w:r>
      <w:r w:rsidRPr="00FA3678">
        <w:t xml:space="preserve"> infographic</w:t>
      </w:r>
      <w:r>
        <w:t xml:space="preserve"> above, nearly one-third of anticipated CE outcomes are at least 75% achieved. Most of these are associated with completion of readiness or feasibility assessments and training activities, and a few with completion of expansion and sustainability plans. Nearly half of all outcomes are only 25% achieved, likely reflecting the amount of time to be expected between foundational activities (e.g., policies, procedures, fee structures and MOUs) and short term outcomes (e.g., clients whose plans contain CIE goals).</w:t>
      </w:r>
    </w:p>
    <w:p w14:paraId="1F7CD63D" w14:textId="77777777" w:rsidR="00B360F2" w:rsidRPr="00765368" w:rsidRDefault="00B360F2" w:rsidP="00B360F2">
      <w:pPr>
        <w:tabs>
          <w:tab w:val="left" w:pos="360"/>
        </w:tabs>
        <w:spacing w:after="80"/>
        <w:rPr>
          <w:rFonts w:cstheme="minorHAnsi"/>
        </w:rPr>
      </w:pPr>
      <w:r>
        <w:rPr>
          <w:rFonts w:cstheme="minorHAnsi"/>
        </w:rPr>
        <w:t>Outcome data presented in the aggregate CE data dashboard elaborates on these findings. With</w:t>
      </w:r>
      <w:r w:rsidRPr="00765368">
        <w:rPr>
          <w:rFonts w:cstheme="minorHAnsi"/>
        </w:rPr>
        <w:t xml:space="preserve"> 13 SVRAs (eleven pilots) </w:t>
      </w:r>
      <w:r>
        <w:rPr>
          <w:rFonts w:cstheme="minorHAnsi"/>
        </w:rPr>
        <w:t>reporting,</w:t>
      </w:r>
      <w:r w:rsidRPr="00765368">
        <w:rPr>
          <w:rFonts w:cstheme="minorHAnsi"/>
        </w:rPr>
        <w:t xml:space="preserve"> we can observe the following impacts</w:t>
      </w:r>
      <w:r>
        <w:rPr>
          <w:rFonts w:cstheme="minorHAnsi"/>
        </w:rPr>
        <w:t>:</w:t>
      </w:r>
    </w:p>
    <w:p w14:paraId="1333B196" w14:textId="77777777" w:rsidR="00B360F2" w:rsidRPr="008B53E7" w:rsidRDefault="00B360F2" w:rsidP="00C575C8">
      <w:pPr>
        <w:pStyle w:val="ListParagraph"/>
        <w:numPr>
          <w:ilvl w:val="0"/>
          <w:numId w:val="60"/>
        </w:numPr>
        <w:spacing w:after="100" w:afterAutospacing="1"/>
        <w:rPr>
          <w:rFonts w:cstheme="minorHAnsi"/>
        </w:rPr>
      </w:pPr>
      <w:r>
        <w:rPr>
          <w:rFonts w:cstheme="minorHAnsi"/>
          <w:i/>
        </w:rPr>
        <w:t xml:space="preserve">Consumers served: </w:t>
      </w:r>
      <w:r>
        <w:rPr>
          <w:rFonts w:cstheme="minorHAnsi"/>
        </w:rPr>
        <w:t>Across all 13 SVRAs 711 individuals with disabilities received some level of CE services. 480 (68</w:t>
      </w:r>
      <w:r w:rsidRPr="002D49DB">
        <w:rPr>
          <w:rFonts w:cstheme="minorHAnsi"/>
        </w:rPr>
        <w:t>%</w:t>
      </w:r>
      <w:r>
        <w:rPr>
          <w:rFonts w:cstheme="minorHAnsi"/>
        </w:rPr>
        <w:t>) were youth under age 25; the balance were</w:t>
      </w:r>
      <w:r w:rsidRPr="00896335">
        <w:rPr>
          <w:rFonts w:cstheme="minorHAnsi"/>
        </w:rPr>
        <w:t xml:space="preserve"> </w:t>
      </w:r>
      <w:r>
        <w:rPr>
          <w:rFonts w:cstheme="minorHAnsi"/>
        </w:rPr>
        <w:t xml:space="preserve">adults. As of this reporting, consumers were in the following stages of the CE process (unduplicated counts): </w:t>
      </w:r>
    </w:p>
    <w:p w14:paraId="41308FA6" w14:textId="77777777" w:rsidR="00B360F2" w:rsidRPr="00896335" w:rsidRDefault="00B360F2" w:rsidP="00C575C8">
      <w:pPr>
        <w:pStyle w:val="ListParagraph"/>
        <w:numPr>
          <w:ilvl w:val="2"/>
          <w:numId w:val="64"/>
        </w:numPr>
        <w:spacing w:after="100" w:afterAutospacing="1"/>
        <w:ind w:left="720"/>
        <w:rPr>
          <w:rFonts w:cstheme="minorHAnsi"/>
        </w:rPr>
      </w:pPr>
      <w:r w:rsidRPr="00896335">
        <w:rPr>
          <w:rFonts w:cstheme="minorHAnsi"/>
        </w:rPr>
        <w:t xml:space="preserve">314 had started CE </w:t>
      </w:r>
    </w:p>
    <w:p w14:paraId="7F03AA11" w14:textId="77777777" w:rsidR="00B360F2" w:rsidRPr="00896335" w:rsidRDefault="00B360F2" w:rsidP="00C575C8">
      <w:pPr>
        <w:pStyle w:val="ListParagraph"/>
        <w:numPr>
          <w:ilvl w:val="2"/>
          <w:numId w:val="64"/>
        </w:numPr>
        <w:spacing w:after="100" w:afterAutospacing="1"/>
        <w:ind w:left="720"/>
        <w:rPr>
          <w:rFonts w:cstheme="minorHAnsi"/>
        </w:rPr>
      </w:pPr>
      <w:r w:rsidRPr="00896335">
        <w:rPr>
          <w:rFonts w:cstheme="minorHAnsi"/>
        </w:rPr>
        <w:t>146 had completed Discovery</w:t>
      </w:r>
    </w:p>
    <w:p w14:paraId="4AA05B6A" w14:textId="77777777" w:rsidR="00B360F2" w:rsidRPr="00896335" w:rsidRDefault="00B360F2" w:rsidP="00C575C8">
      <w:pPr>
        <w:pStyle w:val="ListParagraph"/>
        <w:numPr>
          <w:ilvl w:val="2"/>
          <w:numId w:val="64"/>
        </w:numPr>
        <w:spacing w:after="100" w:afterAutospacing="1"/>
        <w:ind w:left="720"/>
        <w:rPr>
          <w:rFonts w:cstheme="minorHAnsi"/>
        </w:rPr>
      </w:pPr>
      <w:r w:rsidRPr="00896335">
        <w:rPr>
          <w:rFonts w:cstheme="minorHAnsi"/>
        </w:rPr>
        <w:lastRenderedPageBreak/>
        <w:t>95 had completed Job Development</w:t>
      </w:r>
    </w:p>
    <w:p w14:paraId="04DFDA7C" w14:textId="77777777" w:rsidR="00B360F2" w:rsidRPr="002D49DB" w:rsidRDefault="00B360F2" w:rsidP="00C575C8">
      <w:pPr>
        <w:pStyle w:val="ListParagraph"/>
        <w:numPr>
          <w:ilvl w:val="2"/>
          <w:numId w:val="64"/>
        </w:numPr>
        <w:spacing w:after="100" w:afterAutospacing="1"/>
        <w:ind w:left="720"/>
        <w:rPr>
          <w:rFonts w:cstheme="minorHAnsi"/>
        </w:rPr>
      </w:pPr>
      <w:r w:rsidRPr="00896335">
        <w:rPr>
          <w:rFonts w:cstheme="minorHAnsi"/>
        </w:rPr>
        <w:t>156 had</w:t>
      </w:r>
      <w:r>
        <w:rPr>
          <w:rFonts w:cstheme="minorHAnsi"/>
        </w:rPr>
        <w:t xml:space="preserve"> completed the entire process and achieved</w:t>
      </w:r>
      <w:r w:rsidRPr="002D49DB">
        <w:rPr>
          <w:rFonts w:cstheme="minorHAnsi"/>
        </w:rPr>
        <w:t xml:space="preserve"> </w:t>
      </w:r>
      <w:r>
        <w:rPr>
          <w:rFonts w:cstheme="minorHAnsi"/>
        </w:rPr>
        <w:t>c</w:t>
      </w:r>
      <w:r w:rsidRPr="002D49DB">
        <w:rPr>
          <w:rFonts w:cstheme="minorHAnsi"/>
        </w:rPr>
        <w:t xml:space="preserve">ompetitive </w:t>
      </w:r>
      <w:r>
        <w:rPr>
          <w:rFonts w:cstheme="minorHAnsi"/>
        </w:rPr>
        <w:t>e</w:t>
      </w:r>
      <w:r w:rsidRPr="002D49DB">
        <w:rPr>
          <w:rFonts w:cstheme="minorHAnsi"/>
        </w:rPr>
        <w:t>mployment</w:t>
      </w:r>
    </w:p>
    <w:p w14:paraId="1ACD8CE2" w14:textId="77777777" w:rsidR="00B360F2" w:rsidRDefault="00B360F2" w:rsidP="00C575C8">
      <w:pPr>
        <w:pStyle w:val="ListParagraph"/>
        <w:numPr>
          <w:ilvl w:val="0"/>
          <w:numId w:val="60"/>
        </w:numPr>
        <w:spacing w:after="100" w:afterAutospacing="1"/>
        <w:rPr>
          <w:rFonts w:cstheme="minorHAnsi"/>
        </w:rPr>
      </w:pPr>
      <w:r>
        <w:rPr>
          <w:rFonts w:cstheme="minorHAnsi"/>
          <w:i/>
        </w:rPr>
        <w:t xml:space="preserve">Service capacity: </w:t>
      </w:r>
      <w:r>
        <w:rPr>
          <w:rFonts w:cstheme="minorHAnsi"/>
        </w:rPr>
        <w:t>As a result of the 11 pilots, CE is available in the 13 SVRAs as follows:</w:t>
      </w:r>
    </w:p>
    <w:p w14:paraId="5AA278AA" w14:textId="77777777" w:rsidR="00B360F2" w:rsidRDefault="00B360F2" w:rsidP="00C575C8">
      <w:pPr>
        <w:pStyle w:val="ListParagraph"/>
        <w:numPr>
          <w:ilvl w:val="2"/>
          <w:numId w:val="65"/>
        </w:numPr>
        <w:spacing w:after="100" w:afterAutospacing="1"/>
        <w:ind w:left="720"/>
        <w:rPr>
          <w:rFonts w:cstheme="minorHAnsi"/>
        </w:rPr>
      </w:pPr>
      <w:r w:rsidRPr="00B702BD">
        <w:rPr>
          <w:rFonts w:cstheme="minorHAnsi"/>
        </w:rPr>
        <w:t>93</w:t>
      </w:r>
      <w:r>
        <w:rPr>
          <w:rFonts w:cstheme="minorHAnsi"/>
        </w:rPr>
        <w:t xml:space="preserve"> organizations with certified, active, direct CE service staff;</w:t>
      </w:r>
      <w:r w:rsidRPr="003D32DD">
        <w:rPr>
          <w:rFonts w:cstheme="minorHAnsi"/>
        </w:rPr>
        <w:t xml:space="preserve"> </w:t>
      </w:r>
      <w:r>
        <w:rPr>
          <w:rFonts w:cstheme="minorHAnsi"/>
        </w:rPr>
        <w:t>63 (</w:t>
      </w:r>
      <w:r w:rsidRPr="00DF5338">
        <w:rPr>
          <w:rFonts w:cstheme="minorHAnsi"/>
        </w:rPr>
        <w:t>6</w:t>
      </w:r>
      <w:r>
        <w:rPr>
          <w:rFonts w:cstheme="minorHAnsi"/>
        </w:rPr>
        <w:t>8</w:t>
      </w:r>
      <w:r w:rsidRPr="00DF5338">
        <w:rPr>
          <w:rFonts w:cstheme="minorHAnsi"/>
        </w:rPr>
        <w:t>%</w:t>
      </w:r>
      <w:r>
        <w:rPr>
          <w:rFonts w:cstheme="minorHAnsi"/>
        </w:rPr>
        <w:t xml:space="preserve">) of these organizations </w:t>
      </w:r>
      <w:r w:rsidRPr="003D32DD">
        <w:rPr>
          <w:rFonts w:cstheme="minorHAnsi"/>
        </w:rPr>
        <w:t xml:space="preserve"> </w:t>
      </w:r>
      <w:r>
        <w:rPr>
          <w:rFonts w:cstheme="minorHAnsi"/>
        </w:rPr>
        <w:t>are CRPs.</w:t>
      </w:r>
    </w:p>
    <w:p w14:paraId="25FC054D" w14:textId="77777777" w:rsidR="00B360F2" w:rsidRDefault="00B360F2" w:rsidP="00C575C8">
      <w:pPr>
        <w:pStyle w:val="ListParagraph"/>
        <w:numPr>
          <w:ilvl w:val="2"/>
          <w:numId w:val="65"/>
        </w:numPr>
        <w:spacing w:after="100" w:afterAutospacing="1"/>
        <w:ind w:left="720"/>
        <w:rPr>
          <w:rFonts w:cstheme="minorHAnsi"/>
        </w:rPr>
      </w:pPr>
      <w:r w:rsidRPr="003D32DD">
        <w:rPr>
          <w:rFonts w:cstheme="minorHAnsi"/>
        </w:rPr>
        <w:t>200 staff</w:t>
      </w:r>
      <w:r>
        <w:rPr>
          <w:rFonts w:cstheme="minorHAnsi"/>
        </w:rPr>
        <w:t xml:space="preserve"> providing direct CE services to clients. Note: Members of the training cohorts that are “in progress” are not counted here.</w:t>
      </w:r>
    </w:p>
    <w:p w14:paraId="506411E5" w14:textId="77777777" w:rsidR="00B360F2" w:rsidRPr="003D32DD" w:rsidRDefault="00B360F2" w:rsidP="00C575C8">
      <w:pPr>
        <w:pStyle w:val="ListParagraph"/>
        <w:numPr>
          <w:ilvl w:val="2"/>
          <w:numId w:val="65"/>
        </w:numPr>
        <w:spacing w:after="100" w:afterAutospacing="1"/>
        <w:ind w:left="720"/>
        <w:rPr>
          <w:rFonts w:cstheme="minorHAnsi"/>
        </w:rPr>
      </w:pPr>
      <w:r w:rsidRPr="003D32DD">
        <w:rPr>
          <w:rFonts w:cstheme="minorHAnsi"/>
        </w:rPr>
        <w:t>91 administrators supporting, supervising or monitoring CE service delivery;</w:t>
      </w:r>
      <w:r>
        <w:rPr>
          <w:rFonts w:cstheme="minorHAnsi"/>
        </w:rPr>
        <w:t xml:space="preserve"> 43 (47</w:t>
      </w:r>
      <w:r w:rsidRPr="00E009FF">
        <w:rPr>
          <w:rFonts w:cstheme="minorHAnsi"/>
        </w:rPr>
        <w:t>%</w:t>
      </w:r>
      <w:r>
        <w:rPr>
          <w:rFonts w:cstheme="minorHAnsi"/>
        </w:rPr>
        <w:t>)</w:t>
      </w:r>
      <w:r w:rsidRPr="003D32DD">
        <w:rPr>
          <w:rFonts w:cstheme="minorHAnsi"/>
        </w:rPr>
        <w:t xml:space="preserve"> </w:t>
      </w:r>
      <w:r>
        <w:rPr>
          <w:rFonts w:cstheme="minorHAnsi"/>
        </w:rPr>
        <w:t xml:space="preserve">are with </w:t>
      </w:r>
      <w:r w:rsidRPr="003D32DD">
        <w:rPr>
          <w:rFonts w:cstheme="minorHAnsi"/>
        </w:rPr>
        <w:t>CRPs</w:t>
      </w:r>
      <w:r>
        <w:rPr>
          <w:rFonts w:cstheme="minorHAnsi"/>
        </w:rPr>
        <w:t>,</w:t>
      </w:r>
      <w:r w:rsidRPr="003D32DD">
        <w:rPr>
          <w:rFonts w:cstheme="minorHAnsi"/>
        </w:rPr>
        <w:t xml:space="preserve"> </w:t>
      </w:r>
      <w:r w:rsidRPr="00E009FF">
        <w:rPr>
          <w:rFonts w:cstheme="minorHAnsi"/>
        </w:rPr>
        <w:t xml:space="preserve">41 </w:t>
      </w:r>
      <w:r>
        <w:rPr>
          <w:rFonts w:cstheme="minorHAnsi"/>
        </w:rPr>
        <w:t>(</w:t>
      </w:r>
      <w:r w:rsidRPr="00E009FF">
        <w:rPr>
          <w:rFonts w:cstheme="minorHAnsi"/>
        </w:rPr>
        <w:t>4</w:t>
      </w:r>
      <w:r>
        <w:rPr>
          <w:rFonts w:cstheme="minorHAnsi"/>
        </w:rPr>
        <w:t>5</w:t>
      </w:r>
      <w:r w:rsidRPr="00E009FF">
        <w:rPr>
          <w:rFonts w:cstheme="minorHAnsi"/>
        </w:rPr>
        <w:t>%</w:t>
      </w:r>
      <w:r>
        <w:rPr>
          <w:rFonts w:cstheme="minorHAnsi"/>
        </w:rPr>
        <w:t>)</w:t>
      </w:r>
      <w:r w:rsidRPr="003D32DD">
        <w:rPr>
          <w:rFonts w:cstheme="minorHAnsi"/>
        </w:rPr>
        <w:t xml:space="preserve"> VR, </w:t>
      </w:r>
      <w:r>
        <w:rPr>
          <w:rFonts w:cstheme="minorHAnsi"/>
        </w:rPr>
        <w:t xml:space="preserve">29 (32%) </w:t>
      </w:r>
      <w:r w:rsidRPr="003D32DD">
        <w:rPr>
          <w:rFonts w:cstheme="minorHAnsi"/>
        </w:rPr>
        <w:t xml:space="preserve">DD agencies, </w:t>
      </w:r>
      <w:r w:rsidRPr="00E009FF">
        <w:rPr>
          <w:rFonts w:cstheme="minorHAnsi"/>
        </w:rPr>
        <w:t xml:space="preserve">and </w:t>
      </w:r>
      <w:r>
        <w:rPr>
          <w:rFonts w:cstheme="minorHAnsi"/>
        </w:rPr>
        <w:t>3 (3</w:t>
      </w:r>
      <w:r w:rsidRPr="00E009FF">
        <w:rPr>
          <w:rFonts w:cstheme="minorHAnsi"/>
        </w:rPr>
        <w:t>%</w:t>
      </w:r>
      <w:r>
        <w:rPr>
          <w:rFonts w:cstheme="minorHAnsi"/>
        </w:rPr>
        <w:t>)</w:t>
      </w:r>
      <w:r w:rsidRPr="00E009FF">
        <w:rPr>
          <w:rFonts w:cstheme="minorHAnsi"/>
        </w:rPr>
        <w:t xml:space="preserve"> Education</w:t>
      </w:r>
      <w:r w:rsidRPr="003D32DD">
        <w:rPr>
          <w:rFonts w:cstheme="minorHAnsi"/>
        </w:rPr>
        <w:t>.</w:t>
      </w:r>
    </w:p>
    <w:p w14:paraId="2A0F5D80" w14:textId="77777777" w:rsidR="00B360F2" w:rsidRDefault="00B360F2" w:rsidP="00C575C8">
      <w:pPr>
        <w:pStyle w:val="ListParagraph"/>
        <w:numPr>
          <w:ilvl w:val="2"/>
          <w:numId w:val="65"/>
        </w:numPr>
        <w:spacing w:after="100" w:afterAutospacing="1"/>
        <w:ind w:left="720"/>
        <w:rPr>
          <w:rFonts w:cstheme="minorHAnsi"/>
        </w:rPr>
      </w:pPr>
      <w:r w:rsidRPr="003D32DD">
        <w:rPr>
          <w:rFonts w:cstheme="minorHAnsi"/>
        </w:rPr>
        <w:t>31 s</w:t>
      </w:r>
      <w:r>
        <w:rPr>
          <w:rFonts w:cstheme="minorHAnsi"/>
        </w:rPr>
        <w:t>taff participating as members of direct service teams only.</w:t>
      </w:r>
    </w:p>
    <w:p w14:paraId="2A82D324" w14:textId="77777777" w:rsidR="00B360F2" w:rsidRPr="0092649D" w:rsidRDefault="00B360F2" w:rsidP="00C575C8">
      <w:pPr>
        <w:pStyle w:val="ListParagraph"/>
        <w:numPr>
          <w:ilvl w:val="2"/>
          <w:numId w:val="63"/>
        </w:numPr>
        <w:spacing w:after="100" w:afterAutospacing="1"/>
        <w:ind w:left="720"/>
        <w:rPr>
          <w:rFonts w:cstheme="minorHAnsi"/>
        </w:rPr>
      </w:pPr>
      <w:r w:rsidRPr="0092649D">
        <w:rPr>
          <w:rFonts w:cstheme="minorHAnsi"/>
        </w:rPr>
        <w:t>168 VR staff authorizing, referring and/or paying for CE service delivery.</w:t>
      </w:r>
    </w:p>
    <w:p w14:paraId="77EAC52C" w14:textId="77777777" w:rsidR="00B360F2" w:rsidRDefault="00B360F2" w:rsidP="00B360F2">
      <w:pPr>
        <w:tabs>
          <w:tab w:val="left" w:pos="360"/>
        </w:tabs>
        <w:rPr>
          <w:rFonts w:cstheme="minorHAnsi"/>
        </w:rPr>
      </w:pPr>
      <w:r w:rsidRPr="003E4D8B">
        <w:rPr>
          <w:rFonts w:cstheme="minorHAnsi"/>
          <w:b/>
          <w:i/>
        </w:rPr>
        <w:t xml:space="preserve">COVID-19 </w:t>
      </w:r>
      <w:r>
        <w:rPr>
          <w:rFonts w:cstheme="minorHAnsi"/>
          <w:b/>
          <w:i/>
        </w:rPr>
        <w:t>Impact</w:t>
      </w:r>
      <w:r w:rsidRPr="003E4D8B">
        <w:rPr>
          <w:rFonts w:cstheme="minorHAnsi"/>
          <w:b/>
          <w:i/>
        </w:rPr>
        <w:t xml:space="preserve">s </w:t>
      </w:r>
      <w:r w:rsidRPr="003E4D8B">
        <w:rPr>
          <w:rFonts w:cstheme="minorHAnsi"/>
        </w:rPr>
        <w:t>Given the in-person nature of so much of the CE training and service delivery activities the pandemic has required significant pauses in much of pilot implementation. The TA Team is working with sites and trainers to create alternative methods for (1) continuing the training and mentoring via online and remote platforms and (2) interacting with consumers and employers to keep them engaged in the CE process. The Team is arranging webinars and special sessions of the CE Community of Practice to accommodate identified needs.</w:t>
      </w:r>
    </w:p>
    <w:p w14:paraId="049B1290" w14:textId="77777777" w:rsidR="00B360F2" w:rsidRPr="003E4D8B" w:rsidRDefault="00B360F2" w:rsidP="00B360F2">
      <w:pPr>
        <w:tabs>
          <w:tab w:val="left" w:pos="360"/>
        </w:tabs>
        <w:rPr>
          <w:rFonts w:cstheme="minorHAnsi"/>
          <w:b/>
          <w:i/>
        </w:rPr>
      </w:pPr>
      <w:r>
        <w:rPr>
          <w:rFonts w:cstheme="minorHAnsi"/>
          <w:b/>
          <w:i/>
        </w:rPr>
        <w:t xml:space="preserve">Sustainability </w:t>
      </w:r>
      <w:r w:rsidRPr="0087350A">
        <w:rPr>
          <w:rFonts w:cstheme="minorHAnsi"/>
        </w:rPr>
        <w:t xml:space="preserve">WINTAC </w:t>
      </w:r>
      <w:r>
        <w:rPr>
          <w:rFonts w:cstheme="minorHAnsi"/>
        </w:rPr>
        <w:t xml:space="preserve">has emphasized sustainability since very early in the project, promoting national quality standards and creating practical tools and resources to support CE adoption and ongoing implementation. The TA Team currently is collaborating with national experts and state partners to develop and test a framework for sustainable capacity-building that will support comprehensive systems for training, mentoring, credentialing and quality assurance. In addition WINTAC is working with </w:t>
      </w:r>
      <w:r w:rsidRPr="0087350A">
        <w:rPr>
          <w:rFonts w:cstheme="minorHAnsi"/>
        </w:rPr>
        <w:t>each SVRA to develop</w:t>
      </w:r>
      <w:r>
        <w:rPr>
          <w:rFonts w:cstheme="minorHAnsi"/>
        </w:rPr>
        <w:t xml:space="preserve"> an</w:t>
      </w:r>
      <w:r w:rsidRPr="0087350A">
        <w:rPr>
          <w:rFonts w:cstheme="minorHAnsi"/>
        </w:rPr>
        <w:t xml:space="preserve"> </w:t>
      </w:r>
      <w:r>
        <w:rPr>
          <w:rFonts w:cstheme="minorHAnsi"/>
        </w:rPr>
        <w:t xml:space="preserve">individual </w:t>
      </w:r>
      <w:r w:rsidRPr="0087350A">
        <w:rPr>
          <w:rFonts w:cstheme="minorHAnsi"/>
        </w:rPr>
        <w:t>sustainability plan</w:t>
      </w:r>
      <w:r>
        <w:rPr>
          <w:rFonts w:cstheme="minorHAnsi"/>
        </w:rPr>
        <w:t xml:space="preserve"> for them</w:t>
      </w:r>
      <w:r w:rsidRPr="0087350A">
        <w:rPr>
          <w:rFonts w:cstheme="minorHAnsi"/>
        </w:rPr>
        <w:t xml:space="preserve"> </w:t>
      </w:r>
      <w:r>
        <w:rPr>
          <w:rFonts w:cstheme="minorHAnsi"/>
        </w:rPr>
        <w:t>to scale</w:t>
      </w:r>
      <w:r w:rsidRPr="0087350A">
        <w:rPr>
          <w:rFonts w:cstheme="minorHAnsi"/>
        </w:rPr>
        <w:t xml:space="preserve"> up from pilot to full implementation. Plans will compare pilots’ current status with targets and long term objectives and identify action steps in areas of CE infrastructure, partnerships, providers, evaluation and training.</w:t>
      </w:r>
    </w:p>
    <w:p w14:paraId="4C23CF3E" w14:textId="77777777" w:rsidR="00B360F2" w:rsidRDefault="00B360F2" w:rsidP="00B360F2">
      <w:pPr>
        <w:tabs>
          <w:tab w:val="left" w:pos="360"/>
        </w:tabs>
        <w:rPr>
          <w:rFonts w:cstheme="minorHAnsi"/>
        </w:rPr>
      </w:pPr>
      <w:r w:rsidRPr="00C74A4E">
        <w:rPr>
          <w:rFonts w:cstheme="minorHAnsi"/>
          <w:b/>
          <w:i/>
        </w:rPr>
        <w:t>Challenges Overcome</w:t>
      </w:r>
      <w:r w:rsidRPr="00C74A4E">
        <w:rPr>
          <w:rFonts w:cstheme="minorHAnsi"/>
        </w:rPr>
        <w:t xml:space="preserve"> </w:t>
      </w:r>
      <w:r>
        <w:rPr>
          <w:rFonts w:cstheme="minorHAnsi"/>
        </w:rPr>
        <w:t>WINTAC’s pilot strategy is demonstrably helping SVRAs address the wide range of issues known to be associated with adoption of a new practice. Some of the issues are as big as culture change (attitudes about employability, organizational barriers, lack of buy-in) and systems change (siloed service delivery and fragmented resources). Others are as focused as finding qualified trainers, adjusting fee schedules</w:t>
      </w:r>
      <w:r w:rsidRPr="00760706">
        <w:rPr>
          <w:rFonts w:cstheme="minorHAnsi"/>
        </w:rPr>
        <w:t xml:space="preserve"> </w:t>
      </w:r>
      <w:r>
        <w:rPr>
          <w:rFonts w:cstheme="minorHAnsi"/>
        </w:rPr>
        <w:t xml:space="preserve">or tracking outcomes. </w:t>
      </w:r>
      <w:r w:rsidRPr="003267FB">
        <w:rPr>
          <w:rFonts w:cstheme="minorHAnsi"/>
        </w:rPr>
        <w:t>A frequently</w:t>
      </w:r>
      <w:r>
        <w:rPr>
          <w:rFonts w:cstheme="minorHAnsi"/>
        </w:rPr>
        <w:t xml:space="preserve"> cited challenge to successful pilot implementation is the persistent issue of staff turnover in the VR field, which results in a diminished return on the sizable investment in CE training. Additional challenges are found in some states’ struggles with the level of cross-systems collaboration required to integrate an innovative practice into the workforce system. Finally, of particular concern at this time is the challenge of sustaining the gains achieved by SVRAs to extend CE implementation beyond the life of the pilot.</w:t>
      </w:r>
    </w:p>
    <w:p w14:paraId="14D24874" w14:textId="77777777" w:rsidR="00B360F2" w:rsidRDefault="00B360F2" w:rsidP="00B360F2">
      <w:pPr>
        <w:tabs>
          <w:tab w:val="left" w:pos="360"/>
        </w:tabs>
        <w:rPr>
          <w:rFonts w:cstheme="minorHAnsi"/>
        </w:rPr>
      </w:pPr>
      <w:r>
        <w:rPr>
          <w:rFonts w:cstheme="minorHAnsi"/>
        </w:rPr>
        <w:t>WINTAC has addressed these challenges by helping states understand and create the conditions known to be associated with successful innovation. This includes facilitating partnerships and resource-sharing arrangements, promoting investment in infrastructure and convening national experts to consult on capacity development and management protocols. The TA team also has provided guidance in planning for sustainability.</w:t>
      </w:r>
    </w:p>
    <w:p w14:paraId="62325631" w14:textId="77777777" w:rsidR="00B360F2" w:rsidRDefault="00B360F2" w:rsidP="00C575C8">
      <w:pPr>
        <w:pStyle w:val="ListParagraph"/>
        <w:numPr>
          <w:ilvl w:val="0"/>
          <w:numId w:val="60"/>
        </w:numPr>
        <w:spacing w:after="100" w:afterAutospacing="1"/>
        <w:rPr>
          <w:rFonts w:cstheme="minorHAnsi"/>
        </w:rPr>
      </w:pPr>
      <w:r w:rsidRPr="0087350A">
        <w:rPr>
          <w:rFonts w:cstheme="minorHAnsi"/>
        </w:rPr>
        <w:lastRenderedPageBreak/>
        <w:t xml:space="preserve">In its work with newer pilots the CE Team has witnessed first-hand how a state’s pre-existing collaborative nature exponentially facilitates the pilot process. States with established relationships and long-standing histories of open communication and teamwork offer fertile ground for innovation and by extension undertaking a pilot. They are ready to hit the ground running and they tend to </w:t>
      </w:r>
      <w:r>
        <w:rPr>
          <w:rFonts w:cstheme="minorHAnsi"/>
        </w:rPr>
        <w:t>se</w:t>
      </w:r>
      <w:r w:rsidRPr="0087350A">
        <w:rPr>
          <w:rFonts w:cstheme="minorHAnsi"/>
        </w:rPr>
        <w:t xml:space="preserve">e success </w:t>
      </w:r>
      <w:r>
        <w:rPr>
          <w:rFonts w:cstheme="minorHAnsi"/>
        </w:rPr>
        <w:t>more quickly</w:t>
      </w:r>
      <w:r w:rsidRPr="0087350A">
        <w:rPr>
          <w:rFonts w:cstheme="minorHAnsi"/>
        </w:rPr>
        <w:t xml:space="preserve">. Recognizing that not all states have these </w:t>
      </w:r>
      <w:r>
        <w:rPr>
          <w:rFonts w:cstheme="minorHAnsi"/>
        </w:rPr>
        <w:t xml:space="preserve">considerable </w:t>
      </w:r>
      <w:r w:rsidRPr="0087350A">
        <w:rPr>
          <w:rFonts w:cstheme="minorHAnsi"/>
        </w:rPr>
        <w:t xml:space="preserve">assets, the CE Team has </w:t>
      </w:r>
      <w:r>
        <w:rPr>
          <w:rFonts w:cstheme="minorHAnsi"/>
        </w:rPr>
        <w:t xml:space="preserve">distilled the </w:t>
      </w:r>
      <w:r w:rsidRPr="0087350A">
        <w:rPr>
          <w:rFonts w:cstheme="minorHAnsi"/>
        </w:rPr>
        <w:t xml:space="preserve">culture of collaboration </w:t>
      </w:r>
      <w:r>
        <w:rPr>
          <w:rFonts w:cstheme="minorHAnsi"/>
        </w:rPr>
        <w:t>down to its most</w:t>
      </w:r>
      <w:r w:rsidRPr="0087350A">
        <w:rPr>
          <w:rFonts w:cstheme="minorHAnsi"/>
        </w:rPr>
        <w:t xml:space="preserve"> tangible and meaningful</w:t>
      </w:r>
      <w:r>
        <w:rPr>
          <w:rFonts w:cstheme="minorHAnsi"/>
        </w:rPr>
        <w:t xml:space="preserve"> tactics making it manageable for those who may not be natively collaborative to </w:t>
      </w:r>
      <w:r w:rsidRPr="0087350A">
        <w:rPr>
          <w:rFonts w:cstheme="minorHAnsi"/>
        </w:rPr>
        <w:t xml:space="preserve">come together specifically on “x” to accomplish “y” </w:t>
      </w:r>
      <w:r>
        <w:rPr>
          <w:rFonts w:cstheme="minorHAnsi"/>
        </w:rPr>
        <w:t>motivated by a</w:t>
      </w:r>
      <w:r w:rsidRPr="0087350A">
        <w:rPr>
          <w:rFonts w:cstheme="minorHAnsi"/>
        </w:rPr>
        <w:t xml:space="preserve"> common purpose</w:t>
      </w:r>
      <w:r>
        <w:rPr>
          <w:rFonts w:cstheme="minorHAnsi"/>
        </w:rPr>
        <w:t>, such as serving</w:t>
      </w:r>
      <w:r w:rsidRPr="0087350A">
        <w:rPr>
          <w:rFonts w:cstheme="minorHAnsi"/>
        </w:rPr>
        <w:t xml:space="preserve"> a shared consumer population or even a given individual.</w:t>
      </w:r>
    </w:p>
    <w:p w14:paraId="40217DA7" w14:textId="77777777" w:rsidR="00B360F2" w:rsidRDefault="00B360F2" w:rsidP="00C575C8">
      <w:pPr>
        <w:pStyle w:val="ListParagraph"/>
        <w:numPr>
          <w:ilvl w:val="0"/>
          <w:numId w:val="60"/>
        </w:numPr>
        <w:spacing w:after="100" w:afterAutospacing="1"/>
        <w:rPr>
          <w:rFonts w:cstheme="minorHAnsi"/>
        </w:rPr>
      </w:pPr>
      <w:r>
        <w:rPr>
          <w:rFonts w:cstheme="minorHAnsi"/>
        </w:rPr>
        <w:t>The CE Team is currently m</w:t>
      </w:r>
      <w:r w:rsidRPr="0087350A">
        <w:rPr>
          <w:rFonts w:cstheme="minorHAnsi"/>
        </w:rPr>
        <w:t>apping out a</w:t>
      </w:r>
      <w:r>
        <w:rPr>
          <w:rFonts w:cstheme="minorHAnsi"/>
        </w:rPr>
        <w:t xml:space="preserve"> quality</w:t>
      </w:r>
      <w:r w:rsidRPr="0087350A">
        <w:rPr>
          <w:rFonts w:cstheme="minorHAnsi"/>
        </w:rPr>
        <w:t xml:space="preserve"> framework consistent with the Essential Elements of CE to guide states in </w:t>
      </w:r>
      <w:r>
        <w:rPr>
          <w:rFonts w:cstheme="minorHAnsi"/>
        </w:rPr>
        <w:t>structuring service delivery standards</w:t>
      </w:r>
      <w:r w:rsidRPr="0087350A">
        <w:rPr>
          <w:rFonts w:cstheme="minorHAnsi"/>
        </w:rPr>
        <w:t>. In concert with national trainers, WINTAC is helping sites develop infrastructure (e.g., CE training curricula</w:t>
      </w:r>
      <w:r>
        <w:rPr>
          <w:rFonts w:cstheme="minorHAnsi"/>
        </w:rPr>
        <w:t>,</w:t>
      </w:r>
      <w:r w:rsidRPr="0087350A">
        <w:rPr>
          <w:rFonts w:cstheme="minorHAnsi"/>
        </w:rPr>
        <w:t xml:space="preserve"> certification protocols</w:t>
      </w:r>
      <w:r>
        <w:rPr>
          <w:rFonts w:cstheme="minorHAnsi"/>
        </w:rPr>
        <w:t xml:space="preserve"> and competency review</w:t>
      </w:r>
      <w:r w:rsidRPr="0087350A">
        <w:rPr>
          <w:rFonts w:cstheme="minorHAnsi"/>
        </w:rPr>
        <w:t>), promote excellence in ongoing practitioner performance</w:t>
      </w:r>
      <w:r>
        <w:rPr>
          <w:rFonts w:cstheme="minorHAnsi"/>
        </w:rPr>
        <w:t xml:space="preserve"> (e.g., credentialing and fidelity)</w:t>
      </w:r>
      <w:r w:rsidRPr="0087350A">
        <w:rPr>
          <w:rFonts w:cstheme="minorHAnsi"/>
        </w:rPr>
        <w:t xml:space="preserve"> and contribute to the body of data and knowledge needed to establish CE as an evidence-based practice.</w:t>
      </w:r>
    </w:p>
    <w:p w14:paraId="5FDE4010" w14:textId="77777777" w:rsidR="00B360F2" w:rsidRPr="003E4D8B" w:rsidRDefault="00B360F2" w:rsidP="00C575C8">
      <w:pPr>
        <w:pStyle w:val="ListParagraph"/>
        <w:numPr>
          <w:ilvl w:val="0"/>
          <w:numId w:val="60"/>
        </w:numPr>
        <w:spacing w:after="120"/>
        <w:rPr>
          <w:rFonts w:cstheme="minorHAnsi"/>
        </w:rPr>
      </w:pPr>
      <w:r>
        <w:rPr>
          <w:rFonts w:cstheme="minorHAnsi"/>
        </w:rPr>
        <w:t xml:space="preserve">As noted above, </w:t>
      </w:r>
      <w:r w:rsidRPr="0087350A">
        <w:rPr>
          <w:rFonts w:cstheme="minorHAnsi"/>
        </w:rPr>
        <w:t xml:space="preserve">WINTAC is working with each SVRA to develop </w:t>
      </w:r>
      <w:r>
        <w:rPr>
          <w:rFonts w:cstheme="minorHAnsi"/>
        </w:rPr>
        <w:t xml:space="preserve">a </w:t>
      </w:r>
      <w:r w:rsidRPr="0087350A">
        <w:rPr>
          <w:rFonts w:cstheme="minorHAnsi"/>
        </w:rPr>
        <w:t xml:space="preserve">sustainability plan that will chart a course for </w:t>
      </w:r>
      <w:r>
        <w:rPr>
          <w:rFonts w:cstheme="minorHAnsi"/>
        </w:rPr>
        <w:t xml:space="preserve">them to </w:t>
      </w:r>
      <w:r w:rsidRPr="0087350A">
        <w:rPr>
          <w:rFonts w:cstheme="minorHAnsi"/>
        </w:rPr>
        <w:t>scal</w:t>
      </w:r>
      <w:r>
        <w:rPr>
          <w:rFonts w:cstheme="minorHAnsi"/>
        </w:rPr>
        <w:t>e</w:t>
      </w:r>
      <w:r w:rsidRPr="0087350A">
        <w:rPr>
          <w:rFonts w:cstheme="minorHAnsi"/>
        </w:rPr>
        <w:t xml:space="preserve"> up from pilot to full implementation. Plans will compare pilots’ current status with targets and long term objectives and identify action steps in areas of CE infrastructure, partnerships, providers, evaluation and training.</w:t>
      </w:r>
    </w:p>
    <w:p w14:paraId="6C4CA231" w14:textId="77777777" w:rsidR="00B360F2" w:rsidRDefault="00B360F2" w:rsidP="00B360F2">
      <w:pPr>
        <w:tabs>
          <w:tab w:val="left" w:pos="360"/>
        </w:tabs>
        <w:rPr>
          <w:rFonts w:cstheme="minorHAnsi"/>
        </w:rPr>
      </w:pPr>
      <w:r>
        <w:rPr>
          <w:rFonts w:cstheme="minorHAnsi"/>
          <w:b/>
          <w:i/>
        </w:rPr>
        <w:t>Changes Made</w:t>
      </w:r>
      <w:r w:rsidRPr="00816A39">
        <w:rPr>
          <w:rFonts w:cstheme="minorHAnsi"/>
        </w:rPr>
        <w:t xml:space="preserve"> </w:t>
      </w:r>
      <w:r>
        <w:rPr>
          <w:rFonts w:cstheme="minorHAnsi"/>
        </w:rPr>
        <w:t xml:space="preserve">The impact of WINTAC’s approach to Customized Employment TA can be viewed from multiple perspectives. From the broadest perspective, in addition to observations made in the “National Lens” section of this narrative, the CE Pilot initiative has served as a laboratory for advances in the TA model itself. This is perhaps most evident in the synergy of a cross-team approach that maximizes resources and minimizes intrusion on already overtaxed SVRAs. On one hand, the CE Team has been able to leverage other teams’ resources when, for example, an SVRA isn’t ready for the complex demands of a CE pilot or needs to take a pause due to unforeseen circumstances. The Team is able to stay in the loop through other WINTAC Teams engaged with the site and pick up where they left off without losing ground when the agency is ready. On the other hand, the CE Pilot initiative has served as a template for TA delivery that other teams can leverage to shape their own TA, or design and implement pilots, using logic models, roadmaps, readiness tools, etc.  </w:t>
      </w:r>
    </w:p>
    <w:p w14:paraId="52F71FB8" w14:textId="77777777" w:rsidR="00B360F2" w:rsidRDefault="00B360F2" w:rsidP="00B360F2">
      <w:pPr>
        <w:tabs>
          <w:tab w:val="left" w:pos="360"/>
        </w:tabs>
        <w:rPr>
          <w:rFonts w:cstheme="minorHAnsi"/>
        </w:rPr>
      </w:pPr>
      <w:r>
        <w:rPr>
          <w:rFonts w:cstheme="minorHAnsi"/>
        </w:rPr>
        <w:t>From the perspective of the pilot initiative itself, several themes emerge across all pilots. Of importance as the TA Team and sites consider sustainable training solutions is the design and quality of the CE trainings conducted so far by national trainers. Training participants surveyed at various intervals expressed high rates of satisfaction with all aspects of the training experience. For example, training design received high ratings from 80-96% of respondents, and trainers’ delivery received high ratings from 89-99% of respondents. 76% of respondents reported being able to apply their learnings within six months of the training. The same percentage indicated that the training was extremely effective in improving performance by instilling confidence in the CE process, providing new options for working with clients and employers, and changing how all players view clients. These observations have helpful implications for design, delivery and quality of sustainable training models going forward.</w:t>
      </w:r>
    </w:p>
    <w:p w14:paraId="6D88C1AA" w14:textId="77777777" w:rsidR="00B360F2" w:rsidRDefault="00B360F2" w:rsidP="00B360F2">
      <w:pPr>
        <w:tabs>
          <w:tab w:val="left" w:pos="360"/>
        </w:tabs>
        <w:rPr>
          <w:rFonts w:cstheme="minorHAnsi"/>
        </w:rPr>
      </w:pPr>
      <w:r>
        <w:rPr>
          <w:rFonts w:cstheme="minorHAnsi"/>
        </w:rPr>
        <w:t>Other important systems level impacts even though not specifically articulated in the ITAAs as desired outcomes include:</w:t>
      </w:r>
    </w:p>
    <w:p w14:paraId="327A7F36" w14:textId="77777777" w:rsidR="00B360F2" w:rsidRDefault="00B360F2" w:rsidP="00C575C8">
      <w:pPr>
        <w:pStyle w:val="ListParagraph"/>
        <w:numPr>
          <w:ilvl w:val="0"/>
          <w:numId w:val="60"/>
        </w:numPr>
        <w:spacing w:after="100" w:afterAutospacing="1"/>
        <w:ind w:left="1080"/>
        <w:rPr>
          <w:rFonts w:cstheme="minorHAnsi"/>
        </w:rPr>
      </w:pPr>
      <w:r>
        <w:lastRenderedPageBreak/>
        <w:t>S</w:t>
      </w:r>
      <w:r w:rsidRPr="00CA7811">
        <w:t>ignificant</w:t>
      </w:r>
      <w:r w:rsidRPr="00CA7811">
        <w:rPr>
          <w:rFonts w:cstheme="minorHAnsi"/>
        </w:rPr>
        <w:t xml:space="preserve"> increases in partnering and leveraging resources, including braiding fund</w:t>
      </w:r>
      <w:r>
        <w:rPr>
          <w:rFonts w:cstheme="minorHAnsi"/>
        </w:rPr>
        <w:t>s</w:t>
      </w:r>
    </w:p>
    <w:p w14:paraId="206EF630" w14:textId="77777777" w:rsidR="00B360F2" w:rsidRDefault="00B360F2" w:rsidP="00C575C8">
      <w:pPr>
        <w:pStyle w:val="ListParagraph"/>
        <w:numPr>
          <w:ilvl w:val="0"/>
          <w:numId w:val="60"/>
        </w:numPr>
        <w:spacing w:after="100" w:afterAutospacing="1"/>
        <w:ind w:left="1080"/>
        <w:rPr>
          <w:rFonts w:cstheme="minorHAnsi"/>
        </w:rPr>
      </w:pPr>
      <w:r>
        <w:rPr>
          <w:rFonts w:cstheme="minorHAnsi"/>
        </w:rPr>
        <w:t>Positioning VR as a lead in interagency collaborations</w:t>
      </w:r>
    </w:p>
    <w:p w14:paraId="5BE7526C" w14:textId="77777777" w:rsidR="00B360F2" w:rsidRDefault="00B360F2" w:rsidP="00C575C8">
      <w:pPr>
        <w:pStyle w:val="ListParagraph"/>
        <w:numPr>
          <w:ilvl w:val="0"/>
          <w:numId w:val="60"/>
        </w:numPr>
        <w:spacing w:after="100" w:afterAutospacing="1"/>
        <w:ind w:left="1080"/>
        <w:rPr>
          <w:rFonts w:cstheme="minorHAnsi"/>
        </w:rPr>
      </w:pPr>
      <w:r>
        <w:rPr>
          <w:rFonts w:cstheme="minorHAnsi"/>
        </w:rPr>
        <w:t>Unprecedented partnering between the General and Blind agencies</w:t>
      </w:r>
    </w:p>
    <w:p w14:paraId="5451E1E9" w14:textId="77777777" w:rsidR="00B360F2" w:rsidRDefault="00B360F2" w:rsidP="00C575C8">
      <w:pPr>
        <w:pStyle w:val="ListParagraph"/>
        <w:numPr>
          <w:ilvl w:val="0"/>
          <w:numId w:val="60"/>
        </w:numPr>
        <w:spacing w:after="100" w:afterAutospacing="1"/>
        <w:ind w:left="1080"/>
        <w:rPr>
          <w:rFonts w:cstheme="minorHAnsi"/>
        </w:rPr>
      </w:pPr>
      <w:r>
        <w:rPr>
          <w:rFonts w:cstheme="minorHAnsi"/>
        </w:rPr>
        <w:t>Paradigm shifts in staff view of employability</w:t>
      </w:r>
    </w:p>
    <w:p w14:paraId="645477F7" w14:textId="77777777" w:rsidR="00B360F2" w:rsidRDefault="00B360F2" w:rsidP="00C575C8">
      <w:pPr>
        <w:pStyle w:val="ListParagraph"/>
        <w:numPr>
          <w:ilvl w:val="0"/>
          <w:numId w:val="60"/>
        </w:numPr>
        <w:spacing w:after="100" w:afterAutospacing="1"/>
        <w:ind w:left="1080"/>
        <w:rPr>
          <w:rFonts w:cstheme="minorHAnsi"/>
        </w:rPr>
      </w:pPr>
      <w:r>
        <w:rPr>
          <w:rFonts w:cstheme="minorHAnsi"/>
        </w:rPr>
        <w:t>Cross-agency alignment of policies and procedures</w:t>
      </w:r>
    </w:p>
    <w:p w14:paraId="178B3425" w14:textId="77777777" w:rsidR="00B360F2" w:rsidRDefault="00B360F2" w:rsidP="00C575C8">
      <w:pPr>
        <w:pStyle w:val="ListParagraph"/>
        <w:numPr>
          <w:ilvl w:val="0"/>
          <w:numId w:val="60"/>
        </w:numPr>
        <w:spacing w:after="100" w:afterAutospacing="1"/>
        <w:ind w:left="1080"/>
        <w:rPr>
          <w:rFonts w:cstheme="minorHAnsi"/>
        </w:rPr>
      </w:pPr>
      <w:r>
        <w:rPr>
          <w:rFonts w:cstheme="minorHAnsi"/>
        </w:rPr>
        <w:t xml:space="preserve">Adaptation of national training models to emphasize sustainability </w:t>
      </w:r>
    </w:p>
    <w:p w14:paraId="525C3B1E" w14:textId="77777777" w:rsidR="00B360F2" w:rsidRDefault="00B360F2" w:rsidP="00C575C8">
      <w:pPr>
        <w:pStyle w:val="ListParagraph"/>
        <w:numPr>
          <w:ilvl w:val="0"/>
          <w:numId w:val="60"/>
        </w:numPr>
        <w:spacing w:after="120"/>
        <w:ind w:left="1080"/>
        <w:rPr>
          <w:rFonts w:cstheme="minorHAnsi"/>
        </w:rPr>
      </w:pPr>
      <w:r>
        <w:rPr>
          <w:rFonts w:cstheme="minorHAnsi"/>
        </w:rPr>
        <w:t>New pathways to developing an evidence base for the practice of CE</w:t>
      </w:r>
    </w:p>
    <w:p w14:paraId="3754D946" w14:textId="77777777" w:rsidR="00B360F2" w:rsidRDefault="00B360F2" w:rsidP="00B360F2">
      <w:pPr>
        <w:tabs>
          <w:tab w:val="left" w:pos="360"/>
        </w:tabs>
        <w:rPr>
          <w:rFonts w:cstheme="minorHAnsi"/>
        </w:rPr>
      </w:pPr>
      <w:r>
        <w:rPr>
          <w:rFonts w:cstheme="minorHAnsi"/>
        </w:rPr>
        <w:t>One recent impact of the CE Team’s TA approach is a perceptible shift in SVRAs’ appetite for TA on evaluation: from tolerating data collection as an obligatory exercise, to valuing data’s ability to tell the story of the pilot, the practice and the person and inform how the SVRA refines, expands and sustains its program. States are now contemplating evaluation strategies that will help with decision-making, improve buy-in and measure return on investment; and they are seeing opportunities to dig deeper, e.g., unpack traditional outcome measures to examine where in the process success is happening, or compare CE placements with other clients’ outcomes.</w:t>
      </w:r>
    </w:p>
    <w:p w14:paraId="4D201112" w14:textId="77777777" w:rsidR="00B360F2" w:rsidRDefault="00B360F2" w:rsidP="00B360F2">
      <w:pPr>
        <w:tabs>
          <w:tab w:val="left" w:pos="360"/>
        </w:tabs>
        <w:rPr>
          <w:rFonts w:cstheme="minorHAnsi"/>
        </w:rPr>
      </w:pPr>
      <w:r>
        <w:rPr>
          <w:rFonts w:cstheme="minorHAnsi"/>
        </w:rPr>
        <w:t>Finally, from the perspective of the individual pilots, WINTAC’s impact can be seen in SVRAs’ individual successes relating to systems, resources, service delivery capacity and client outcomes. Almost without exception these are SVRAs that, pre-pilot, had little to no track record in finding competitive integrated employment for individuals with the most significant disabilities. One SVRA observes that CE gives them an option for working with individuals who cannot participate in Supported Employment and have failed in multiple placements. They report that individuals meeting this description are now working in such positions as drone factory worker, golf course attendant, baker, dance instructor and pet store worker, as a result of the CE process.</w:t>
      </w:r>
    </w:p>
    <w:p w14:paraId="623BB3AF" w14:textId="77777777" w:rsidR="00B360F2" w:rsidRPr="005A2188" w:rsidRDefault="00B360F2" w:rsidP="00B360F2">
      <w:pPr>
        <w:tabs>
          <w:tab w:val="left" w:pos="360"/>
        </w:tabs>
        <w:rPr>
          <w:rFonts w:cstheme="minorHAnsi"/>
          <w:highlight w:val="yellow"/>
        </w:rPr>
      </w:pPr>
      <w:r>
        <w:rPr>
          <w:rFonts w:cstheme="minorHAnsi"/>
        </w:rPr>
        <w:t>Indeed now, thanks to the CE pilots, most SVRAs have measurable capacity and client outcomes to show for their efforts</w:t>
      </w:r>
      <w:r w:rsidRPr="005A2188">
        <w:rPr>
          <w:rFonts w:cstheme="minorHAnsi"/>
        </w:rPr>
        <w:t xml:space="preserve">. </w:t>
      </w:r>
      <w:r>
        <w:rPr>
          <w:rFonts w:cstheme="minorHAnsi"/>
        </w:rPr>
        <w:t xml:space="preserve">Currently (through March 31, 2020) as many as </w:t>
      </w:r>
      <w:r w:rsidRPr="00E72511">
        <w:rPr>
          <w:rFonts w:cstheme="minorHAnsi"/>
        </w:rPr>
        <w:t>93</w:t>
      </w:r>
      <w:r>
        <w:rPr>
          <w:rFonts w:cstheme="minorHAnsi"/>
        </w:rPr>
        <w:t xml:space="preserve"> organizations and 200 practitioners actively provide CE services, where pre-pilot few to none were qualified to do so. In the same </w:t>
      </w:r>
      <w:r w:rsidRPr="00891EA1">
        <w:rPr>
          <w:rFonts w:cstheme="minorHAnsi"/>
        </w:rPr>
        <w:t xml:space="preserve">period </w:t>
      </w:r>
      <w:r w:rsidRPr="00E72511">
        <w:rPr>
          <w:rFonts w:cstheme="minorHAnsi"/>
        </w:rPr>
        <w:t>156</w:t>
      </w:r>
      <w:r w:rsidRPr="00891EA1">
        <w:rPr>
          <w:rFonts w:cstheme="minorHAnsi"/>
        </w:rPr>
        <w:t xml:space="preserve"> consumers</w:t>
      </w:r>
      <w:r>
        <w:rPr>
          <w:rFonts w:cstheme="minorHAnsi"/>
        </w:rPr>
        <w:t xml:space="preserve"> were placed in competitive integrated employment, with an additional </w:t>
      </w:r>
      <w:r w:rsidRPr="00B702BD">
        <w:rPr>
          <w:rFonts w:cstheme="minorHAnsi"/>
        </w:rPr>
        <w:t>241</w:t>
      </w:r>
      <w:r w:rsidRPr="00891EA1">
        <w:rPr>
          <w:rFonts w:cstheme="minorHAnsi"/>
        </w:rPr>
        <w:t xml:space="preserve"> </w:t>
      </w:r>
      <w:r>
        <w:rPr>
          <w:rFonts w:cstheme="minorHAnsi"/>
        </w:rPr>
        <w:t xml:space="preserve">completing at least one segment of the CE process (Discovery only, or both Discovery and Job Development). CE CoP members agreed that these intermediate points in the process are powerful indicators of impact, for example, representing individuals for whom it is too early to expect an employment outcome, who might be “continuing their education, honing their choices or defining critical supports for their future.” Again, such results had not been seen in these SVRAs prior to CE implementation.  </w:t>
      </w:r>
    </w:p>
    <w:p w14:paraId="276919BE" w14:textId="362985F7" w:rsidR="00B360F2" w:rsidRDefault="00B360F2" w:rsidP="00B360F2">
      <w:pPr>
        <w:tabs>
          <w:tab w:val="left" w:pos="360"/>
        </w:tabs>
        <w:rPr>
          <w:rFonts w:cstheme="minorHAnsi"/>
        </w:rPr>
      </w:pPr>
      <w:r w:rsidRPr="00C57092">
        <w:rPr>
          <w:rFonts w:cstheme="minorHAnsi"/>
          <w:b/>
          <w:i/>
        </w:rPr>
        <w:t>Conclusions</w:t>
      </w:r>
      <w:r>
        <w:rPr>
          <w:rFonts w:cstheme="minorHAnsi"/>
        </w:rPr>
        <w:t xml:space="preserve"> </w:t>
      </w:r>
      <w:r w:rsidRPr="001615CE">
        <w:rPr>
          <w:rFonts w:cstheme="minorHAnsi"/>
        </w:rPr>
        <w:t xml:space="preserve">The CE Pilot team has made steady progress in </w:t>
      </w:r>
      <w:r>
        <w:rPr>
          <w:rFonts w:cstheme="minorHAnsi"/>
        </w:rPr>
        <w:t>helping</w:t>
      </w:r>
      <w:r w:rsidRPr="001615CE">
        <w:rPr>
          <w:rFonts w:cstheme="minorHAnsi"/>
        </w:rPr>
        <w:t xml:space="preserve"> SVRAs </w:t>
      </w:r>
      <w:r>
        <w:rPr>
          <w:rFonts w:cstheme="minorHAnsi"/>
        </w:rPr>
        <w:t>undertake</w:t>
      </w:r>
      <w:r w:rsidRPr="001615CE">
        <w:rPr>
          <w:rFonts w:cstheme="minorHAnsi"/>
        </w:rPr>
        <w:t xml:space="preserve"> </w:t>
      </w:r>
      <w:r>
        <w:rPr>
          <w:rFonts w:cstheme="minorHAnsi"/>
        </w:rPr>
        <w:t>significant</w:t>
      </w:r>
      <w:r w:rsidRPr="001615CE">
        <w:rPr>
          <w:rFonts w:cstheme="minorHAnsi"/>
        </w:rPr>
        <w:t xml:space="preserve"> systems change and ultimately </w:t>
      </w:r>
      <w:r>
        <w:rPr>
          <w:rFonts w:cstheme="minorHAnsi"/>
        </w:rPr>
        <w:t>bring about unprecedented increases</w:t>
      </w:r>
      <w:r w:rsidRPr="001615CE">
        <w:rPr>
          <w:rFonts w:cstheme="minorHAnsi"/>
        </w:rPr>
        <w:t xml:space="preserve"> in service and employment options for individuals with </w:t>
      </w:r>
      <w:r>
        <w:rPr>
          <w:rFonts w:cstheme="minorHAnsi"/>
        </w:rPr>
        <w:t xml:space="preserve">the </w:t>
      </w:r>
      <w:r w:rsidRPr="001615CE">
        <w:rPr>
          <w:rFonts w:cstheme="minorHAnsi"/>
        </w:rPr>
        <w:t xml:space="preserve">most significant disabilities. </w:t>
      </w:r>
      <w:r>
        <w:rPr>
          <w:rFonts w:cstheme="minorHAnsi"/>
        </w:rPr>
        <w:t xml:space="preserve">The numbers are already promising, in terms of partnerships, capacity and consumers served. The experiences behind the numbers tell more of the story, in terms of the degree of collaboration and cultural and systems change it has taken to get to this point and what it will take to sustain the effort. Building CE capacity is complicated and multi-layered: At the SVRA level, the focus is adopting and sustaining a new practice; at the TA level, the focus is designing, implementing and evaluating a pilot, and leveraging that experience to support expansion and sustainability; at the systems level the focus is bringing it all together such that CE is integral to VR service delivery. There are challenges at every turn. But to WINTAC’s credit, as quickly as the lessons are </w:t>
      </w:r>
      <w:r>
        <w:rPr>
          <w:rFonts w:cstheme="minorHAnsi"/>
        </w:rPr>
        <w:lastRenderedPageBreak/>
        <w:t xml:space="preserve">learned they are cycled right back into the process and the overall body of work around Customized Employment – continuous quality improvement in real time. As is evident throughout this narrative, WINTAC has the expertise, the access, the credibility and the finesse to make it work on all levels and to position SVRAs for ongoing CE implementation and sustainability. </w:t>
      </w:r>
    </w:p>
    <w:p w14:paraId="060D4759" w14:textId="358C7CE6" w:rsidR="00B360F2" w:rsidRDefault="00B360F2" w:rsidP="00B360F2">
      <w:pPr>
        <w:tabs>
          <w:tab w:val="left" w:pos="360"/>
        </w:tabs>
        <w:rPr>
          <w:rFonts w:cstheme="minorHAnsi"/>
        </w:rPr>
      </w:pPr>
      <w:r>
        <w:rPr>
          <w:rFonts w:cstheme="minorHAnsi"/>
          <w:b/>
          <w:i/>
        </w:rPr>
        <w:t>Evaluation Recommendations</w:t>
      </w:r>
      <w:r>
        <w:rPr>
          <w:rFonts w:cstheme="minorHAnsi"/>
          <w:i/>
        </w:rPr>
        <w:t xml:space="preserve"> </w:t>
      </w:r>
      <w:r>
        <w:rPr>
          <w:rFonts w:cstheme="minorHAnsi"/>
        </w:rPr>
        <w:t xml:space="preserve">For an effort of this magnitude, evidence of tangible gains is critical to ongoing support: What changes are being brought about by the pilot and the resulting CE services – and is it worth the investment? Preliminary evidence from the ITAA progress reporting and the pilots’ CE data dashboards is already compelling, demonstrating that CE is being implemented more consistently according to quality standards, capacity is being structured in a sustainable way and clients are achieving employment outcomes like never before. As noted above, SVRAs are more engaged in tracking their progress and should be encouraged and supported in creating evaluation plans in the final months of Year 5. They will need to develop the capacity – including time, resources and structures – to articulate targets and </w:t>
      </w:r>
      <w:r w:rsidRPr="001615CE">
        <w:rPr>
          <w:rFonts w:cstheme="minorHAnsi"/>
        </w:rPr>
        <w:t>pre-intervention baselines</w:t>
      </w:r>
      <w:r>
        <w:rPr>
          <w:rFonts w:cstheme="minorHAnsi"/>
        </w:rPr>
        <w:t>,</w:t>
      </w:r>
      <w:r w:rsidRPr="001615CE">
        <w:rPr>
          <w:rFonts w:cstheme="minorHAnsi"/>
        </w:rPr>
        <w:t xml:space="preserve"> </w:t>
      </w:r>
      <w:r>
        <w:rPr>
          <w:rFonts w:cstheme="minorHAnsi"/>
        </w:rPr>
        <w:t xml:space="preserve">collect and analyze data and periodically review and report </w:t>
      </w:r>
      <w:r w:rsidRPr="001615CE">
        <w:rPr>
          <w:rFonts w:cstheme="minorHAnsi"/>
        </w:rPr>
        <w:t>results.</w:t>
      </w:r>
      <w:r>
        <w:rPr>
          <w:rFonts w:cstheme="minorHAnsi"/>
        </w:rPr>
        <w:t xml:space="preserve"> Each site’s sustainability plan should designate a CE evaluation or data management lead, establish an evaluation strategy and protocols, and identify the time and resources needed to help answer basic questions about the pilot’s impact. Further, as sites consider sustainable training solutions they may wish to request customized reports from the WINTAC Evaluation Team summarizing feedback from participants in their respective training cohorts. </w:t>
      </w:r>
    </w:p>
    <w:p w14:paraId="4676D316" w14:textId="77777777" w:rsidR="00B360F2" w:rsidRDefault="00B360F2" w:rsidP="00B360F2">
      <w:pPr>
        <w:tabs>
          <w:tab w:val="left" w:pos="360"/>
        </w:tabs>
        <w:rPr>
          <w:rFonts w:cstheme="minorHAnsi"/>
        </w:rPr>
      </w:pPr>
      <w:r>
        <w:rPr>
          <w:rFonts w:cstheme="minorHAnsi"/>
        </w:rPr>
        <w:t>The WINTAC team has preliminary data supplemented by a growing body of anecdotal evidence of the CE pilot initiative’s systems impact, but it is advisable to develop the capability to more rigorously measure and document these gains to the extent possible. In particular, contributions to the state of the art, ongoing national dialog, and changes in collaboration, VR’s role and attitudes about employability.</w:t>
      </w:r>
    </w:p>
    <w:p w14:paraId="0757F66D" w14:textId="77777777" w:rsidR="00DC30A7" w:rsidRDefault="00DC30A7" w:rsidP="00B360F2">
      <w:pPr>
        <w:rPr>
          <w:rFonts w:ascii="Calibri" w:eastAsia="Times New Roman" w:hAnsi="Calibri" w:cs="Calibri"/>
          <w:szCs w:val="24"/>
        </w:rPr>
        <w:sectPr w:rsidR="00DC30A7" w:rsidSect="0042504C">
          <w:headerReference w:type="even" r:id="rId352"/>
          <w:headerReference w:type="default" r:id="rId353"/>
          <w:footerReference w:type="even" r:id="rId354"/>
          <w:footerReference w:type="default" r:id="rId355"/>
          <w:headerReference w:type="first" r:id="rId356"/>
          <w:footerReference w:type="first" r:id="rId357"/>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docGrid w:linePitch="360"/>
        </w:sectPr>
      </w:pPr>
    </w:p>
    <w:p w14:paraId="7C592E2D" w14:textId="4B319587" w:rsidR="00581F18" w:rsidRPr="00581F18" w:rsidRDefault="00581F18" w:rsidP="00581F18">
      <w:pPr>
        <w:pStyle w:val="Heading1"/>
        <w:ind w:left="360" w:firstLine="0"/>
      </w:pPr>
      <w:bookmarkStart w:id="139" w:name="_Toc41940260"/>
      <w:r>
        <w:lastRenderedPageBreak/>
        <w:t xml:space="preserve">G. </w:t>
      </w:r>
      <w:bookmarkStart w:id="140" w:name="_Toc27904617"/>
      <w:bookmarkStart w:id="141" w:name="_Toc28011445"/>
      <w:r w:rsidRPr="00581F18">
        <w:t>SARA PILOT PROJECTS</w:t>
      </w:r>
      <w:bookmarkEnd w:id="139"/>
      <w:bookmarkEnd w:id="140"/>
      <w:bookmarkEnd w:id="141"/>
    </w:p>
    <w:p w14:paraId="044D6139" w14:textId="77777777" w:rsidR="00581F18" w:rsidRDefault="00581F18" w:rsidP="00581F18"/>
    <w:p w14:paraId="27977856" w14:textId="77777777" w:rsidR="00581F18" w:rsidRDefault="00581F18" w:rsidP="00581F18">
      <w:pPr>
        <w:ind w:hanging="360"/>
        <w:rPr>
          <w:noProof/>
        </w:rPr>
        <w:sectPr w:rsidR="00581F18" w:rsidSect="00EC24EB">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vAlign w:val="center"/>
          <w:docGrid w:linePitch="360"/>
        </w:sectPr>
      </w:pPr>
      <w:r>
        <w:rPr>
          <w:noProof/>
          <w:lang w:eastAsia="ko-KR"/>
        </w:rPr>
        <w:drawing>
          <wp:inline distT="0" distB="0" distL="0" distR="0" wp14:anchorId="6484C484" wp14:editId="5473F376">
            <wp:extent cx="5943600" cy="4320540"/>
            <wp:effectExtent l="323850" t="323850" r="323850" b="327660"/>
            <wp:docPr id="139" name="Picture 139" descr="Map of the United States depicting which states have SARA Pilots:  AK, KY, N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RA Pilots Map Y4.png"/>
                    <pic:cNvPicPr/>
                  </pic:nvPicPr>
                  <pic:blipFill>
                    <a:blip r:embed="rId358" cstate="print">
                      <a:extLst>
                        <a:ext uri="{28A0092B-C50C-407E-A947-70E740481C1C}">
                          <a14:useLocalDpi xmlns:a14="http://schemas.microsoft.com/office/drawing/2010/main"/>
                        </a:ext>
                      </a:extLst>
                    </a:blip>
                    <a:stretch>
                      <a:fillRect/>
                    </a:stretch>
                  </pic:blipFill>
                  <pic:spPr>
                    <a:xfrm>
                      <a:off x="0" y="0"/>
                      <a:ext cx="5943600" cy="43205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78F050A8" w14:textId="1FE0BE8B" w:rsidR="00581F18" w:rsidRPr="00581F18" w:rsidRDefault="00581F18" w:rsidP="00581F18">
      <w:pPr>
        <w:pStyle w:val="Heading2"/>
        <w:shd w:val="clear" w:color="auto" w:fill="8EAADB" w:themeFill="accent1" w:themeFillTint="99"/>
      </w:pPr>
      <w:bookmarkStart w:id="142" w:name="_Toc27904618"/>
      <w:bookmarkStart w:id="143" w:name="_Toc28011446"/>
      <w:bookmarkStart w:id="144" w:name="_Toc41940261"/>
      <w:r w:rsidRPr="00581F18">
        <w:t>Sara Pilots: Logic Model</w:t>
      </w:r>
      <w:bookmarkEnd w:id="142"/>
      <w:bookmarkEnd w:id="143"/>
      <w:bookmarkEnd w:id="1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1"/>
        <w:gridCol w:w="3839"/>
      </w:tblGrid>
      <w:tr w:rsidR="00581F18" w:rsidRPr="00206792" w14:paraId="4F12B0EB" w14:textId="77777777" w:rsidTr="008A190D">
        <w:tc>
          <w:tcPr>
            <w:tcW w:w="2947" w:type="pct"/>
            <w:shd w:val="clear" w:color="auto" w:fill="D9E2F3" w:themeFill="accent1" w:themeFillTint="33"/>
          </w:tcPr>
          <w:p w14:paraId="36533FEF" w14:textId="6279B4A4" w:rsidR="00581F18" w:rsidRPr="00541587" w:rsidRDefault="00581F18" w:rsidP="00541587">
            <w:pPr>
              <w:spacing w:after="0"/>
              <w:ind w:hanging="30"/>
              <w:jc w:val="center"/>
              <w:rPr>
                <w:b/>
                <w:bCs/>
                <w:sz w:val="24"/>
                <w:szCs w:val="24"/>
              </w:rPr>
            </w:pPr>
            <w:bookmarkStart w:id="145" w:name="_Toc27904619"/>
            <w:r w:rsidRPr="00541587">
              <w:rPr>
                <w:b/>
                <w:bCs/>
                <w:sz w:val="24"/>
                <w:szCs w:val="24"/>
              </w:rPr>
              <w:t>Activiti</w:t>
            </w:r>
            <w:bookmarkEnd w:id="145"/>
            <w:r w:rsidR="00541587">
              <w:rPr>
                <w:b/>
                <w:bCs/>
                <w:sz w:val="24"/>
                <w:szCs w:val="24"/>
              </w:rPr>
              <w:t>y</w:t>
            </w:r>
          </w:p>
        </w:tc>
        <w:tc>
          <w:tcPr>
            <w:tcW w:w="2053" w:type="pct"/>
            <w:shd w:val="clear" w:color="auto" w:fill="D9E2F3" w:themeFill="accent1" w:themeFillTint="33"/>
          </w:tcPr>
          <w:p w14:paraId="32C873E4" w14:textId="7D196A41" w:rsidR="00581F18" w:rsidRPr="00541587" w:rsidRDefault="00581F18" w:rsidP="00541587">
            <w:pPr>
              <w:spacing w:after="0"/>
              <w:ind w:hanging="44"/>
              <w:jc w:val="center"/>
              <w:rPr>
                <w:b/>
                <w:bCs/>
                <w:sz w:val="24"/>
                <w:szCs w:val="24"/>
              </w:rPr>
            </w:pPr>
            <w:bookmarkStart w:id="146" w:name="_Toc27904620"/>
            <w:r w:rsidRPr="00541587">
              <w:rPr>
                <w:b/>
                <w:bCs/>
                <w:sz w:val="24"/>
                <w:szCs w:val="24"/>
              </w:rPr>
              <w:t>Output</w:t>
            </w:r>
            <w:bookmarkEnd w:id="146"/>
            <w:r w:rsidR="00541587">
              <w:rPr>
                <w:b/>
                <w:bCs/>
                <w:sz w:val="24"/>
                <w:szCs w:val="24"/>
              </w:rPr>
              <w:t>6</w:t>
            </w:r>
          </w:p>
        </w:tc>
      </w:tr>
      <w:tr w:rsidR="00581F18" w:rsidRPr="00206792" w14:paraId="592DF58D" w14:textId="77777777" w:rsidTr="008A190D">
        <w:trPr>
          <w:trHeight w:val="692"/>
        </w:trPr>
        <w:tc>
          <w:tcPr>
            <w:tcW w:w="2947" w:type="pct"/>
          </w:tcPr>
          <w:p w14:paraId="1B19FEF7" w14:textId="77777777" w:rsidR="00581F18" w:rsidRPr="00206792" w:rsidRDefault="00581F18" w:rsidP="00C575C8">
            <w:pPr>
              <w:pStyle w:val="ListParagraph"/>
              <w:numPr>
                <w:ilvl w:val="0"/>
                <w:numId w:val="68"/>
              </w:numPr>
            </w:pPr>
            <w:bookmarkStart w:id="147" w:name="_Hlk17794949"/>
            <w:r w:rsidRPr="00206792">
              <w:t>Development of MOUs between SVRAs and core partners.</w:t>
            </w:r>
          </w:p>
        </w:tc>
        <w:tc>
          <w:tcPr>
            <w:tcW w:w="2053" w:type="pct"/>
          </w:tcPr>
          <w:p w14:paraId="4F570A2B" w14:textId="77777777" w:rsidR="00581F18" w:rsidRPr="00206792" w:rsidRDefault="00581F18" w:rsidP="00C575C8">
            <w:pPr>
              <w:pStyle w:val="ListParagraph"/>
              <w:numPr>
                <w:ilvl w:val="0"/>
                <w:numId w:val="66"/>
              </w:numPr>
              <w:ind w:left="344"/>
            </w:pPr>
            <w:r w:rsidRPr="00206792">
              <w:t>Draft MOU developed.</w:t>
            </w:r>
          </w:p>
        </w:tc>
      </w:tr>
      <w:tr w:rsidR="00581F18" w:rsidRPr="00206792" w14:paraId="1A0AE4CE" w14:textId="77777777" w:rsidTr="008A190D">
        <w:trPr>
          <w:trHeight w:val="710"/>
        </w:trPr>
        <w:tc>
          <w:tcPr>
            <w:tcW w:w="2947" w:type="pct"/>
          </w:tcPr>
          <w:p w14:paraId="53320B92" w14:textId="77777777" w:rsidR="00581F18" w:rsidRPr="00206792" w:rsidRDefault="00581F18" w:rsidP="00C575C8">
            <w:pPr>
              <w:pStyle w:val="ListParagraph"/>
              <w:numPr>
                <w:ilvl w:val="0"/>
                <w:numId w:val="68"/>
              </w:numPr>
            </w:pPr>
            <w:r w:rsidRPr="00206792">
              <w:t>Development of plan with SVRA IT staff to integrate SARA with agency systems as needed (e.g., CMS).</w:t>
            </w:r>
          </w:p>
        </w:tc>
        <w:tc>
          <w:tcPr>
            <w:tcW w:w="2053" w:type="pct"/>
          </w:tcPr>
          <w:p w14:paraId="41F2C8B7" w14:textId="77777777" w:rsidR="00581F18" w:rsidRPr="00206792" w:rsidRDefault="00581F18" w:rsidP="00C575C8">
            <w:pPr>
              <w:pStyle w:val="ListParagraph"/>
              <w:numPr>
                <w:ilvl w:val="0"/>
                <w:numId w:val="66"/>
              </w:numPr>
              <w:ind w:left="344"/>
            </w:pPr>
            <w:r w:rsidRPr="00206792">
              <w:t>IT integration plan in place.</w:t>
            </w:r>
          </w:p>
        </w:tc>
      </w:tr>
      <w:tr w:rsidR="00581F18" w:rsidRPr="00206792" w14:paraId="054E2974" w14:textId="77777777" w:rsidTr="008A190D">
        <w:trPr>
          <w:trHeight w:val="440"/>
        </w:trPr>
        <w:tc>
          <w:tcPr>
            <w:tcW w:w="2947" w:type="pct"/>
          </w:tcPr>
          <w:p w14:paraId="2EF881E3" w14:textId="77777777" w:rsidR="00581F18" w:rsidRPr="00206792" w:rsidRDefault="00581F18" w:rsidP="00C575C8">
            <w:pPr>
              <w:pStyle w:val="ListParagraph"/>
              <w:numPr>
                <w:ilvl w:val="0"/>
                <w:numId w:val="68"/>
              </w:numPr>
            </w:pPr>
            <w:r w:rsidRPr="00206792">
              <w:t>SVRA and partner training on SARA use.</w:t>
            </w:r>
          </w:p>
        </w:tc>
        <w:tc>
          <w:tcPr>
            <w:tcW w:w="2053" w:type="pct"/>
          </w:tcPr>
          <w:p w14:paraId="0E9BAD25" w14:textId="77777777" w:rsidR="00581F18" w:rsidRPr="00206792" w:rsidRDefault="00581F18" w:rsidP="00C575C8">
            <w:pPr>
              <w:pStyle w:val="ListParagraph"/>
              <w:numPr>
                <w:ilvl w:val="0"/>
                <w:numId w:val="66"/>
              </w:numPr>
              <w:ind w:left="344"/>
            </w:pPr>
            <w:r w:rsidRPr="00206792">
              <w:t>Number trained.</w:t>
            </w:r>
          </w:p>
        </w:tc>
      </w:tr>
      <w:tr w:rsidR="00581F18" w:rsidRPr="00206792" w14:paraId="31D59AA3" w14:textId="77777777" w:rsidTr="008A190D">
        <w:trPr>
          <w:trHeight w:val="638"/>
        </w:trPr>
        <w:tc>
          <w:tcPr>
            <w:tcW w:w="2947" w:type="pct"/>
          </w:tcPr>
          <w:p w14:paraId="229905C8" w14:textId="77777777" w:rsidR="00581F18" w:rsidRPr="00206792" w:rsidRDefault="00581F18" w:rsidP="00C575C8">
            <w:pPr>
              <w:pStyle w:val="ListParagraph"/>
              <w:numPr>
                <w:ilvl w:val="0"/>
                <w:numId w:val="68"/>
              </w:numPr>
            </w:pPr>
            <w:r w:rsidRPr="00206792">
              <w:t>Adaptation of existing, or development of new, interview templates as required.</w:t>
            </w:r>
          </w:p>
        </w:tc>
        <w:tc>
          <w:tcPr>
            <w:tcW w:w="2053" w:type="pct"/>
          </w:tcPr>
          <w:p w14:paraId="637F9DCD" w14:textId="77777777" w:rsidR="00581F18" w:rsidRPr="00206792" w:rsidRDefault="00581F18" w:rsidP="00C575C8">
            <w:pPr>
              <w:pStyle w:val="ListParagraph"/>
              <w:numPr>
                <w:ilvl w:val="0"/>
                <w:numId w:val="66"/>
              </w:numPr>
              <w:ind w:left="344"/>
            </w:pPr>
            <w:r w:rsidRPr="00206792">
              <w:t>Number and type of interview templates integrated for use.</w:t>
            </w:r>
          </w:p>
        </w:tc>
      </w:tr>
      <w:tr w:rsidR="00581F18" w:rsidRPr="00206792" w14:paraId="55F0F256" w14:textId="77777777" w:rsidTr="008A190D">
        <w:trPr>
          <w:trHeight w:val="881"/>
        </w:trPr>
        <w:tc>
          <w:tcPr>
            <w:tcW w:w="2947" w:type="pct"/>
          </w:tcPr>
          <w:p w14:paraId="6A9A3EE5" w14:textId="77777777" w:rsidR="00581F18" w:rsidRPr="00206792" w:rsidRDefault="00581F18" w:rsidP="00C575C8">
            <w:pPr>
              <w:pStyle w:val="ListParagraph"/>
              <w:numPr>
                <w:ilvl w:val="0"/>
                <w:numId w:val="68"/>
              </w:numPr>
            </w:pPr>
            <w:r w:rsidRPr="00206792">
              <w:lastRenderedPageBreak/>
              <w:t>Creation of customized reports generated by SARA to support Common Performance Measures reporting.</w:t>
            </w:r>
          </w:p>
        </w:tc>
        <w:tc>
          <w:tcPr>
            <w:tcW w:w="2053" w:type="pct"/>
          </w:tcPr>
          <w:p w14:paraId="3A6BD5AC" w14:textId="77777777" w:rsidR="00581F18" w:rsidRPr="00206792" w:rsidRDefault="00581F18" w:rsidP="00C575C8">
            <w:pPr>
              <w:pStyle w:val="ListParagraph"/>
              <w:numPr>
                <w:ilvl w:val="0"/>
                <w:numId w:val="66"/>
              </w:numPr>
              <w:ind w:left="344"/>
            </w:pPr>
            <w:r w:rsidRPr="00206792">
              <w:t>CPM reports generated.</w:t>
            </w:r>
          </w:p>
        </w:tc>
      </w:tr>
      <w:tr w:rsidR="00581F18" w:rsidRPr="00206792" w14:paraId="34B571AB" w14:textId="77777777" w:rsidTr="008A190D">
        <w:tc>
          <w:tcPr>
            <w:tcW w:w="2947" w:type="pct"/>
          </w:tcPr>
          <w:p w14:paraId="178DB8B1" w14:textId="77777777" w:rsidR="00581F18" w:rsidRPr="00206792" w:rsidRDefault="00581F18" w:rsidP="00C575C8">
            <w:pPr>
              <w:pStyle w:val="ListParagraph"/>
              <w:numPr>
                <w:ilvl w:val="0"/>
                <w:numId w:val="68"/>
              </w:numPr>
            </w:pPr>
            <w:r w:rsidRPr="00206792">
              <w:t>Creation of customized reports generated by SARA to support client outreach and follow-up.</w:t>
            </w:r>
          </w:p>
        </w:tc>
        <w:tc>
          <w:tcPr>
            <w:tcW w:w="2053" w:type="pct"/>
          </w:tcPr>
          <w:p w14:paraId="32F323E9" w14:textId="77777777" w:rsidR="00581F18" w:rsidRPr="00206792" w:rsidRDefault="00581F18" w:rsidP="00C575C8">
            <w:pPr>
              <w:pStyle w:val="ListParagraph"/>
              <w:numPr>
                <w:ilvl w:val="0"/>
                <w:numId w:val="66"/>
              </w:numPr>
              <w:ind w:left="344"/>
            </w:pPr>
            <w:r w:rsidRPr="00206792">
              <w:t>Client outreach and follow-up reports generated.  Client satisfaction survey data.</w:t>
            </w:r>
          </w:p>
        </w:tc>
      </w:tr>
      <w:tr w:rsidR="00581F18" w:rsidRPr="00206792" w14:paraId="0D587A77" w14:textId="77777777" w:rsidTr="008A190D">
        <w:tc>
          <w:tcPr>
            <w:tcW w:w="2947" w:type="pct"/>
          </w:tcPr>
          <w:p w14:paraId="2FD686A9" w14:textId="77777777" w:rsidR="00581F18" w:rsidRPr="00206792" w:rsidRDefault="00581F18" w:rsidP="00C575C8">
            <w:pPr>
              <w:pStyle w:val="ListParagraph"/>
              <w:numPr>
                <w:ilvl w:val="0"/>
                <w:numId w:val="68"/>
              </w:numPr>
            </w:pPr>
            <w:r w:rsidRPr="00206792">
              <w:t>Creation of customized alert systems and reports generated and delivered by SARA to support continuous quality improvement efforts related to CPMs and client engagement.</w:t>
            </w:r>
          </w:p>
        </w:tc>
        <w:tc>
          <w:tcPr>
            <w:tcW w:w="2053" w:type="pct"/>
          </w:tcPr>
          <w:p w14:paraId="53F8DD8E" w14:textId="77777777" w:rsidR="00581F18" w:rsidRPr="00206792" w:rsidRDefault="00581F18" w:rsidP="00C575C8">
            <w:pPr>
              <w:pStyle w:val="ListParagraph"/>
              <w:numPr>
                <w:ilvl w:val="0"/>
                <w:numId w:val="66"/>
              </w:numPr>
              <w:ind w:left="344"/>
            </w:pPr>
            <w:r w:rsidRPr="00206792">
              <w:t>Customized alerts in system; customized reports generated.</w:t>
            </w:r>
          </w:p>
        </w:tc>
      </w:tr>
      <w:bookmarkEnd w:id="147"/>
      <w:tr w:rsidR="00581F18" w:rsidRPr="00206792" w14:paraId="2390CFDC" w14:textId="77777777" w:rsidTr="008A190D">
        <w:trPr>
          <w:trHeight w:val="2218"/>
        </w:trPr>
        <w:tc>
          <w:tcPr>
            <w:tcW w:w="5000" w:type="pct"/>
            <w:gridSpan w:val="2"/>
            <w:shd w:val="clear" w:color="auto" w:fill="D9E2F3" w:themeFill="accent1" w:themeFillTint="33"/>
          </w:tcPr>
          <w:p w14:paraId="165ECD99" w14:textId="77777777" w:rsidR="00581F18" w:rsidRPr="00206792" w:rsidRDefault="00581F18" w:rsidP="008A190D">
            <w:pPr>
              <w:ind w:firstLine="0"/>
              <w:jc w:val="center"/>
            </w:pPr>
            <w:r w:rsidRPr="00206792">
              <w:rPr>
                <w:b/>
              </w:rPr>
              <w:t>Short-Term Outcomes</w:t>
            </w:r>
          </w:p>
          <w:p w14:paraId="41AE831F" w14:textId="77777777" w:rsidR="00581F18" w:rsidRPr="00206792" w:rsidRDefault="00581F18" w:rsidP="00C575C8">
            <w:pPr>
              <w:pStyle w:val="ListParagraph"/>
              <w:numPr>
                <w:ilvl w:val="0"/>
                <w:numId w:val="67"/>
              </w:numPr>
            </w:pPr>
            <w:r w:rsidRPr="00206792">
              <w:t>Increased interagency communication with Core Partners.</w:t>
            </w:r>
          </w:p>
          <w:p w14:paraId="5EE915A6" w14:textId="77777777" w:rsidR="00581F18" w:rsidRPr="00206792" w:rsidRDefault="00581F18" w:rsidP="00C575C8">
            <w:pPr>
              <w:pStyle w:val="ListParagraph"/>
              <w:numPr>
                <w:ilvl w:val="0"/>
                <w:numId w:val="67"/>
              </w:numPr>
            </w:pPr>
            <w:r w:rsidRPr="00206792">
              <w:t>Increased and more accurate reporting of Common Performance Measures.</w:t>
            </w:r>
          </w:p>
          <w:p w14:paraId="2EF075E5" w14:textId="77777777" w:rsidR="00581F18" w:rsidRPr="00206792" w:rsidRDefault="00581F18" w:rsidP="00C575C8">
            <w:pPr>
              <w:pStyle w:val="ListParagraph"/>
              <w:numPr>
                <w:ilvl w:val="0"/>
                <w:numId w:val="67"/>
              </w:numPr>
            </w:pPr>
            <w:r w:rsidRPr="00206792">
              <w:t>Increased client engagement rates.</w:t>
            </w:r>
          </w:p>
          <w:p w14:paraId="59E79DF1" w14:textId="77777777" w:rsidR="00581F18" w:rsidRPr="00206792" w:rsidRDefault="00581F18" w:rsidP="00C575C8">
            <w:pPr>
              <w:pStyle w:val="ListParagraph"/>
              <w:numPr>
                <w:ilvl w:val="0"/>
                <w:numId w:val="67"/>
              </w:numPr>
            </w:pPr>
            <w:r w:rsidRPr="00206792">
              <w:t>Decreased staff time in conducting reporting and documentation, more efficient client outreach.</w:t>
            </w:r>
          </w:p>
          <w:p w14:paraId="25A318E5" w14:textId="77777777" w:rsidR="00581F18" w:rsidRPr="00206792" w:rsidRDefault="00581F18" w:rsidP="00C575C8">
            <w:pPr>
              <w:pStyle w:val="ListParagraph"/>
              <w:numPr>
                <w:ilvl w:val="0"/>
                <w:numId w:val="67"/>
              </w:numPr>
            </w:pPr>
            <w:r w:rsidRPr="00206792">
              <w:t>Increased client satisfaction with SVRA.</w:t>
            </w:r>
          </w:p>
          <w:p w14:paraId="7CFEC3B5" w14:textId="77777777" w:rsidR="00581F18" w:rsidRPr="00206792" w:rsidRDefault="00581F18" w:rsidP="00C575C8">
            <w:pPr>
              <w:pStyle w:val="ListParagraph"/>
              <w:numPr>
                <w:ilvl w:val="0"/>
                <w:numId w:val="67"/>
              </w:numPr>
            </w:pPr>
            <w:r w:rsidRPr="00206792">
              <w:t>Increased client retention and training / service completion.</w:t>
            </w:r>
          </w:p>
          <w:p w14:paraId="54A6F1A3" w14:textId="77777777" w:rsidR="00581F18" w:rsidRPr="00206792" w:rsidRDefault="00581F18" w:rsidP="00623C47">
            <w:pPr>
              <w:pStyle w:val="ListParagraph"/>
              <w:ind w:left="360"/>
              <w:rPr>
                <w:b/>
              </w:rPr>
            </w:pPr>
          </w:p>
        </w:tc>
      </w:tr>
    </w:tbl>
    <w:p w14:paraId="64F96DA6" w14:textId="77777777" w:rsidR="0067196C" w:rsidRDefault="0067196C" w:rsidP="0067196C">
      <w:pPr>
        <w:pBdr>
          <w:bottom w:val="single" w:sz="24" w:space="1" w:color="auto"/>
        </w:pBdr>
        <w:spacing w:after="0"/>
        <w:jc w:val="center"/>
        <w:rPr>
          <w:b/>
          <w:sz w:val="36"/>
        </w:rPr>
      </w:pPr>
      <w:r>
        <w:rPr>
          <w:b/>
          <w:sz w:val="36"/>
        </w:rPr>
        <w:br w:type="page"/>
      </w:r>
    </w:p>
    <w:p w14:paraId="682F3ABF" w14:textId="7F08DE58" w:rsidR="0067196C" w:rsidRPr="00B6593E" w:rsidRDefault="0067196C" w:rsidP="0067196C">
      <w:pPr>
        <w:pStyle w:val="Heading2"/>
      </w:pPr>
      <w:bookmarkStart w:id="148" w:name="_Toc41940262"/>
      <w:r w:rsidRPr="00B6593E">
        <w:lastRenderedPageBreak/>
        <w:t>Sara Pilots Context</w:t>
      </w:r>
      <w:bookmarkEnd w:id="148"/>
    </w:p>
    <w:p w14:paraId="76EDB09D" w14:textId="77777777" w:rsidR="0067196C" w:rsidRPr="00B6593E" w:rsidRDefault="0067196C" w:rsidP="0067196C">
      <w:pPr>
        <w:rPr>
          <w:u w:val="single"/>
        </w:rPr>
      </w:pPr>
    </w:p>
    <w:p w14:paraId="179D6136" w14:textId="77777777" w:rsidR="0067196C" w:rsidRPr="00B6593E" w:rsidRDefault="0067196C" w:rsidP="0067196C">
      <w:pPr>
        <w:rPr>
          <w:u w:val="single"/>
        </w:rPr>
      </w:pPr>
      <w:r w:rsidRPr="00B6593E">
        <w:rPr>
          <w:u w:val="single"/>
        </w:rPr>
        <w:t>Table 1. Pilot Implementation Information</w:t>
      </w:r>
    </w:p>
    <w:tbl>
      <w:tblPr>
        <w:tblStyle w:val="GridTable5Dark-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ilot information table for SARA"/>
        <w:tblDescription w:val="Shows pilot implementation information for Alaska, Kentucky and Nevada"/>
      </w:tblPr>
      <w:tblGrid>
        <w:gridCol w:w="2337"/>
        <w:gridCol w:w="2337"/>
        <w:gridCol w:w="2338"/>
        <w:gridCol w:w="2338"/>
      </w:tblGrid>
      <w:tr w:rsidR="0067196C" w:rsidRPr="00B6593E" w14:paraId="475A255A" w14:textId="77777777" w:rsidTr="00A404F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37" w:type="dxa"/>
            <w:tcBorders>
              <w:top w:val="none" w:sz="0" w:space="0" w:color="auto"/>
              <w:left w:val="none" w:sz="0" w:space="0" w:color="auto"/>
              <w:right w:val="none" w:sz="0" w:space="0" w:color="auto"/>
            </w:tcBorders>
          </w:tcPr>
          <w:p w14:paraId="0BA716EF" w14:textId="77777777" w:rsidR="0067196C" w:rsidRPr="00B6593E" w:rsidRDefault="0067196C" w:rsidP="00623C47">
            <w:pPr>
              <w:jc w:val="center"/>
            </w:pPr>
            <w:bookmarkStart w:id="149" w:name="_GoBack" w:colFirst="0" w:colLast="4"/>
          </w:p>
        </w:tc>
        <w:tc>
          <w:tcPr>
            <w:tcW w:w="2337" w:type="dxa"/>
            <w:tcBorders>
              <w:top w:val="none" w:sz="0" w:space="0" w:color="auto"/>
              <w:left w:val="none" w:sz="0" w:space="0" w:color="auto"/>
              <w:right w:val="none" w:sz="0" w:space="0" w:color="auto"/>
            </w:tcBorders>
          </w:tcPr>
          <w:p w14:paraId="242778C9" w14:textId="77777777" w:rsidR="0067196C" w:rsidRPr="00B6593E" w:rsidRDefault="0067196C" w:rsidP="0067196C">
            <w:pPr>
              <w:ind w:hanging="104"/>
              <w:jc w:val="center"/>
              <w:cnfStyle w:val="100000000000" w:firstRow="1" w:lastRow="0" w:firstColumn="0" w:lastColumn="0" w:oddVBand="0" w:evenVBand="0" w:oddHBand="0" w:evenHBand="0" w:firstRowFirstColumn="0" w:firstRowLastColumn="0" w:lastRowFirstColumn="0" w:lastRowLastColumn="0"/>
            </w:pPr>
            <w:r w:rsidRPr="00B6593E">
              <w:t>Alaska</w:t>
            </w:r>
          </w:p>
        </w:tc>
        <w:tc>
          <w:tcPr>
            <w:tcW w:w="2338" w:type="dxa"/>
            <w:tcBorders>
              <w:top w:val="none" w:sz="0" w:space="0" w:color="auto"/>
              <w:left w:val="none" w:sz="0" w:space="0" w:color="auto"/>
              <w:right w:val="none" w:sz="0" w:space="0" w:color="auto"/>
            </w:tcBorders>
          </w:tcPr>
          <w:p w14:paraId="19518612" w14:textId="77777777" w:rsidR="0067196C" w:rsidRPr="00B6593E" w:rsidRDefault="0067196C" w:rsidP="0067196C">
            <w:pPr>
              <w:ind w:hanging="14"/>
              <w:jc w:val="center"/>
              <w:cnfStyle w:val="100000000000" w:firstRow="1" w:lastRow="0" w:firstColumn="0" w:lastColumn="0" w:oddVBand="0" w:evenVBand="0" w:oddHBand="0" w:evenHBand="0" w:firstRowFirstColumn="0" w:firstRowLastColumn="0" w:lastRowFirstColumn="0" w:lastRowLastColumn="0"/>
            </w:pPr>
            <w:r w:rsidRPr="00B6593E">
              <w:t>Kentucky</w:t>
            </w:r>
          </w:p>
        </w:tc>
        <w:tc>
          <w:tcPr>
            <w:tcW w:w="2338" w:type="dxa"/>
            <w:tcBorders>
              <w:top w:val="none" w:sz="0" w:space="0" w:color="auto"/>
              <w:left w:val="none" w:sz="0" w:space="0" w:color="auto"/>
              <w:right w:val="none" w:sz="0" w:space="0" w:color="auto"/>
            </w:tcBorders>
          </w:tcPr>
          <w:p w14:paraId="67912C37" w14:textId="77777777" w:rsidR="0067196C" w:rsidRPr="00B6593E" w:rsidRDefault="0067196C" w:rsidP="0067196C">
            <w:pPr>
              <w:ind w:hanging="14"/>
              <w:jc w:val="center"/>
              <w:cnfStyle w:val="100000000000" w:firstRow="1" w:lastRow="0" w:firstColumn="0" w:lastColumn="0" w:oddVBand="0" w:evenVBand="0" w:oddHBand="0" w:evenHBand="0" w:firstRowFirstColumn="0" w:firstRowLastColumn="0" w:lastRowFirstColumn="0" w:lastRowLastColumn="0"/>
            </w:pPr>
            <w:r w:rsidRPr="00B6593E">
              <w:t>Nevada</w:t>
            </w:r>
          </w:p>
        </w:tc>
      </w:tr>
      <w:bookmarkEnd w:id="149"/>
      <w:tr w:rsidR="0067196C" w:rsidRPr="00B6593E" w14:paraId="0A83AE88" w14:textId="77777777" w:rsidTr="00623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6857D2B2" w14:textId="77777777" w:rsidR="0067196C" w:rsidRPr="00B6593E" w:rsidRDefault="0067196C" w:rsidP="0067196C">
            <w:pPr>
              <w:ind w:hanging="30"/>
            </w:pPr>
            <w:r w:rsidRPr="00B6593E">
              <w:t>Date ITA Signed</w:t>
            </w:r>
          </w:p>
        </w:tc>
        <w:tc>
          <w:tcPr>
            <w:tcW w:w="2337" w:type="dxa"/>
          </w:tcPr>
          <w:p w14:paraId="0C3AF12D" w14:textId="77777777" w:rsidR="0067196C" w:rsidRPr="00B6593E" w:rsidRDefault="0067196C" w:rsidP="0067196C">
            <w:pPr>
              <w:ind w:firstLine="0"/>
              <w:cnfStyle w:val="000000100000" w:firstRow="0" w:lastRow="0" w:firstColumn="0" w:lastColumn="0" w:oddVBand="0" w:evenVBand="0" w:oddHBand="1" w:evenHBand="0" w:firstRowFirstColumn="0" w:firstRowLastColumn="0" w:lastRowFirstColumn="0" w:lastRowLastColumn="0"/>
            </w:pPr>
            <w:r w:rsidRPr="00B6593E">
              <w:t>10/20/2016</w:t>
            </w:r>
          </w:p>
        </w:tc>
        <w:tc>
          <w:tcPr>
            <w:tcW w:w="2338" w:type="dxa"/>
          </w:tcPr>
          <w:p w14:paraId="4C42FE26" w14:textId="77777777" w:rsidR="0067196C" w:rsidRPr="00B6593E" w:rsidRDefault="0067196C" w:rsidP="0067196C">
            <w:pPr>
              <w:ind w:hanging="14"/>
              <w:cnfStyle w:val="000000100000" w:firstRow="0" w:lastRow="0" w:firstColumn="0" w:lastColumn="0" w:oddVBand="0" w:evenVBand="0" w:oddHBand="1" w:evenHBand="0" w:firstRowFirstColumn="0" w:firstRowLastColumn="0" w:lastRowFirstColumn="0" w:lastRowLastColumn="0"/>
            </w:pPr>
            <w:r w:rsidRPr="00B6593E">
              <w:t>10/20/2016</w:t>
            </w:r>
          </w:p>
        </w:tc>
        <w:tc>
          <w:tcPr>
            <w:tcW w:w="2338" w:type="dxa"/>
          </w:tcPr>
          <w:p w14:paraId="411CD77D" w14:textId="77777777" w:rsidR="0067196C" w:rsidRPr="00B6593E" w:rsidRDefault="0067196C" w:rsidP="0067196C">
            <w:pPr>
              <w:ind w:hanging="14"/>
              <w:cnfStyle w:val="000000100000" w:firstRow="0" w:lastRow="0" w:firstColumn="0" w:lastColumn="0" w:oddVBand="0" w:evenVBand="0" w:oddHBand="1" w:evenHBand="0" w:firstRowFirstColumn="0" w:firstRowLastColumn="0" w:lastRowFirstColumn="0" w:lastRowLastColumn="0"/>
            </w:pPr>
            <w:r w:rsidRPr="00B6593E">
              <w:t>10/20/2016</w:t>
            </w:r>
          </w:p>
        </w:tc>
      </w:tr>
      <w:tr w:rsidR="0067196C" w:rsidRPr="00B6593E" w14:paraId="3591F130" w14:textId="77777777" w:rsidTr="00623C47">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78CB3BE5" w14:textId="77777777" w:rsidR="0067196C" w:rsidRPr="00B6593E" w:rsidRDefault="0067196C" w:rsidP="0067196C">
            <w:pPr>
              <w:ind w:hanging="30"/>
            </w:pPr>
            <w:r w:rsidRPr="00B6593E">
              <w:t>Date Data Sharing Agreement was Signed</w:t>
            </w:r>
          </w:p>
        </w:tc>
        <w:tc>
          <w:tcPr>
            <w:tcW w:w="2337" w:type="dxa"/>
          </w:tcPr>
          <w:p w14:paraId="27C5ABA4" w14:textId="77777777" w:rsidR="0067196C" w:rsidRPr="00B6593E" w:rsidRDefault="0067196C" w:rsidP="0067196C">
            <w:pPr>
              <w:ind w:firstLine="0"/>
              <w:cnfStyle w:val="000000000000" w:firstRow="0" w:lastRow="0" w:firstColumn="0" w:lastColumn="0" w:oddVBand="0" w:evenVBand="0" w:oddHBand="0" w:evenHBand="0" w:firstRowFirstColumn="0" w:firstRowLastColumn="0" w:lastRowFirstColumn="0" w:lastRowLastColumn="0"/>
            </w:pPr>
            <w:r w:rsidRPr="00B6593E">
              <w:t>9/7/18</w:t>
            </w:r>
          </w:p>
        </w:tc>
        <w:tc>
          <w:tcPr>
            <w:tcW w:w="2338" w:type="dxa"/>
          </w:tcPr>
          <w:p w14:paraId="65567856"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4/17/17</w:t>
            </w:r>
          </w:p>
        </w:tc>
        <w:tc>
          <w:tcPr>
            <w:tcW w:w="2338" w:type="dxa"/>
          </w:tcPr>
          <w:p w14:paraId="41535934"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TBD</w:t>
            </w:r>
          </w:p>
        </w:tc>
      </w:tr>
      <w:tr w:rsidR="0067196C" w:rsidRPr="00B6593E" w14:paraId="2375AFCB" w14:textId="77777777" w:rsidTr="00623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3ADE9B59" w14:textId="77777777" w:rsidR="0067196C" w:rsidRPr="00B6593E" w:rsidRDefault="0067196C" w:rsidP="0067196C">
            <w:pPr>
              <w:ind w:hanging="30"/>
            </w:pPr>
            <w:r w:rsidRPr="00B6593E">
              <w:t>Date SARA Went Live with VR</w:t>
            </w:r>
          </w:p>
        </w:tc>
        <w:tc>
          <w:tcPr>
            <w:tcW w:w="2337" w:type="dxa"/>
          </w:tcPr>
          <w:p w14:paraId="08FA882B" w14:textId="77777777" w:rsidR="0067196C" w:rsidRPr="00B6593E" w:rsidRDefault="0067196C" w:rsidP="0067196C">
            <w:pPr>
              <w:ind w:firstLine="0"/>
              <w:cnfStyle w:val="000000100000" w:firstRow="0" w:lastRow="0" w:firstColumn="0" w:lastColumn="0" w:oddVBand="0" w:evenVBand="0" w:oddHBand="1" w:evenHBand="0" w:firstRowFirstColumn="0" w:firstRowLastColumn="0" w:lastRowFirstColumn="0" w:lastRowLastColumn="0"/>
            </w:pPr>
            <w:r w:rsidRPr="00B6593E">
              <w:t>10/3/17</w:t>
            </w:r>
          </w:p>
        </w:tc>
        <w:tc>
          <w:tcPr>
            <w:tcW w:w="2338" w:type="dxa"/>
          </w:tcPr>
          <w:p w14:paraId="0E467D24" w14:textId="77777777" w:rsidR="0067196C" w:rsidRPr="00B6593E" w:rsidRDefault="0067196C" w:rsidP="0067196C">
            <w:pPr>
              <w:ind w:hanging="14"/>
              <w:cnfStyle w:val="000000100000" w:firstRow="0" w:lastRow="0" w:firstColumn="0" w:lastColumn="0" w:oddVBand="0" w:evenVBand="0" w:oddHBand="1" w:evenHBand="0" w:firstRowFirstColumn="0" w:firstRowLastColumn="0" w:lastRowFirstColumn="0" w:lastRowLastColumn="0"/>
            </w:pPr>
            <w:r w:rsidRPr="00B6593E">
              <w:t>4/12/17</w:t>
            </w:r>
          </w:p>
        </w:tc>
        <w:tc>
          <w:tcPr>
            <w:tcW w:w="2338" w:type="dxa"/>
          </w:tcPr>
          <w:p w14:paraId="413B854D" w14:textId="77777777" w:rsidR="0067196C" w:rsidRPr="00B6593E" w:rsidRDefault="0067196C" w:rsidP="0067196C">
            <w:pPr>
              <w:ind w:hanging="14"/>
              <w:cnfStyle w:val="000000100000" w:firstRow="0" w:lastRow="0" w:firstColumn="0" w:lastColumn="0" w:oddVBand="0" w:evenVBand="0" w:oddHBand="1" w:evenHBand="0" w:firstRowFirstColumn="0" w:firstRowLastColumn="0" w:lastRowFirstColumn="0" w:lastRowLastColumn="0"/>
            </w:pPr>
            <w:r w:rsidRPr="00B6593E">
              <w:t>1/25/18</w:t>
            </w:r>
          </w:p>
        </w:tc>
      </w:tr>
      <w:tr w:rsidR="0067196C" w:rsidRPr="00B6593E" w14:paraId="4575069D" w14:textId="77777777" w:rsidTr="00623C47">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74E5C9E5" w14:textId="77777777" w:rsidR="0067196C" w:rsidRPr="00B6593E" w:rsidRDefault="0067196C" w:rsidP="0067196C">
            <w:pPr>
              <w:ind w:hanging="30"/>
            </w:pPr>
            <w:r w:rsidRPr="00B6593E">
              <w:t>Dates of Staff Training with VR</w:t>
            </w:r>
          </w:p>
        </w:tc>
        <w:tc>
          <w:tcPr>
            <w:tcW w:w="2337" w:type="dxa"/>
          </w:tcPr>
          <w:p w14:paraId="2E7F5D83" w14:textId="77777777" w:rsidR="0067196C" w:rsidRPr="00B6593E" w:rsidRDefault="0067196C" w:rsidP="0067196C">
            <w:pPr>
              <w:ind w:firstLine="0"/>
              <w:cnfStyle w:val="000000000000" w:firstRow="0" w:lastRow="0" w:firstColumn="0" w:lastColumn="0" w:oddVBand="0" w:evenVBand="0" w:oddHBand="0" w:evenHBand="0" w:firstRowFirstColumn="0" w:firstRowLastColumn="0" w:lastRowFirstColumn="0" w:lastRowLastColumn="0"/>
            </w:pPr>
            <w:r w:rsidRPr="00B6593E">
              <w:t>10/3/17 – 10/4/2017</w:t>
            </w:r>
          </w:p>
        </w:tc>
        <w:tc>
          <w:tcPr>
            <w:tcW w:w="2338" w:type="dxa"/>
          </w:tcPr>
          <w:p w14:paraId="6733463A"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4/10/17 -4/11/17</w:t>
            </w:r>
          </w:p>
        </w:tc>
        <w:tc>
          <w:tcPr>
            <w:tcW w:w="2338" w:type="dxa"/>
          </w:tcPr>
          <w:p w14:paraId="3519FE88"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9/5/17 – 9/8/17</w:t>
            </w:r>
          </w:p>
          <w:p w14:paraId="41466A9E"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1/22/18 – 1/25/18</w:t>
            </w:r>
          </w:p>
        </w:tc>
      </w:tr>
      <w:tr w:rsidR="0067196C" w:rsidRPr="00B6593E" w14:paraId="7BF928C0" w14:textId="77777777" w:rsidTr="00623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358B9F5C" w14:textId="77777777" w:rsidR="0067196C" w:rsidRPr="00B6593E" w:rsidRDefault="0067196C" w:rsidP="0067196C">
            <w:pPr>
              <w:ind w:hanging="30"/>
            </w:pPr>
            <w:r w:rsidRPr="00B6593E">
              <w:t># of Onsite Visits with VR</w:t>
            </w:r>
          </w:p>
        </w:tc>
        <w:tc>
          <w:tcPr>
            <w:tcW w:w="2337" w:type="dxa"/>
          </w:tcPr>
          <w:p w14:paraId="486D5C98" w14:textId="77777777" w:rsidR="0067196C" w:rsidRPr="00B6593E" w:rsidRDefault="0067196C" w:rsidP="0067196C">
            <w:pPr>
              <w:ind w:firstLine="0"/>
              <w:cnfStyle w:val="000000100000" w:firstRow="0" w:lastRow="0" w:firstColumn="0" w:lastColumn="0" w:oddVBand="0" w:evenVBand="0" w:oddHBand="1" w:evenHBand="0" w:firstRowFirstColumn="0" w:firstRowLastColumn="0" w:lastRowFirstColumn="0" w:lastRowLastColumn="0"/>
            </w:pPr>
            <w:r w:rsidRPr="00B6593E">
              <w:t>2</w:t>
            </w:r>
          </w:p>
        </w:tc>
        <w:tc>
          <w:tcPr>
            <w:tcW w:w="2338" w:type="dxa"/>
          </w:tcPr>
          <w:p w14:paraId="26861AB2" w14:textId="77777777" w:rsidR="0067196C" w:rsidRPr="00B6593E" w:rsidRDefault="0067196C" w:rsidP="0067196C">
            <w:pPr>
              <w:ind w:hanging="14"/>
              <w:cnfStyle w:val="000000100000" w:firstRow="0" w:lastRow="0" w:firstColumn="0" w:lastColumn="0" w:oddVBand="0" w:evenVBand="0" w:oddHBand="1" w:evenHBand="0" w:firstRowFirstColumn="0" w:firstRowLastColumn="0" w:lastRowFirstColumn="0" w:lastRowLastColumn="0"/>
            </w:pPr>
            <w:r w:rsidRPr="00B6593E">
              <w:t>4</w:t>
            </w:r>
          </w:p>
        </w:tc>
        <w:tc>
          <w:tcPr>
            <w:tcW w:w="2338" w:type="dxa"/>
          </w:tcPr>
          <w:p w14:paraId="01BAF296" w14:textId="77777777" w:rsidR="0067196C" w:rsidRPr="00B6593E" w:rsidRDefault="0067196C" w:rsidP="0067196C">
            <w:pPr>
              <w:ind w:hanging="14"/>
              <w:cnfStyle w:val="000000100000" w:firstRow="0" w:lastRow="0" w:firstColumn="0" w:lastColumn="0" w:oddVBand="0" w:evenVBand="0" w:oddHBand="1" w:evenHBand="0" w:firstRowFirstColumn="0" w:firstRowLastColumn="0" w:lastRowFirstColumn="0" w:lastRowLastColumn="0"/>
            </w:pPr>
            <w:r w:rsidRPr="00B6593E">
              <w:t>3</w:t>
            </w:r>
          </w:p>
        </w:tc>
      </w:tr>
      <w:tr w:rsidR="0067196C" w:rsidRPr="00B6593E" w14:paraId="36845BB1" w14:textId="77777777" w:rsidTr="00623C47">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209D39CD" w14:textId="77777777" w:rsidR="0067196C" w:rsidRPr="00B6593E" w:rsidRDefault="0067196C" w:rsidP="0067196C">
            <w:pPr>
              <w:ind w:hanging="30"/>
            </w:pPr>
            <w:r w:rsidRPr="00B6593E">
              <w:t>Date SARA Went Live with Partners</w:t>
            </w:r>
          </w:p>
        </w:tc>
        <w:tc>
          <w:tcPr>
            <w:tcW w:w="2337" w:type="dxa"/>
          </w:tcPr>
          <w:p w14:paraId="4ABF352E" w14:textId="77777777" w:rsidR="0067196C" w:rsidRPr="00B6593E" w:rsidRDefault="0067196C" w:rsidP="0067196C">
            <w:pPr>
              <w:ind w:firstLine="0"/>
              <w:cnfStyle w:val="000000000000" w:firstRow="0" w:lastRow="0" w:firstColumn="0" w:lastColumn="0" w:oddVBand="0" w:evenVBand="0" w:oddHBand="0" w:evenHBand="0" w:firstRowFirstColumn="0" w:firstRowLastColumn="0" w:lastRowFirstColumn="0" w:lastRowLastColumn="0"/>
            </w:pPr>
            <w:r w:rsidRPr="00B6593E">
              <w:t>Title I: 2/22/17</w:t>
            </w:r>
          </w:p>
          <w:p w14:paraId="2467F909" w14:textId="77777777" w:rsidR="0067196C" w:rsidRPr="00B6593E" w:rsidRDefault="0067196C" w:rsidP="0067196C">
            <w:pPr>
              <w:ind w:firstLine="0"/>
              <w:cnfStyle w:val="000000000000" w:firstRow="0" w:lastRow="0" w:firstColumn="0" w:lastColumn="0" w:oddVBand="0" w:evenVBand="0" w:oddHBand="0" w:evenHBand="0" w:firstRowFirstColumn="0" w:firstRowLastColumn="0" w:lastRowFirstColumn="0" w:lastRowLastColumn="0"/>
            </w:pPr>
            <w:r w:rsidRPr="00B6593E">
              <w:t>Title III: 2/22/17</w:t>
            </w:r>
          </w:p>
          <w:p w14:paraId="43C98125" w14:textId="77777777" w:rsidR="0067196C" w:rsidRPr="00B6593E" w:rsidRDefault="0067196C" w:rsidP="0067196C">
            <w:pPr>
              <w:ind w:firstLine="0"/>
              <w:cnfStyle w:val="000000000000" w:firstRow="0" w:lastRow="0" w:firstColumn="0" w:lastColumn="0" w:oddVBand="0" w:evenVBand="0" w:oddHBand="0" w:evenHBand="0" w:firstRowFirstColumn="0" w:firstRowLastColumn="0" w:lastRowFirstColumn="0" w:lastRowLastColumn="0"/>
            </w:pPr>
            <w:r w:rsidRPr="00B6593E">
              <w:t>DEI: 2/22/17</w:t>
            </w:r>
          </w:p>
        </w:tc>
        <w:tc>
          <w:tcPr>
            <w:tcW w:w="2338" w:type="dxa"/>
          </w:tcPr>
          <w:p w14:paraId="246C4F18"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Title I &amp; III: 6/27/17</w:t>
            </w:r>
          </w:p>
          <w:p w14:paraId="6A231FB6"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Title II: 6/13/17</w:t>
            </w:r>
          </w:p>
          <w:p w14:paraId="60847AB5"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TANF: 6/30/17</w:t>
            </w:r>
          </w:p>
        </w:tc>
        <w:tc>
          <w:tcPr>
            <w:tcW w:w="2338" w:type="dxa"/>
          </w:tcPr>
          <w:p w14:paraId="556459AE"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Title I &amp; III: 10/16/18</w:t>
            </w:r>
          </w:p>
          <w:p w14:paraId="05D13F95"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Title II: 9/8/17</w:t>
            </w:r>
          </w:p>
          <w:p w14:paraId="4780E2AA"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DWSS: 3/18/19</w:t>
            </w:r>
          </w:p>
        </w:tc>
      </w:tr>
      <w:tr w:rsidR="0067196C" w:rsidRPr="00B6593E" w14:paraId="656ECAC9" w14:textId="77777777" w:rsidTr="00623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0EBE572B" w14:textId="77777777" w:rsidR="0067196C" w:rsidRPr="00B6593E" w:rsidRDefault="0067196C" w:rsidP="0067196C">
            <w:pPr>
              <w:ind w:hanging="30"/>
            </w:pPr>
            <w:r w:rsidRPr="00B6593E">
              <w:t xml:space="preserve">Dates of Staff Training with Partners </w:t>
            </w:r>
          </w:p>
        </w:tc>
        <w:tc>
          <w:tcPr>
            <w:tcW w:w="2337" w:type="dxa"/>
          </w:tcPr>
          <w:p w14:paraId="3722B323" w14:textId="77777777" w:rsidR="0067196C" w:rsidRPr="00B6593E" w:rsidRDefault="0067196C" w:rsidP="0067196C">
            <w:pPr>
              <w:ind w:firstLine="0"/>
              <w:cnfStyle w:val="000000100000" w:firstRow="0" w:lastRow="0" w:firstColumn="0" w:lastColumn="0" w:oddVBand="0" w:evenVBand="0" w:oddHBand="1" w:evenHBand="0" w:firstRowFirstColumn="0" w:firstRowLastColumn="0" w:lastRowFirstColumn="0" w:lastRowLastColumn="0"/>
            </w:pPr>
            <w:r w:rsidRPr="00B6593E">
              <w:t>Title I: 2/17/17</w:t>
            </w:r>
          </w:p>
          <w:p w14:paraId="493F0721" w14:textId="77777777" w:rsidR="0067196C" w:rsidRPr="00B6593E" w:rsidRDefault="0067196C" w:rsidP="0067196C">
            <w:pPr>
              <w:ind w:firstLine="0"/>
              <w:cnfStyle w:val="000000100000" w:firstRow="0" w:lastRow="0" w:firstColumn="0" w:lastColumn="0" w:oddVBand="0" w:evenVBand="0" w:oddHBand="1" w:evenHBand="0" w:firstRowFirstColumn="0" w:firstRowLastColumn="0" w:lastRowFirstColumn="0" w:lastRowLastColumn="0"/>
            </w:pPr>
            <w:r w:rsidRPr="00B6593E">
              <w:t>Title III: 2/17/17</w:t>
            </w:r>
          </w:p>
          <w:p w14:paraId="1201466C" w14:textId="77777777" w:rsidR="0067196C" w:rsidRPr="00B6593E" w:rsidRDefault="0067196C" w:rsidP="0067196C">
            <w:pPr>
              <w:ind w:firstLine="0"/>
              <w:cnfStyle w:val="000000100000" w:firstRow="0" w:lastRow="0" w:firstColumn="0" w:lastColumn="0" w:oddVBand="0" w:evenVBand="0" w:oddHBand="1" w:evenHBand="0" w:firstRowFirstColumn="0" w:firstRowLastColumn="0" w:lastRowFirstColumn="0" w:lastRowLastColumn="0"/>
            </w:pPr>
            <w:r w:rsidRPr="00B6593E">
              <w:t>DEI: 2/17/17</w:t>
            </w:r>
          </w:p>
        </w:tc>
        <w:tc>
          <w:tcPr>
            <w:tcW w:w="2338" w:type="dxa"/>
          </w:tcPr>
          <w:p w14:paraId="55F75102" w14:textId="77777777" w:rsidR="0067196C" w:rsidRPr="00B6593E" w:rsidRDefault="0067196C" w:rsidP="0067196C">
            <w:pPr>
              <w:ind w:hanging="14"/>
              <w:cnfStyle w:val="000000100000" w:firstRow="0" w:lastRow="0" w:firstColumn="0" w:lastColumn="0" w:oddVBand="0" w:evenVBand="0" w:oddHBand="1" w:evenHBand="0" w:firstRowFirstColumn="0" w:firstRowLastColumn="0" w:lastRowFirstColumn="0" w:lastRowLastColumn="0"/>
            </w:pPr>
            <w:r w:rsidRPr="00B6593E">
              <w:t>Title I &amp; III: 6/21/17</w:t>
            </w:r>
          </w:p>
          <w:p w14:paraId="0BEBA746" w14:textId="77777777" w:rsidR="0067196C" w:rsidRPr="00B6593E" w:rsidRDefault="0067196C" w:rsidP="0067196C">
            <w:pPr>
              <w:ind w:hanging="14"/>
              <w:cnfStyle w:val="000000100000" w:firstRow="0" w:lastRow="0" w:firstColumn="0" w:lastColumn="0" w:oddVBand="0" w:evenVBand="0" w:oddHBand="1" w:evenHBand="0" w:firstRowFirstColumn="0" w:firstRowLastColumn="0" w:lastRowFirstColumn="0" w:lastRowLastColumn="0"/>
            </w:pPr>
            <w:r w:rsidRPr="00B6593E">
              <w:t>Title II: 6/12/17</w:t>
            </w:r>
          </w:p>
          <w:p w14:paraId="6A7CF155" w14:textId="77777777" w:rsidR="0067196C" w:rsidRPr="00B6593E" w:rsidRDefault="0067196C" w:rsidP="0067196C">
            <w:pPr>
              <w:ind w:hanging="14"/>
              <w:cnfStyle w:val="000000100000" w:firstRow="0" w:lastRow="0" w:firstColumn="0" w:lastColumn="0" w:oddVBand="0" w:evenVBand="0" w:oddHBand="1" w:evenHBand="0" w:firstRowFirstColumn="0" w:firstRowLastColumn="0" w:lastRowFirstColumn="0" w:lastRowLastColumn="0"/>
            </w:pPr>
            <w:r w:rsidRPr="00B6593E">
              <w:t>TANF: 6/12/17</w:t>
            </w:r>
          </w:p>
        </w:tc>
        <w:tc>
          <w:tcPr>
            <w:tcW w:w="2338" w:type="dxa"/>
          </w:tcPr>
          <w:p w14:paraId="56433FF7" w14:textId="77777777" w:rsidR="0067196C" w:rsidRPr="00B6593E" w:rsidRDefault="0067196C" w:rsidP="0067196C">
            <w:pPr>
              <w:ind w:hanging="14"/>
              <w:cnfStyle w:val="000000100000" w:firstRow="0" w:lastRow="0" w:firstColumn="0" w:lastColumn="0" w:oddVBand="0" w:evenVBand="0" w:oddHBand="1" w:evenHBand="0" w:firstRowFirstColumn="0" w:firstRowLastColumn="0" w:lastRowFirstColumn="0" w:lastRowLastColumn="0"/>
            </w:pPr>
            <w:r w:rsidRPr="00B6593E">
              <w:t>Title I &amp; III:10/9/18 – 10/12/18</w:t>
            </w:r>
          </w:p>
          <w:p w14:paraId="6CF9CAC2" w14:textId="77777777" w:rsidR="0067196C" w:rsidRPr="00B6593E" w:rsidRDefault="0067196C" w:rsidP="0067196C">
            <w:pPr>
              <w:ind w:hanging="14"/>
              <w:cnfStyle w:val="000000100000" w:firstRow="0" w:lastRow="0" w:firstColumn="0" w:lastColumn="0" w:oddVBand="0" w:evenVBand="0" w:oddHBand="1" w:evenHBand="0" w:firstRowFirstColumn="0" w:firstRowLastColumn="0" w:lastRowFirstColumn="0" w:lastRowLastColumn="0"/>
            </w:pPr>
            <w:r w:rsidRPr="00B6593E">
              <w:t>Title II: 9/1/17</w:t>
            </w:r>
          </w:p>
          <w:p w14:paraId="45E4611F" w14:textId="77777777" w:rsidR="0067196C" w:rsidRPr="00B6593E" w:rsidRDefault="0067196C" w:rsidP="0067196C">
            <w:pPr>
              <w:ind w:hanging="14"/>
              <w:cnfStyle w:val="000000100000" w:firstRow="0" w:lastRow="0" w:firstColumn="0" w:lastColumn="0" w:oddVBand="0" w:evenVBand="0" w:oddHBand="1" w:evenHBand="0" w:firstRowFirstColumn="0" w:firstRowLastColumn="0" w:lastRowFirstColumn="0" w:lastRowLastColumn="0"/>
            </w:pPr>
            <w:r w:rsidRPr="00B6593E">
              <w:t>DWSS: 3/12/19 – 3/15/19</w:t>
            </w:r>
          </w:p>
        </w:tc>
      </w:tr>
      <w:tr w:rsidR="0067196C" w:rsidRPr="00B6593E" w14:paraId="4E4A02B6" w14:textId="77777777" w:rsidTr="00623C47">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666669C4" w14:textId="77777777" w:rsidR="0067196C" w:rsidRPr="00B6593E" w:rsidRDefault="0067196C" w:rsidP="0067196C">
            <w:pPr>
              <w:ind w:hanging="30"/>
            </w:pPr>
            <w:r w:rsidRPr="00B6593E">
              <w:t># of Onsite Visits with Partners</w:t>
            </w:r>
          </w:p>
        </w:tc>
        <w:tc>
          <w:tcPr>
            <w:tcW w:w="2337" w:type="dxa"/>
          </w:tcPr>
          <w:p w14:paraId="01F481DD" w14:textId="77777777" w:rsidR="0067196C" w:rsidRPr="00B6593E" w:rsidRDefault="0067196C" w:rsidP="0067196C">
            <w:pPr>
              <w:ind w:firstLine="0"/>
              <w:cnfStyle w:val="000000000000" w:firstRow="0" w:lastRow="0" w:firstColumn="0" w:lastColumn="0" w:oddVBand="0" w:evenVBand="0" w:oddHBand="0" w:evenHBand="0" w:firstRowFirstColumn="0" w:firstRowLastColumn="0" w:lastRowFirstColumn="0" w:lastRowLastColumn="0"/>
            </w:pPr>
            <w:r w:rsidRPr="00B6593E">
              <w:t>Title I: 1</w:t>
            </w:r>
          </w:p>
          <w:p w14:paraId="1C269FDA" w14:textId="77777777" w:rsidR="0067196C" w:rsidRPr="00B6593E" w:rsidRDefault="0067196C" w:rsidP="0067196C">
            <w:pPr>
              <w:ind w:firstLine="0"/>
              <w:cnfStyle w:val="000000000000" w:firstRow="0" w:lastRow="0" w:firstColumn="0" w:lastColumn="0" w:oddVBand="0" w:evenVBand="0" w:oddHBand="0" w:evenHBand="0" w:firstRowFirstColumn="0" w:firstRowLastColumn="0" w:lastRowFirstColumn="0" w:lastRowLastColumn="0"/>
            </w:pPr>
            <w:r w:rsidRPr="00B6593E">
              <w:t>Title III: 1</w:t>
            </w:r>
          </w:p>
          <w:p w14:paraId="10CF3A41" w14:textId="77777777" w:rsidR="0067196C" w:rsidRPr="00B6593E" w:rsidRDefault="0067196C" w:rsidP="0067196C">
            <w:pPr>
              <w:ind w:firstLine="0"/>
              <w:cnfStyle w:val="000000000000" w:firstRow="0" w:lastRow="0" w:firstColumn="0" w:lastColumn="0" w:oddVBand="0" w:evenVBand="0" w:oddHBand="0" w:evenHBand="0" w:firstRowFirstColumn="0" w:firstRowLastColumn="0" w:lastRowFirstColumn="0" w:lastRowLastColumn="0"/>
            </w:pPr>
            <w:r w:rsidRPr="00B6593E">
              <w:t>DEI: 1</w:t>
            </w:r>
          </w:p>
        </w:tc>
        <w:tc>
          <w:tcPr>
            <w:tcW w:w="2338" w:type="dxa"/>
          </w:tcPr>
          <w:p w14:paraId="78FA81BD"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Title I &amp; III: 3</w:t>
            </w:r>
          </w:p>
          <w:p w14:paraId="3D501D5B"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Title II: 2</w:t>
            </w:r>
          </w:p>
          <w:p w14:paraId="458302E7"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TANF: 1</w:t>
            </w:r>
          </w:p>
        </w:tc>
        <w:tc>
          <w:tcPr>
            <w:tcW w:w="2338" w:type="dxa"/>
          </w:tcPr>
          <w:p w14:paraId="4E131F66"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Title I &amp; III: 1</w:t>
            </w:r>
          </w:p>
          <w:p w14:paraId="4EA870D5"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Title II: 2</w:t>
            </w:r>
          </w:p>
          <w:p w14:paraId="2EFD80FC"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DWSS: 2</w:t>
            </w:r>
          </w:p>
        </w:tc>
      </w:tr>
      <w:tr w:rsidR="0067196C" w:rsidRPr="00B6593E" w14:paraId="33A2D2F7" w14:textId="77777777" w:rsidTr="00623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0856DEAE" w14:textId="77777777" w:rsidR="0067196C" w:rsidRPr="00B6593E" w:rsidRDefault="0067196C" w:rsidP="0067196C">
            <w:pPr>
              <w:ind w:hanging="30"/>
            </w:pPr>
            <w:r w:rsidRPr="00B6593E">
              <w:t>SVRA’s Client Management System</w:t>
            </w:r>
          </w:p>
        </w:tc>
        <w:tc>
          <w:tcPr>
            <w:tcW w:w="2337" w:type="dxa"/>
          </w:tcPr>
          <w:p w14:paraId="07A97588" w14:textId="77777777" w:rsidR="0067196C" w:rsidRPr="00B6593E" w:rsidRDefault="0067196C" w:rsidP="0067196C">
            <w:pPr>
              <w:ind w:firstLine="0"/>
              <w:cnfStyle w:val="000000100000" w:firstRow="0" w:lastRow="0" w:firstColumn="0" w:lastColumn="0" w:oddVBand="0" w:evenVBand="0" w:oddHBand="1" w:evenHBand="0" w:firstRowFirstColumn="0" w:firstRowLastColumn="0" w:lastRowFirstColumn="0" w:lastRowLastColumn="0"/>
            </w:pPr>
            <w:r w:rsidRPr="00B6593E">
              <w:t>AWARE (Alliance)</w:t>
            </w:r>
          </w:p>
        </w:tc>
        <w:tc>
          <w:tcPr>
            <w:tcW w:w="2338" w:type="dxa"/>
          </w:tcPr>
          <w:p w14:paraId="0B0E9E5A" w14:textId="77777777" w:rsidR="0067196C" w:rsidRPr="00B6593E" w:rsidRDefault="0067196C" w:rsidP="0067196C">
            <w:pPr>
              <w:ind w:hanging="14"/>
              <w:cnfStyle w:val="000000100000" w:firstRow="0" w:lastRow="0" w:firstColumn="0" w:lastColumn="0" w:oddVBand="0" w:evenVBand="0" w:oddHBand="1" w:evenHBand="0" w:firstRowFirstColumn="0" w:firstRowLastColumn="0" w:lastRowFirstColumn="0" w:lastRowLastColumn="0"/>
            </w:pPr>
            <w:r w:rsidRPr="00B6593E">
              <w:t>CMS (Built Internally)</w:t>
            </w:r>
          </w:p>
        </w:tc>
        <w:tc>
          <w:tcPr>
            <w:tcW w:w="2338" w:type="dxa"/>
          </w:tcPr>
          <w:p w14:paraId="4ADDA229" w14:textId="77777777" w:rsidR="0067196C" w:rsidRPr="00B6593E" w:rsidRDefault="0067196C" w:rsidP="0067196C">
            <w:pPr>
              <w:ind w:hanging="14"/>
              <w:cnfStyle w:val="000000100000" w:firstRow="0" w:lastRow="0" w:firstColumn="0" w:lastColumn="0" w:oddVBand="0" w:evenVBand="0" w:oddHBand="1" w:evenHBand="0" w:firstRowFirstColumn="0" w:firstRowLastColumn="0" w:lastRowFirstColumn="0" w:lastRowLastColumn="0"/>
            </w:pPr>
            <w:r w:rsidRPr="00B6593E">
              <w:t>AWARE (Alliance)</w:t>
            </w:r>
          </w:p>
        </w:tc>
      </w:tr>
      <w:tr w:rsidR="0067196C" w:rsidRPr="00B6593E" w14:paraId="074E8B42" w14:textId="77777777" w:rsidTr="00623C47">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08841FEE" w14:textId="77777777" w:rsidR="0067196C" w:rsidRPr="00B6593E" w:rsidRDefault="0067196C" w:rsidP="0067196C">
            <w:pPr>
              <w:ind w:hanging="30"/>
            </w:pPr>
            <w:r w:rsidRPr="00B6593E">
              <w:t>Is SARA Integrated with SVRA CMS?</w:t>
            </w:r>
          </w:p>
        </w:tc>
        <w:tc>
          <w:tcPr>
            <w:tcW w:w="2337" w:type="dxa"/>
          </w:tcPr>
          <w:p w14:paraId="4FC9AAE7" w14:textId="77777777" w:rsidR="0067196C" w:rsidRPr="00B6593E" w:rsidRDefault="0067196C" w:rsidP="0067196C">
            <w:pPr>
              <w:ind w:firstLine="0"/>
              <w:cnfStyle w:val="000000000000" w:firstRow="0" w:lastRow="0" w:firstColumn="0" w:lastColumn="0" w:oddVBand="0" w:evenVBand="0" w:oddHBand="0" w:evenHBand="0" w:firstRowFirstColumn="0" w:firstRowLastColumn="0" w:lastRowFirstColumn="0" w:lastRowLastColumn="0"/>
            </w:pPr>
            <w:r w:rsidRPr="00B6593E">
              <w:t>Yes</w:t>
            </w:r>
          </w:p>
        </w:tc>
        <w:tc>
          <w:tcPr>
            <w:tcW w:w="2338" w:type="dxa"/>
          </w:tcPr>
          <w:p w14:paraId="06AE37AA"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Yes</w:t>
            </w:r>
          </w:p>
        </w:tc>
        <w:tc>
          <w:tcPr>
            <w:tcW w:w="2338" w:type="dxa"/>
          </w:tcPr>
          <w:p w14:paraId="649A1CC5"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Yes</w:t>
            </w:r>
          </w:p>
        </w:tc>
      </w:tr>
      <w:tr w:rsidR="0067196C" w:rsidRPr="00B6593E" w14:paraId="559D485D" w14:textId="77777777" w:rsidTr="00623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6B4126B6" w14:textId="77777777" w:rsidR="0067196C" w:rsidRPr="00B6593E" w:rsidRDefault="0067196C" w:rsidP="0067196C">
            <w:pPr>
              <w:ind w:hanging="30"/>
            </w:pPr>
            <w:r w:rsidRPr="00B6593E">
              <w:t>Do SVRA Partners Have Separate CMS?</w:t>
            </w:r>
          </w:p>
        </w:tc>
        <w:tc>
          <w:tcPr>
            <w:tcW w:w="2337" w:type="dxa"/>
          </w:tcPr>
          <w:p w14:paraId="3D76F5C0" w14:textId="77777777" w:rsidR="0067196C" w:rsidRPr="00B6593E" w:rsidRDefault="0067196C" w:rsidP="0067196C">
            <w:pPr>
              <w:ind w:firstLine="0"/>
              <w:cnfStyle w:val="000000100000" w:firstRow="0" w:lastRow="0" w:firstColumn="0" w:lastColumn="0" w:oddVBand="0" w:evenVBand="0" w:oddHBand="1" w:evenHBand="0" w:firstRowFirstColumn="0" w:firstRowLastColumn="0" w:lastRowFirstColumn="0" w:lastRowLastColumn="0"/>
            </w:pPr>
            <w:r w:rsidRPr="00B6593E">
              <w:t>Yes</w:t>
            </w:r>
          </w:p>
        </w:tc>
        <w:tc>
          <w:tcPr>
            <w:tcW w:w="2338" w:type="dxa"/>
          </w:tcPr>
          <w:p w14:paraId="17BE944E" w14:textId="77777777" w:rsidR="0067196C" w:rsidRPr="00B6593E" w:rsidRDefault="0067196C" w:rsidP="0067196C">
            <w:pPr>
              <w:ind w:hanging="14"/>
              <w:cnfStyle w:val="000000100000" w:firstRow="0" w:lastRow="0" w:firstColumn="0" w:lastColumn="0" w:oddVBand="0" w:evenVBand="0" w:oddHBand="1" w:evenHBand="0" w:firstRowFirstColumn="0" w:firstRowLastColumn="0" w:lastRowFirstColumn="0" w:lastRowLastColumn="0"/>
            </w:pPr>
            <w:r w:rsidRPr="00B6593E">
              <w:t>Yes</w:t>
            </w:r>
          </w:p>
        </w:tc>
        <w:tc>
          <w:tcPr>
            <w:tcW w:w="2338" w:type="dxa"/>
          </w:tcPr>
          <w:p w14:paraId="054C27BE" w14:textId="77777777" w:rsidR="0067196C" w:rsidRPr="00B6593E" w:rsidRDefault="0067196C" w:rsidP="0067196C">
            <w:pPr>
              <w:ind w:hanging="14"/>
              <w:cnfStyle w:val="000000100000" w:firstRow="0" w:lastRow="0" w:firstColumn="0" w:lastColumn="0" w:oddVBand="0" w:evenVBand="0" w:oddHBand="1" w:evenHBand="0" w:firstRowFirstColumn="0" w:firstRowLastColumn="0" w:lastRowFirstColumn="0" w:lastRowLastColumn="0"/>
            </w:pPr>
            <w:r w:rsidRPr="00B6593E">
              <w:t>Yes</w:t>
            </w:r>
          </w:p>
        </w:tc>
      </w:tr>
      <w:tr w:rsidR="0067196C" w:rsidRPr="00B6593E" w14:paraId="049CEB39" w14:textId="77777777" w:rsidTr="00623C47">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bottom w:val="none" w:sz="0" w:space="0" w:color="auto"/>
            </w:tcBorders>
          </w:tcPr>
          <w:p w14:paraId="0DEDF54D" w14:textId="77777777" w:rsidR="0067196C" w:rsidRPr="00B6593E" w:rsidRDefault="0067196C" w:rsidP="0067196C">
            <w:pPr>
              <w:ind w:hanging="30"/>
            </w:pPr>
            <w:r w:rsidRPr="00B6593E">
              <w:t>Is SARA Integrated with Partners’ CMS?</w:t>
            </w:r>
          </w:p>
        </w:tc>
        <w:tc>
          <w:tcPr>
            <w:tcW w:w="2337" w:type="dxa"/>
          </w:tcPr>
          <w:p w14:paraId="7CE83275" w14:textId="77777777" w:rsidR="0067196C" w:rsidRPr="00B6593E" w:rsidRDefault="0067196C" w:rsidP="0067196C">
            <w:pPr>
              <w:ind w:firstLine="0"/>
              <w:cnfStyle w:val="000000000000" w:firstRow="0" w:lastRow="0" w:firstColumn="0" w:lastColumn="0" w:oddVBand="0" w:evenVBand="0" w:oddHBand="0" w:evenHBand="0" w:firstRowFirstColumn="0" w:firstRowLastColumn="0" w:lastRowFirstColumn="0" w:lastRowLastColumn="0"/>
            </w:pPr>
            <w:r w:rsidRPr="00B6593E">
              <w:t>No</w:t>
            </w:r>
          </w:p>
        </w:tc>
        <w:tc>
          <w:tcPr>
            <w:tcW w:w="2338" w:type="dxa"/>
          </w:tcPr>
          <w:p w14:paraId="72E4A823"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Not anymore. Title I retired their system</w:t>
            </w:r>
          </w:p>
        </w:tc>
        <w:tc>
          <w:tcPr>
            <w:tcW w:w="2338" w:type="dxa"/>
          </w:tcPr>
          <w:p w14:paraId="49134DCF" w14:textId="77777777" w:rsidR="0067196C" w:rsidRPr="00B6593E" w:rsidRDefault="0067196C" w:rsidP="0067196C">
            <w:pPr>
              <w:ind w:hanging="14"/>
              <w:cnfStyle w:val="000000000000" w:firstRow="0" w:lastRow="0" w:firstColumn="0" w:lastColumn="0" w:oddVBand="0" w:evenVBand="0" w:oddHBand="0" w:evenHBand="0" w:firstRowFirstColumn="0" w:firstRowLastColumn="0" w:lastRowFirstColumn="0" w:lastRowLastColumn="0"/>
            </w:pPr>
            <w:r w:rsidRPr="00B6593E">
              <w:t>Yes</w:t>
            </w:r>
          </w:p>
        </w:tc>
      </w:tr>
    </w:tbl>
    <w:p w14:paraId="12F8A833" w14:textId="77777777" w:rsidR="0067196C" w:rsidRPr="00B6593E" w:rsidRDefault="0067196C" w:rsidP="0067196C"/>
    <w:p w14:paraId="685972BC" w14:textId="77777777" w:rsidR="0067196C" w:rsidRPr="00B6593E" w:rsidRDefault="0067196C" w:rsidP="0067196C">
      <w:pPr>
        <w:rPr>
          <w:u w:val="single"/>
        </w:rPr>
      </w:pPr>
      <w:r w:rsidRPr="00B6593E">
        <w:rPr>
          <w:u w:val="single"/>
        </w:rPr>
        <w:t>Key Early Steps to Implementing SARA</w:t>
      </w:r>
    </w:p>
    <w:p w14:paraId="4A9377B4" w14:textId="77777777" w:rsidR="0067196C" w:rsidRPr="00B6593E" w:rsidRDefault="0067196C" w:rsidP="00C575C8">
      <w:pPr>
        <w:numPr>
          <w:ilvl w:val="0"/>
          <w:numId w:val="77"/>
        </w:numPr>
        <w:contextualSpacing/>
      </w:pPr>
      <w:r w:rsidRPr="00B6593E">
        <w:rPr>
          <w:b/>
        </w:rPr>
        <w:t>Identifying pilot sites</w:t>
      </w:r>
      <w:r w:rsidRPr="00B6593E">
        <w:t xml:space="preserve"> involved a “first come, first in line” with the provision that at least three partner agencies would have to participate and sign on. Word about the pilot was spread through WINTAC. Eleven states responded with interest and we provided demonstrations. </w:t>
      </w:r>
    </w:p>
    <w:p w14:paraId="16641354" w14:textId="77777777" w:rsidR="0067196C" w:rsidRPr="00B6593E" w:rsidRDefault="0067196C" w:rsidP="00C575C8">
      <w:pPr>
        <w:numPr>
          <w:ilvl w:val="0"/>
          <w:numId w:val="77"/>
        </w:numPr>
        <w:contextualSpacing/>
      </w:pPr>
      <w:r w:rsidRPr="00B6593E">
        <w:rPr>
          <w:b/>
        </w:rPr>
        <w:t>Readiness assumptions</w:t>
      </w:r>
      <w:r w:rsidRPr="00B6593E">
        <w:t xml:space="preserve"> that were implicit were made explicit when it became apparent that interagency collaboration – specifically the data sharing agreements to make SARA serve its purpose related to CPMs – required the TA Team’s assistance.  The TA Team ultimately developed a template to support the SVRAs and their partners. Kentucky was able to secure data sharing agreements most easily in part due to its structure: all agencies, except Adult Ed, are under the Workforce </w:t>
      </w:r>
      <w:r w:rsidRPr="00B6593E">
        <w:lastRenderedPageBreak/>
        <w:t xml:space="preserve">Commission and Adult Ed was eager to participate. Alaska took two years to get signed and Nevada still is not signed. </w:t>
      </w:r>
    </w:p>
    <w:p w14:paraId="18463650" w14:textId="77777777" w:rsidR="0067196C" w:rsidRPr="00B6593E" w:rsidRDefault="0067196C" w:rsidP="00C575C8">
      <w:pPr>
        <w:numPr>
          <w:ilvl w:val="0"/>
          <w:numId w:val="77"/>
        </w:numPr>
        <w:contextualSpacing/>
      </w:pPr>
      <w:r w:rsidRPr="00B6593E">
        <w:rPr>
          <w:b/>
        </w:rPr>
        <w:t>Culture Change</w:t>
      </w:r>
      <w:r w:rsidRPr="00B6593E">
        <w:t xml:space="preserve">: Similar to research noted above, Information Technology (IT) adaptation succeeded or failed based on individual and organizational factors related to “readiness for change” and “change management” issues.  Although the TA Team has been responsible for the “heavy lifting” involved in integration with the case management systems of the agencies, it was found that IT departments were stakeholders needing engagement and whose buy-in was critical.  </w:t>
      </w:r>
    </w:p>
    <w:p w14:paraId="589E68C3" w14:textId="77777777" w:rsidR="0067196C" w:rsidRPr="00B6593E" w:rsidRDefault="0067196C" w:rsidP="00C575C8">
      <w:pPr>
        <w:numPr>
          <w:ilvl w:val="0"/>
          <w:numId w:val="77"/>
        </w:numPr>
        <w:contextualSpacing/>
      </w:pPr>
      <w:r w:rsidRPr="00B6593E">
        <w:t xml:space="preserve">There are two parts to the </w:t>
      </w:r>
      <w:r w:rsidRPr="00B6593E">
        <w:rPr>
          <w:b/>
        </w:rPr>
        <w:t>implementation</w:t>
      </w:r>
      <w:r w:rsidRPr="00B6593E">
        <w:t xml:space="preserve">: Pre and Post Launch for each agency. These cycles are based upon detailed checklists developed and refined over numerous implementations. Online project management tools with assigned tasks and deadlines and agreements from agency heads and liaisons to get the tasks completed ensure moving through the steps as needed. </w:t>
      </w:r>
    </w:p>
    <w:p w14:paraId="5025E88A" w14:textId="77777777" w:rsidR="0067196C" w:rsidRPr="00B6593E" w:rsidRDefault="0067196C" w:rsidP="00C575C8">
      <w:pPr>
        <w:numPr>
          <w:ilvl w:val="1"/>
          <w:numId w:val="77"/>
        </w:numPr>
        <w:contextualSpacing/>
      </w:pPr>
      <w:r w:rsidRPr="00B6593E">
        <w:rPr>
          <w:b/>
        </w:rPr>
        <w:t>Pre-launch</w:t>
      </w:r>
      <w:r w:rsidRPr="00B6593E">
        <w:t xml:space="preserve"> involves developing a consensus plan regarding SARA critical functions to be implemented and ensuring necessary administrative processes are in place such as security and policy approvals, data gathering and interagency agreements, staff coordination, and operational management changes. In addition, frontline staff and managers must be trained in the use of SARA. These processes typically take several on-site meetings, and diligent and persistent follow-up to ensure that checklist items are acheived. </w:t>
      </w:r>
    </w:p>
    <w:p w14:paraId="5956DEF5" w14:textId="77777777" w:rsidR="0067196C" w:rsidRPr="00B6593E" w:rsidRDefault="0067196C" w:rsidP="00C575C8">
      <w:pPr>
        <w:numPr>
          <w:ilvl w:val="1"/>
          <w:numId w:val="77"/>
        </w:numPr>
        <w:contextualSpacing/>
      </w:pPr>
      <w:r w:rsidRPr="00B6593E">
        <w:rPr>
          <w:b/>
        </w:rPr>
        <w:t>Post-launch</w:t>
      </w:r>
      <w:r w:rsidRPr="00B6593E">
        <w:t xml:space="preserve"> involves managing adoption steps such as TA support and additional training. This process is driven by monitoring real-time data flows that show user engagement and disengagement.  Using dynamic performance reports, we interact with administrators and managers to point out what is going right and what is not and what to do about it. Unfortunately, unless administrators give it priority and enforce usage, there is little we can do except supporting staff who decided to use it anyway (and a lot do). For example, in Kentucky, we can’t get hold of anyone, so we can’t support it or provide additional training. The lights are on, but no one is home.</w:t>
      </w:r>
    </w:p>
    <w:p w14:paraId="74B43B43" w14:textId="77777777" w:rsidR="0067196C" w:rsidRPr="00B6593E" w:rsidRDefault="0067196C" w:rsidP="00C575C8">
      <w:pPr>
        <w:numPr>
          <w:ilvl w:val="0"/>
          <w:numId w:val="77"/>
        </w:numPr>
        <w:contextualSpacing/>
      </w:pPr>
      <w:r w:rsidRPr="00B6593E">
        <w:rPr>
          <w:b/>
        </w:rPr>
        <w:t>State-by-state</w:t>
      </w:r>
      <w:r w:rsidRPr="00B6593E">
        <w:t xml:space="preserve"> early implementation steps:</w:t>
      </w:r>
    </w:p>
    <w:p w14:paraId="41526683" w14:textId="77777777" w:rsidR="0067196C" w:rsidRPr="00B6593E" w:rsidRDefault="0067196C" w:rsidP="00C575C8">
      <w:pPr>
        <w:numPr>
          <w:ilvl w:val="1"/>
          <w:numId w:val="77"/>
        </w:numPr>
        <w:contextualSpacing/>
      </w:pPr>
      <w:r w:rsidRPr="00B6593E">
        <w:rPr>
          <w:b/>
        </w:rPr>
        <w:t>Alaska:</w:t>
      </w:r>
      <w:r w:rsidRPr="00B6593E">
        <w:t xml:space="preserve"> Title I &amp; III were up and running in weeks after the contract. SARA was never connected to their case management system, but that did not seem to dampen their enthusiasm. VR took a year to develop SARA “business rules” but organizational readiness for change issues hampered utilization by staff.  The TA Team has thus far spent more time on implementing Alaska than the other two areas combined. </w:t>
      </w:r>
    </w:p>
    <w:p w14:paraId="11337C18" w14:textId="77777777" w:rsidR="0067196C" w:rsidRPr="00B6593E" w:rsidRDefault="0067196C" w:rsidP="00C575C8">
      <w:pPr>
        <w:numPr>
          <w:ilvl w:val="1"/>
          <w:numId w:val="77"/>
        </w:numPr>
        <w:contextualSpacing/>
      </w:pPr>
      <w:r w:rsidRPr="00B6593E">
        <w:rPr>
          <w:b/>
        </w:rPr>
        <w:t xml:space="preserve">Kentucky: </w:t>
      </w:r>
      <w:r w:rsidRPr="00B6593E">
        <w:t xml:space="preserve">Initial implementation was a top-down driven process involving the VR director and Workforce Commissioner.  Other partners did not respond to communications, involved the wrong client base, or did not have sufficient client contact information and did not provide advance notice to clients of the new system’s deployment, delaying implementation.   After several on-site meetings SARA was re-launched without Title I, which remained unengaged. As with Alaska, IT departments’ involvement also impacted implementation, taking almost a year after the relaunch to get Titles I, III, and IV integrated with SARA. (In comparison, it took Title II only two weeks to complete the integration with their system.) Since then, leadership turnover has resulted in a stand still in terms of further discussions and implementation efforts.  Nevertheless, despite the lack of management support, enforcement, training or guidance, there is still a good number of staff continuing to use SARA (see Tables above). </w:t>
      </w:r>
    </w:p>
    <w:p w14:paraId="7F2C69A6" w14:textId="77777777" w:rsidR="0067196C" w:rsidRPr="00B6593E" w:rsidRDefault="0067196C" w:rsidP="00C575C8">
      <w:pPr>
        <w:numPr>
          <w:ilvl w:val="1"/>
          <w:numId w:val="77"/>
        </w:numPr>
        <w:contextualSpacing/>
      </w:pPr>
      <w:r w:rsidRPr="00B6593E">
        <w:rPr>
          <w:b/>
        </w:rPr>
        <w:lastRenderedPageBreak/>
        <w:t xml:space="preserve">Nevada: </w:t>
      </w:r>
      <w:r w:rsidRPr="00B6593E">
        <w:t xml:space="preserve"> Nevada chose to upgrade from pilot status and pay for a complete state-wide roll out. That required approval of funding which delayed the start of implementation until the funding was approved in August of 2017. Once approved, implementation moved rapidly with VR, but Title I &amp; III chose to wait until their implementation of their new case management system was complete which took almost another year. Likewise, VR decided to change case management systems (they selected Aware) and that resulted in a delay with VR.  Initially Aware refused to integrate with SARA, but due to Nevada’s firm stance that integrating SARA was a requirement, Aware adapted and future SVRAs using Aware and wishing to adopt SARA will now benefit.  At this juncture SARA is fully integrated state-wide with Titles I, III, IV, and TANF. Usage rates are high, despite an unsigned data sharing agreement (expected shortly).  </w:t>
      </w:r>
    </w:p>
    <w:p w14:paraId="65DE09B3" w14:textId="77777777" w:rsidR="0067196C" w:rsidRPr="00B6593E" w:rsidRDefault="0067196C" w:rsidP="00C575C8">
      <w:pPr>
        <w:numPr>
          <w:ilvl w:val="0"/>
          <w:numId w:val="77"/>
        </w:numPr>
        <w:contextualSpacing/>
      </w:pPr>
      <w:r w:rsidRPr="00B6593E">
        <w:rPr>
          <w:b/>
        </w:rPr>
        <w:t>Lessons learned</w:t>
      </w:r>
      <w:r w:rsidRPr="00B6593E">
        <w:t xml:space="preserve"> for future early steps prior to implementation:</w:t>
      </w:r>
    </w:p>
    <w:p w14:paraId="122716BC" w14:textId="77777777" w:rsidR="0067196C" w:rsidRPr="00B6593E" w:rsidRDefault="0067196C" w:rsidP="00C575C8">
      <w:pPr>
        <w:numPr>
          <w:ilvl w:val="1"/>
          <w:numId w:val="77"/>
        </w:numPr>
        <w:contextualSpacing/>
      </w:pPr>
      <w:r w:rsidRPr="00B6593E">
        <w:t xml:space="preserve">For each interested state, conduct an on-site visit to gauge management strength, staff morale, existing processes, and the degree to which IT is ready and available to engage. </w:t>
      </w:r>
    </w:p>
    <w:p w14:paraId="009FE3B2" w14:textId="77777777" w:rsidR="0067196C" w:rsidRDefault="0067196C" w:rsidP="00C575C8">
      <w:pPr>
        <w:numPr>
          <w:ilvl w:val="1"/>
          <w:numId w:val="77"/>
        </w:numPr>
        <w:contextualSpacing/>
      </w:pPr>
      <w:r w:rsidRPr="00B6593E">
        <w:t>Ensure situation of SARA implementation as a change management initiative involving culture change. This aligns with research demonstrating that 75-80% of strategic initiatives fail due to lack of adoption.</w:t>
      </w:r>
    </w:p>
    <w:p w14:paraId="10EEDC63" w14:textId="77777777" w:rsidR="0067196C" w:rsidRDefault="0067196C" w:rsidP="00C575C8">
      <w:pPr>
        <w:numPr>
          <w:ilvl w:val="1"/>
          <w:numId w:val="77"/>
        </w:numPr>
        <w:contextualSpacing/>
      </w:pPr>
      <w:r w:rsidRPr="00B6593E">
        <w:t>Require matching funds be set aside for training and support.</w:t>
      </w:r>
      <w:r>
        <w:br w:type="page"/>
      </w:r>
    </w:p>
    <w:p w14:paraId="368988B3" w14:textId="168213A8" w:rsidR="0067196C" w:rsidRDefault="0067196C" w:rsidP="0067196C">
      <w:pPr>
        <w:pStyle w:val="Heading2"/>
      </w:pPr>
      <w:bookmarkStart w:id="150" w:name="_Toc41940263"/>
      <w:r>
        <w:lastRenderedPageBreak/>
        <w:t>SARA Pilots: Progress Dashboards:</w:t>
      </w:r>
      <w:r>
        <w:br/>
        <w:t>Activities, Outputs, Implementation</w:t>
      </w:r>
      <w:bookmarkEnd w:id="150"/>
    </w:p>
    <w:p w14:paraId="554E0BFD" w14:textId="77777777" w:rsidR="0067196C" w:rsidRDefault="0067196C" w:rsidP="0067196C">
      <w:pPr>
        <w:rPr>
          <w:u w:val="single"/>
        </w:rPr>
      </w:pPr>
    </w:p>
    <w:p w14:paraId="51964112" w14:textId="240862B3" w:rsidR="0067196C" w:rsidRDefault="0067196C" w:rsidP="0067196C">
      <w:pPr>
        <w:ind w:firstLine="0"/>
        <w:rPr>
          <w:u w:val="single"/>
        </w:rPr>
      </w:pPr>
      <w:r>
        <w:rPr>
          <w:noProof/>
          <w:lang w:eastAsia="ko-KR"/>
        </w:rPr>
        <w:drawing>
          <wp:inline distT="0" distB="0" distL="0" distR="0" wp14:anchorId="70BF339B" wp14:editId="1838740C">
            <wp:extent cx="5943600" cy="2515870"/>
            <wp:effectExtent l="0" t="0" r="0" b="0"/>
            <wp:docPr id="186" name="Picture 186" descr="Progress SARA Activities showing 100% complete">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943600" cy="2515870"/>
                    </a:xfrm>
                    <a:prstGeom prst="rect">
                      <a:avLst/>
                    </a:prstGeom>
                  </pic:spPr>
                </pic:pic>
              </a:graphicData>
            </a:graphic>
          </wp:inline>
        </w:drawing>
      </w:r>
    </w:p>
    <w:p w14:paraId="0C4B28DB" w14:textId="77777777" w:rsidR="0067196C" w:rsidRDefault="0067196C" w:rsidP="0067196C">
      <w:r>
        <w:t>Progress on  SARA  ITAA Pilots is complete as demonstrated in the progress bar chart above, and all “thermometer” charts further below.</w:t>
      </w:r>
    </w:p>
    <w:p w14:paraId="3A6B20D1" w14:textId="77777777" w:rsidR="0067196C" w:rsidRDefault="0067196C" w:rsidP="0067196C"/>
    <w:p w14:paraId="3AD6C1CD" w14:textId="4F85AFAE" w:rsidR="0067196C" w:rsidRDefault="00354788" w:rsidP="00541587">
      <w:pPr>
        <w:ind w:firstLine="0"/>
        <w:jc w:val="center"/>
        <w:rPr>
          <w:u w:val="single"/>
        </w:rPr>
      </w:pPr>
      <w:r>
        <w:rPr>
          <w:noProof/>
          <w:lang w:eastAsia="ko-KR"/>
        </w:rPr>
        <w:drawing>
          <wp:inline distT="0" distB="0" distL="0" distR="0" wp14:anchorId="56B191BB" wp14:editId="7530A5DF">
            <wp:extent cx="4305300" cy="2686050"/>
            <wp:effectExtent l="19050" t="19050" r="19050" b="19050"/>
            <wp:docPr id="180" name="Picture 180" descr="Line graph chart depicting the # of VRC users of the SARA system, with separate lines for each of the 3 pilot sites.  There is a higher rate of usage for NV than AK, which in turn has a higher rate of users than KY.  The data is presented quarterly - the two most recent quarters show a slight uptick for all three states, possibly reflecting the use of SARA to communicate in the virtual world of services during the pande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0"/>
                    <a:srcRect l="4501" t="6567" r="7045" b="9254"/>
                    <a:stretch/>
                  </pic:blipFill>
                  <pic:spPr bwMode="auto">
                    <a:xfrm>
                      <a:off x="0" y="0"/>
                      <a:ext cx="4305300" cy="26860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D5A113" w14:textId="01E32501" w:rsidR="0067196C" w:rsidRPr="003F7699" w:rsidRDefault="00354788" w:rsidP="00707B58">
      <w:pPr>
        <w:ind w:left="720" w:firstLine="0"/>
        <w:jc w:val="center"/>
      </w:pPr>
      <w:r>
        <w:rPr>
          <w:noProof/>
          <w:lang w:eastAsia="ko-KR"/>
        </w:rPr>
        <w:lastRenderedPageBreak/>
        <w:drawing>
          <wp:inline distT="0" distB="0" distL="0" distR="0" wp14:anchorId="020F3B1C" wp14:editId="1D5B46F1">
            <wp:extent cx="5476875" cy="3086100"/>
            <wp:effectExtent l="19050" t="19050" r="28575" b="19050"/>
            <wp:docPr id="181" name="Picture 181" descr="Bar chart depicting the # of Alerts created in the SARA system, with separate bars for each of the 3 pilot sites.  NV has the highest number of alerts (2,999), AK the second highest number of alerts (2,069), and KY the lowest number of alerts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1"/>
                    <a:srcRect l="3204" t="6540" r="4647" b="5177"/>
                    <a:stretch/>
                  </pic:blipFill>
                  <pic:spPr bwMode="auto">
                    <a:xfrm>
                      <a:off x="0" y="0"/>
                      <a:ext cx="5476875" cy="3086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913A4F" w14:textId="77777777" w:rsidR="0067196C" w:rsidRPr="003F7699" w:rsidRDefault="0067196C" w:rsidP="0067196C">
      <w:r w:rsidRPr="003F7699">
        <w:t xml:space="preserve"># of Alerts </w:t>
      </w:r>
      <w:r>
        <w:t>per quarter either remains unchanged as an average or was not updated.</w:t>
      </w:r>
    </w:p>
    <w:p w14:paraId="6A128549" w14:textId="77777777" w:rsidR="00354788" w:rsidRDefault="00354788" w:rsidP="00354788">
      <w:pPr>
        <w:ind w:firstLine="0"/>
        <w:rPr>
          <w:u w:val="single"/>
        </w:rPr>
      </w:pPr>
      <w:r>
        <w:rPr>
          <w:noProof/>
          <w:lang w:eastAsia="ko-KR"/>
        </w:rPr>
        <w:drawing>
          <wp:inline distT="0" distB="0" distL="0" distR="0" wp14:anchorId="7668923D" wp14:editId="238B0228">
            <wp:extent cx="2926031" cy="2101887"/>
            <wp:effectExtent l="19050" t="19050" r="27305" b="12700"/>
            <wp:docPr id="184" name="Picture 184" descr="Bar chart depicting the # of clients processed in the SARA system in Year 4 Quarter 4, with separate bars for each of the 3 pilot sites.  NV has the highest number at 12, 736 clients, AK the second highest number of clients at 4, 488, and KY the lowest number of clients at 3,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2934932" cy="2108281"/>
                    </a:xfrm>
                    <a:prstGeom prst="rect">
                      <a:avLst/>
                    </a:prstGeom>
                    <a:ln>
                      <a:solidFill>
                        <a:schemeClr val="tx1"/>
                      </a:solidFill>
                    </a:ln>
                  </pic:spPr>
                </pic:pic>
              </a:graphicData>
            </a:graphic>
          </wp:inline>
        </w:drawing>
      </w:r>
      <w:r>
        <w:rPr>
          <w:u w:val="single"/>
        </w:rPr>
        <w:t xml:space="preserve"> </w:t>
      </w:r>
      <w:r>
        <w:rPr>
          <w:noProof/>
          <w:lang w:eastAsia="ko-KR"/>
        </w:rPr>
        <w:drawing>
          <wp:inline distT="0" distB="0" distL="0" distR="0" wp14:anchorId="5A634C5D" wp14:editId="2E756CBE">
            <wp:extent cx="2743200" cy="2092487"/>
            <wp:effectExtent l="19050" t="19050" r="19050" b="22225"/>
            <wp:docPr id="187" name="Picture 187" descr="Bar chart depicting the # of clients processed in the SARA system in Year 5 Quarter 2, with separate bars for each of the 3 pilot sites.  NV has the highest number at 13,830 clients, AK the second highest number of clients at 4, 912, and KY the lowest number of clients at 3,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2743200" cy="2092487"/>
                    </a:xfrm>
                    <a:prstGeom prst="rect">
                      <a:avLst/>
                    </a:prstGeom>
                    <a:ln>
                      <a:solidFill>
                        <a:schemeClr val="tx1"/>
                      </a:solidFill>
                    </a:ln>
                  </pic:spPr>
                </pic:pic>
              </a:graphicData>
            </a:graphic>
          </wp:inline>
        </w:drawing>
      </w:r>
    </w:p>
    <w:p w14:paraId="15EEE795" w14:textId="6C573ED6" w:rsidR="0067196C" w:rsidRPr="00354788" w:rsidRDefault="00354788" w:rsidP="00354788">
      <w:pPr>
        <w:ind w:firstLine="0"/>
        <w:rPr>
          <w:u w:val="single"/>
        </w:rPr>
      </w:pPr>
      <w:r>
        <w:rPr>
          <w:noProof/>
          <w:lang w:eastAsia="ko-KR"/>
        </w:rPr>
        <w:lastRenderedPageBreak/>
        <w:drawing>
          <wp:inline distT="0" distB="0" distL="0" distR="0" wp14:anchorId="7D0C1F40" wp14:editId="031037B3">
            <wp:extent cx="2850078" cy="2456355"/>
            <wp:effectExtent l="19050" t="19050" r="26670" b="20320"/>
            <wp:docPr id="188" name="Picture 188" descr="Horizontal bar chart depicting the # of communications through SARA for Year 4 Quarter 4 initiated by either SARA, VRCs, or Clients for each of the 3 pilot sites.  In each site, the # of communications initiated by SARA are greater than those initiated by VRCs, and the # of communications initiated by VRCs are greater than those initiated by clients.  What stands out is a very significantly large number of contacts initiated by SARA in NV compared to contacts initiated by anyone or thing in across all 3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2852883" cy="2458772"/>
                    </a:xfrm>
                    <a:prstGeom prst="rect">
                      <a:avLst/>
                    </a:prstGeom>
                    <a:ln>
                      <a:solidFill>
                        <a:schemeClr val="tx1"/>
                      </a:solidFill>
                    </a:ln>
                  </pic:spPr>
                </pic:pic>
              </a:graphicData>
            </a:graphic>
          </wp:inline>
        </w:drawing>
      </w:r>
      <w:r>
        <w:rPr>
          <w:u w:val="single"/>
        </w:rPr>
        <w:t xml:space="preserve">  </w:t>
      </w:r>
      <w:r>
        <w:rPr>
          <w:noProof/>
          <w:lang w:eastAsia="ko-KR"/>
        </w:rPr>
        <w:drawing>
          <wp:inline distT="0" distB="0" distL="0" distR="0" wp14:anchorId="1EA0C246" wp14:editId="7C58BB92">
            <wp:extent cx="2769301" cy="2458341"/>
            <wp:effectExtent l="19050" t="19050" r="12065" b="18415"/>
            <wp:docPr id="189" name="Picture 189" descr="Horizontal bar chart depicting the # of communications through SARA for Year 5 Quarter 2 initiated by either SARA, VRCs, or Clients for each of the 3 pilot sites.  In each site, the # of communications initiated by SARA are greater than those initiated by VRCs, and the # of communications initiated by VRCs are greater than those initiated by clients.  What stands out is a very significantly large number of contacts initiated by SARA in NV compared to contacts initiated by anyone or thing in across all 3 sites.  Numbers for this quarter are larger across all sites, particularly for SARA-initiated contacts, reflecting its usage during the pandemic when a swtich to virtual services occurred and text and email communications to clients were sent out through S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2771116" cy="2459952"/>
                    </a:xfrm>
                    <a:prstGeom prst="rect">
                      <a:avLst/>
                    </a:prstGeom>
                    <a:ln>
                      <a:solidFill>
                        <a:schemeClr val="tx1"/>
                      </a:solidFill>
                    </a:ln>
                  </pic:spPr>
                </pic:pic>
              </a:graphicData>
            </a:graphic>
          </wp:inline>
        </w:drawing>
      </w:r>
    </w:p>
    <w:p w14:paraId="0C15137C" w14:textId="77777777" w:rsidR="0067196C" w:rsidRPr="0084101C" w:rsidRDefault="0067196C" w:rsidP="0067196C">
      <w:pPr>
        <w:rPr>
          <w:b/>
          <w:bCs/>
          <w:u w:val="single"/>
        </w:rPr>
      </w:pPr>
      <w:r w:rsidRPr="0084101C">
        <w:rPr>
          <w:b/>
          <w:bCs/>
          <w:u w:val="single"/>
        </w:rPr>
        <w:t xml:space="preserve">SARA client outreach and follow-up.  </w:t>
      </w:r>
    </w:p>
    <w:p w14:paraId="1F993FA2" w14:textId="77777777" w:rsidR="0067196C" w:rsidRPr="00AD2BF0" w:rsidRDefault="0067196C" w:rsidP="00C575C8">
      <w:pPr>
        <w:pStyle w:val="ListParagraph"/>
        <w:numPr>
          <w:ilvl w:val="0"/>
          <w:numId w:val="80"/>
        </w:numPr>
      </w:pPr>
      <w:r w:rsidRPr="0084101C">
        <w:rPr>
          <w:u w:val="single"/>
        </w:rPr>
        <w:t>Alaska</w:t>
      </w:r>
      <w:r w:rsidRPr="00AD2BF0">
        <w:t>: 46 unique SARA follow-up tasks, automated based on the client’s status. Clients are communicating with SARA from Application through Closure. VRCs are also creating their own custom SARA tasks to check in with the client regularly and obtain receipts, grades, etc. The SARA task “30 Day Client Contact” is used the most. SARA automatically checks in with the client every 30 days to see how they are doing. 1,171 clients have been assigned this task.</w:t>
      </w:r>
    </w:p>
    <w:p w14:paraId="552AFD8C" w14:textId="3D618392" w:rsidR="0067196C" w:rsidRPr="00AD2BF0" w:rsidRDefault="0067196C" w:rsidP="00C575C8">
      <w:pPr>
        <w:pStyle w:val="ListParagraph"/>
        <w:numPr>
          <w:ilvl w:val="0"/>
          <w:numId w:val="80"/>
        </w:numPr>
      </w:pPr>
      <w:r w:rsidRPr="0084101C">
        <w:rPr>
          <w:u w:val="single"/>
        </w:rPr>
        <w:t>Kentucky</w:t>
      </w:r>
      <w:r w:rsidRPr="00AD2BF0">
        <w:t>: 34 SARA tasks provide automated follow up with clients. KY’s current case management system does not include case notes of its own so VRCs use SARA exclusively for case notes. The SARA Task “IPE Client Follow-up” is used the most to follow up with clients once the IPE is Implemented.</w:t>
      </w:r>
    </w:p>
    <w:p w14:paraId="6D4DB993" w14:textId="77777777" w:rsidR="0067196C" w:rsidRDefault="0067196C" w:rsidP="00C575C8">
      <w:pPr>
        <w:pStyle w:val="ListParagraph"/>
        <w:numPr>
          <w:ilvl w:val="0"/>
          <w:numId w:val="80"/>
        </w:numPr>
      </w:pPr>
      <w:r w:rsidRPr="00513CCA">
        <w:rPr>
          <w:u w:val="single"/>
        </w:rPr>
        <w:t>Nevada</w:t>
      </w:r>
      <w:r w:rsidRPr="00AD2BF0">
        <w:t>: Started with Raison as Case Management System and converted to AWARE in Q2 2019. 47 SARA tasks being used to follow up with clients from Application to Closure. Nevada is the only state within the pilot to take advantage of TCI’s CMS API that allows for full SARA automation. Status changes in AWARE create a status change in SARA. Like Alaska, NV uses the 30 Day Client Contact the most.</w:t>
      </w:r>
    </w:p>
    <w:p w14:paraId="59D534D0" w14:textId="77777777" w:rsidR="0067196C" w:rsidRDefault="0067196C" w:rsidP="0067196C"/>
    <w:p w14:paraId="6357E581" w14:textId="77777777" w:rsidR="0067196C" w:rsidRDefault="0067196C" w:rsidP="0067196C">
      <w:pPr>
        <w:sectPr w:rsidR="0067196C" w:rsidSect="00623C47">
          <w:headerReference w:type="even" r:id="rId366"/>
          <w:headerReference w:type="default" r:id="rId367"/>
          <w:footerReference w:type="even" r:id="rId368"/>
          <w:footerReference w:type="default" r:id="rId369"/>
          <w:headerReference w:type="first" r:id="rId370"/>
          <w:footerReference w:type="first" r:id="rId371"/>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3E0C6CD1" w14:textId="77777777" w:rsidR="0067196C" w:rsidRDefault="0067196C" w:rsidP="0067196C">
      <w:pPr>
        <w:tabs>
          <w:tab w:val="left" w:pos="360"/>
        </w:tabs>
        <w:ind w:firstLine="0"/>
        <w:jc w:val="center"/>
        <w:rPr>
          <w:szCs w:val="14"/>
        </w:rPr>
      </w:pPr>
      <w:r w:rsidRPr="003A10D6">
        <w:rPr>
          <w:sz w:val="36"/>
          <w:szCs w:val="36"/>
        </w:rPr>
        <w:lastRenderedPageBreak/>
        <w:t xml:space="preserve">Activity </w:t>
      </w:r>
      <w:r>
        <w:rPr>
          <w:sz w:val="36"/>
          <w:szCs w:val="36"/>
        </w:rPr>
        <w:t>1</w:t>
      </w:r>
      <w:r>
        <w:rPr>
          <w:szCs w:val="14"/>
        </w:rPr>
        <w:br/>
      </w:r>
      <w:r>
        <w:rPr>
          <w:noProof/>
          <w:lang w:eastAsia="ko-KR"/>
        </w:rPr>
        <w:drawing>
          <wp:inline distT="0" distB="0" distL="0" distR="0" wp14:anchorId="2DB291A9" wp14:editId="75E041B7">
            <wp:extent cx="1581912" cy="4572000"/>
            <wp:effectExtent l="0" t="0" r="0" b="0"/>
            <wp:docPr id="165" name="Picture 165" descr="Activity &amp; Outputs Progress 1">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1581912" cy="4572000"/>
                    </a:xfrm>
                    <a:prstGeom prst="rect">
                      <a:avLst/>
                    </a:prstGeom>
                  </pic:spPr>
                </pic:pic>
              </a:graphicData>
            </a:graphic>
          </wp:inline>
        </w:drawing>
      </w:r>
      <w:r>
        <w:rPr>
          <w:sz w:val="36"/>
          <w:szCs w:val="36"/>
        </w:rPr>
        <w:br/>
      </w:r>
      <w:r>
        <w:rPr>
          <w:noProof/>
          <w:lang w:eastAsia="ko-KR"/>
        </w:rPr>
        <w:drawing>
          <wp:inline distT="0" distB="0" distL="0" distR="0" wp14:anchorId="075627CF" wp14:editId="1CC93871">
            <wp:extent cx="2090057" cy="370114"/>
            <wp:effectExtent l="0" t="0" r="5715" b="0"/>
            <wp:docPr id="166" name="Picture 166"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7DB7576D" w14:textId="77777777" w:rsidR="0067196C" w:rsidRPr="000F6B5E" w:rsidRDefault="0067196C" w:rsidP="0067196C">
      <w:pPr>
        <w:spacing w:after="0" w:line="240" w:lineRule="auto"/>
        <w:ind w:firstLine="0"/>
        <w:rPr>
          <w:rFonts w:cstheme="minorHAnsi"/>
        </w:rPr>
      </w:pPr>
      <w:r w:rsidRPr="000F6B5E">
        <w:rPr>
          <w:rFonts w:cstheme="minorHAnsi"/>
          <w:b/>
          <w:bCs/>
        </w:rPr>
        <w:t>Activity 1:</w:t>
      </w:r>
      <w:r w:rsidRPr="000F6B5E">
        <w:rPr>
          <w:rFonts w:cstheme="minorHAnsi"/>
        </w:rPr>
        <w:t xml:space="preserve"> Development of MOUs between SVRAs and core partners.</w:t>
      </w:r>
    </w:p>
    <w:p w14:paraId="7DA1F811" w14:textId="5EA864EE" w:rsidR="0067196C" w:rsidRPr="000F6B5E" w:rsidRDefault="0067196C" w:rsidP="00DB1264">
      <w:pPr>
        <w:spacing w:after="0" w:line="240" w:lineRule="auto"/>
        <w:ind w:firstLine="0"/>
        <w:rPr>
          <w:rFonts w:cstheme="minorHAnsi"/>
        </w:rPr>
      </w:pPr>
      <w:r w:rsidRPr="000F6B5E">
        <w:rPr>
          <w:rFonts w:cstheme="minorHAnsi"/>
          <w:b/>
          <w:bCs/>
        </w:rPr>
        <w:t>Output A:</w:t>
      </w:r>
      <w:r w:rsidRPr="000F6B5E">
        <w:rPr>
          <w:rFonts w:cstheme="minorHAnsi"/>
        </w:rPr>
        <w:t xml:space="preserve"> Draft MOU developed.</w:t>
      </w:r>
    </w:p>
    <w:p w14:paraId="49B68D9A" w14:textId="77777777" w:rsidR="0067196C" w:rsidRDefault="0067196C" w:rsidP="0067196C">
      <w:pPr>
        <w:tabs>
          <w:tab w:val="left" w:pos="360"/>
        </w:tabs>
        <w:ind w:firstLine="0"/>
        <w:jc w:val="center"/>
        <w:rPr>
          <w:szCs w:val="14"/>
        </w:rPr>
      </w:pPr>
      <w:r w:rsidRPr="003A10D6">
        <w:rPr>
          <w:sz w:val="36"/>
          <w:szCs w:val="36"/>
        </w:rPr>
        <w:t xml:space="preserve">Activity </w:t>
      </w:r>
      <w:r>
        <w:rPr>
          <w:sz w:val="36"/>
          <w:szCs w:val="36"/>
        </w:rPr>
        <w:t>2</w:t>
      </w:r>
      <w:r>
        <w:rPr>
          <w:szCs w:val="14"/>
        </w:rPr>
        <w:br/>
      </w:r>
      <w:r>
        <w:rPr>
          <w:noProof/>
          <w:lang w:eastAsia="ko-KR"/>
        </w:rPr>
        <w:drawing>
          <wp:inline distT="0" distB="0" distL="0" distR="0" wp14:anchorId="6F3B04D5" wp14:editId="29E13C3B">
            <wp:extent cx="1581912" cy="4572000"/>
            <wp:effectExtent l="0" t="0" r="0" b="0"/>
            <wp:docPr id="167" name="Picture 167" descr="Activity &amp; Outputs Progress 2">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1581912" cy="4572000"/>
                    </a:xfrm>
                    <a:prstGeom prst="rect">
                      <a:avLst/>
                    </a:prstGeom>
                  </pic:spPr>
                </pic:pic>
              </a:graphicData>
            </a:graphic>
          </wp:inline>
        </w:drawing>
      </w:r>
      <w:r>
        <w:rPr>
          <w:sz w:val="36"/>
          <w:szCs w:val="36"/>
        </w:rPr>
        <w:br/>
      </w:r>
      <w:r>
        <w:rPr>
          <w:noProof/>
          <w:lang w:eastAsia="ko-KR"/>
        </w:rPr>
        <w:drawing>
          <wp:inline distT="0" distB="0" distL="0" distR="0" wp14:anchorId="0961404A" wp14:editId="500BA2A3">
            <wp:extent cx="2090057" cy="370114"/>
            <wp:effectExtent l="0" t="0" r="5715" b="0"/>
            <wp:docPr id="168" name="Picture 168"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7B63164C" w14:textId="77777777" w:rsidR="0067196C" w:rsidRPr="000F6B5E" w:rsidRDefault="0067196C" w:rsidP="0067196C">
      <w:pPr>
        <w:spacing w:after="0" w:line="240" w:lineRule="auto"/>
        <w:ind w:firstLine="0"/>
        <w:rPr>
          <w:rFonts w:cstheme="minorHAnsi"/>
        </w:rPr>
      </w:pPr>
      <w:r w:rsidRPr="000F6B5E">
        <w:rPr>
          <w:rFonts w:cstheme="minorHAnsi"/>
          <w:b/>
          <w:bCs/>
        </w:rPr>
        <w:t>Activity 2:</w:t>
      </w:r>
      <w:r w:rsidRPr="000F6B5E">
        <w:rPr>
          <w:rFonts w:cstheme="minorHAnsi"/>
        </w:rPr>
        <w:t xml:space="preserve"> Development of plan with SVRA IT staff to integrate SARA with agency systems as needed (e.g., CMS).</w:t>
      </w:r>
    </w:p>
    <w:p w14:paraId="235B5B25" w14:textId="77777777" w:rsidR="0067196C" w:rsidRPr="000F6B5E" w:rsidRDefault="0067196C" w:rsidP="0067196C">
      <w:pPr>
        <w:spacing w:after="0" w:line="240" w:lineRule="auto"/>
        <w:ind w:firstLine="0"/>
        <w:rPr>
          <w:rFonts w:cstheme="minorHAnsi"/>
        </w:rPr>
      </w:pPr>
      <w:r w:rsidRPr="000F6B5E">
        <w:rPr>
          <w:rFonts w:cstheme="minorHAnsi"/>
          <w:b/>
          <w:bCs/>
        </w:rPr>
        <w:t>Output B:</w:t>
      </w:r>
      <w:r w:rsidRPr="000F6B5E">
        <w:rPr>
          <w:rFonts w:cstheme="minorHAnsi"/>
        </w:rPr>
        <w:t xml:space="preserve"> IT integration plan in place.</w:t>
      </w:r>
    </w:p>
    <w:p w14:paraId="02C465E6" w14:textId="77777777" w:rsidR="0067196C" w:rsidRPr="000F6B5E" w:rsidRDefault="0067196C" w:rsidP="0067196C">
      <w:pPr>
        <w:spacing w:after="0" w:line="240" w:lineRule="auto"/>
        <w:rPr>
          <w:rFonts w:cstheme="minorHAnsi"/>
        </w:rPr>
      </w:pPr>
    </w:p>
    <w:p w14:paraId="4385D8A9" w14:textId="77777777" w:rsidR="0067196C" w:rsidRDefault="0067196C" w:rsidP="0067196C">
      <w:pPr>
        <w:tabs>
          <w:tab w:val="left" w:pos="360"/>
        </w:tabs>
        <w:ind w:firstLine="0"/>
        <w:jc w:val="center"/>
        <w:rPr>
          <w:szCs w:val="14"/>
        </w:rPr>
      </w:pPr>
      <w:r w:rsidRPr="003A10D6">
        <w:rPr>
          <w:sz w:val="36"/>
          <w:szCs w:val="36"/>
        </w:rPr>
        <w:lastRenderedPageBreak/>
        <w:t xml:space="preserve">Activity </w:t>
      </w:r>
      <w:r>
        <w:rPr>
          <w:sz w:val="36"/>
          <w:szCs w:val="36"/>
        </w:rPr>
        <w:t>3</w:t>
      </w:r>
      <w:r>
        <w:rPr>
          <w:szCs w:val="14"/>
        </w:rPr>
        <w:br/>
      </w:r>
      <w:r>
        <w:rPr>
          <w:noProof/>
          <w:lang w:eastAsia="ko-KR"/>
        </w:rPr>
        <w:drawing>
          <wp:inline distT="0" distB="0" distL="0" distR="0" wp14:anchorId="653952E0" wp14:editId="24DB00DE">
            <wp:extent cx="1581912" cy="4572000"/>
            <wp:effectExtent l="0" t="0" r="0" b="0"/>
            <wp:docPr id="169" name="Picture 169" descr="Activity &amp; Outputs Progress 3">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1581912" cy="4572000"/>
                    </a:xfrm>
                    <a:prstGeom prst="rect">
                      <a:avLst/>
                    </a:prstGeom>
                  </pic:spPr>
                </pic:pic>
              </a:graphicData>
            </a:graphic>
          </wp:inline>
        </w:drawing>
      </w:r>
      <w:r>
        <w:rPr>
          <w:sz w:val="36"/>
          <w:szCs w:val="36"/>
        </w:rPr>
        <w:br/>
      </w:r>
      <w:r>
        <w:rPr>
          <w:noProof/>
          <w:lang w:eastAsia="ko-KR"/>
        </w:rPr>
        <w:drawing>
          <wp:inline distT="0" distB="0" distL="0" distR="0" wp14:anchorId="5B44EF49" wp14:editId="134CAC3F">
            <wp:extent cx="2090057" cy="370114"/>
            <wp:effectExtent l="0" t="0" r="5715" b="0"/>
            <wp:docPr id="170" name="Picture 170"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00D59667" w14:textId="77777777" w:rsidR="0067196C" w:rsidRPr="000F6B5E" w:rsidRDefault="0067196C" w:rsidP="0067196C">
      <w:pPr>
        <w:spacing w:after="0" w:line="240" w:lineRule="auto"/>
        <w:ind w:firstLine="0"/>
        <w:rPr>
          <w:rFonts w:cstheme="minorHAnsi"/>
        </w:rPr>
      </w:pPr>
      <w:r w:rsidRPr="000F6B5E">
        <w:rPr>
          <w:rFonts w:cstheme="minorHAnsi"/>
          <w:b/>
          <w:bCs/>
        </w:rPr>
        <w:t>Activity 3:</w:t>
      </w:r>
      <w:r w:rsidRPr="000F6B5E">
        <w:rPr>
          <w:rFonts w:cstheme="minorHAnsi"/>
        </w:rPr>
        <w:t xml:space="preserve"> SVRA and partner training on SARA use.</w:t>
      </w:r>
    </w:p>
    <w:p w14:paraId="1CF7B115" w14:textId="77777777" w:rsidR="0067196C" w:rsidRPr="000F6B5E" w:rsidRDefault="0067196C" w:rsidP="0067196C">
      <w:pPr>
        <w:spacing w:after="0" w:line="240" w:lineRule="auto"/>
        <w:ind w:firstLine="0"/>
        <w:rPr>
          <w:rFonts w:cstheme="minorHAnsi"/>
        </w:rPr>
      </w:pPr>
      <w:r w:rsidRPr="000F6B5E">
        <w:rPr>
          <w:rFonts w:cstheme="minorHAnsi"/>
          <w:b/>
          <w:bCs/>
        </w:rPr>
        <w:t>Output C:</w:t>
      </w:r>
      <w:r w:rsidRPr="000F6B5E">
        <w:rPr>
          <w:rFonts w:cstheme="minorHAnsi"/>
        </w:rPr>
        <w:t xml:space="preserve"> Number trained.</w:t>
      </w:r>
    </w:p>
    <w:p w14:paraId="655126EE" w14:textId="77777777" w:rsidR="0067196C" w:rsidRDefault="0067196C" w:rsidP="0067196C">
      <w:pPr>
        <w:tabs>
          <w:tab w:val="left" w:pos="360"/>
        </w:tabs>
        <w:ind w:firstLine="0"/>
        <w:jc w:val="center"/>
        <w:rPr>
          <w:szCs w:val="14"/>
        </w:rPr>
      </w:pPr>
      <w:r w:rsidRPr="003A10D6">
        <w:rPr>
          <w:sz w:val="36"/>
          <w:szCs w:val="36"/>
        </w:rPr>
        <w:t xml:space="preserve">Activity </w:t>
      </w:r>
      <w:r>
        <w:rPr>
          <w:sz w:val="36"/>
          <w:szCs w:val="36"/>
        </w:rPr>
        <w:t>4</w:t>
      </w:r>
      <w:r>
        <w:rPr>
          <w:szCs w:val="14"/>
        </w:rPr>
        <w:br/>
      </w:r>
      <w:r>
        <w:rPr>
          <w:noProof/>
          <w:lang w:eastAsia="ko-KR"/>
        </w:rPr>
        <w:drawing>
          <wp:inline distT="0" distB="0" distL="0" distR="0" wp14:anchorId="5AE011FD" wp14:editId="26F27B45">
            <wp:extent cx="1581912" cy="4572000"/>
            <wp:effectExtent l="0" t="0" r="0" b="0"/>
            <wp:docPr id="171" name="Picture 171" descr="Activity &amp; Outputs Progress 4">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1581912" cy="4572000"/>
                    </a:xfrm>
                    <a:prstGeom prst="rect">
                      <a:avLst/>
                    </a:prstGeom>
                  </pic:spPr>
                </pic:pic>
              </a:graphicData>
            </a:graphic>
          </wp:inline>
        </w:drawing>
      </w:r>
      <w:r>
        <w:rPr>
          <w:sz w:val="36"/>
          <w:szCs w:val="36"/>
        </w:rPr>
        <w:br/>
      </w:r>
      <w:r>
        <w:rPr>
          <w:noProof/>
          <w:lang w:eastAsia="ko-KR"/>
        </w:rPr>
        <w:drawing>
          <wp:inline distT="0" distB="0" distL="0" distR="0" wp14:anchorId="7AC1CA86" wp14:editId="1FE59645">
            <wp:extent cx="2090057" cy="370114"/>
            <wp:effectExtent l="0" t="0" r="5715" b="0"/>
            <wp:docPr id="172" name="Picture 172"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754F558E" w14:textId="77777777" w:rsidR="0067196C" w:rsidRPr="000F6B5E" w:rsidRDefault="0067196C" w:rsidP="0067196C">
      <w:pPr>
        <w:spacing w:after="0" w:line="240" w:lineRule="auto"/>
        <w:ind w:firstLine="0"/>
        <w:rPr>
          <w:rFonts w:cstheme="minorHAnsi"/>
        </w:rPr>
      </w:pPr>
      <w:r w:rsidRPr="000F6B5E">
        <w:rPr>
          <w:rFonts w:cstheme="minorHAnsi"/>
          <w:b/>
          <w:bCs/>
        </w:rPr>
        <w:t>Activity 4:</w:t>
      </w:r>
      <w:r w:rsidRPr="000F6B5E">
        <w:rPr>
          <w:rFonts w:cstheme="minorHAnsi"/>
        </w:rPr>
        <w:t xml:space="preserve"> Adaptation of existing, or development of new, interview templates as required.</w:t>
      </w:r>
    </w:p>
    <w:p w14:paraId="7F92300D" w14:textId="77777777" w:rsidR="0067196C" w:rsidRDefault="0067196C" w:rsidP="0067196C">
      <w:pPr>
        <w:spacing w:after="0" w:line="240" w:lineRule="auto"/>
        <w:ind w:firstLine="0"/>
        <w:rPr>
          <w:rFonts w:cstheme="minorHAnsi"/>
        </w:rPr>
      </w:pPr>
      <w:r w:rsidRPr="000F6B5E">
        <w:rPr>
          <w:rFonts w:cstheme="minorHAnsi"/>
          <w:b/>
          <w:bCs/>
        </w:rPr>
        <w:t>Output D:</w:t>
      </w:r>
      <w:r w:rsidRPr="000F6B5E">
        <w:rPr>
          <w:rFonts w:cstheme="minorHAnsi"/>
        </w:rPr>
        <w:t xml:space="preserve"> Number and type of interview templates integrated for use.</w:t>
      </w:r>
    </w:p>
    <w:p w14:paraId="264A7283" w14:textId="77777777" w:rsidR="0067196C" w:rsidRDefault="0067196C" w:rsidP="0067196C">
      <w:pPr>
        <w:tabs>
          <w:tab w:val="left" w:pos="360"/>
        </w:tabs>
        <w:ind w:firstLine="0"/>
        <w:jc w:val="center"/>
        <w:rPr>
          <w:szCs w:val="14"/>
        </w:rPr>
      </w:pPr>
      <w:r w:rsidRPr="003A10D6">
        <w:rPr>
          <w:sz w:val="36"/>
          <w:szCs w:val="36"/>
        </w:rPr>
        <w:lastRenderedPageBreak/>
        <w:t xml:space="preserve">Activity </w:t>
      </w:r>
      <w:r>
        <w:rPr>
          <w:sz w:val="36"/>
          <w:szCs w:val="36"/>
        </w:rPr>
        <w:t>5</w:t>
      </w:r>
      <w:r>
        <w:rPr>
          <w:szCs w:val="14"/>
        </w:rPr>
        <w:br/>
      </w:r>
      <w:r>
        <w:rPr>
          <w:noProof/>
          <w:lang w:eastAsia="ko-KR"/>
        </w:rPr>
        <w:drawing>
          <wp:inline distT="0" distB="0" distL="0" distR="0" wp14:anchorId="06F66A90" wp14:editId="0997353F">
            <wp:extent cx="1581912" cy="4572000"/>
            <wp:effectExtent l="0" t="0" r="0" b="0"/>
            <wp:docPr id="173" name="Picture 173" descr="Activity &amp; Outputs Progress 5">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1581912" cy="4572000"/>
                    </a:xfrm>
                    <a:prstGeom prst="rect">
                      <a:avLst/>
                    </a:prstGeom>
                  </pic:spPr>
                </pic:pic>
              </a:graphicData>
            </a:graphic>
          </wp:inline>
        </w:drawing>
      </w:r>
      <w:r>
        <w:rPr>
          <w:sz w:val="36"/>
          <w:szCs w:val="36"/>
        </w:rPr>
        <w:br/>
      </w:r>
      <w:r>
        <w:rPr>
          <w:noProof/>
          <w:lang w:eastAsia="ko-KR"/>
        </w:rPr>
        <w:drawing>
          <wp:inline distT="0" distB="0" distL="0" distR="0" wp14:anchorId="0700DAC4" wp14:editId="209648FF">
            <wp:extent cx="2090057" cy="370114"/>
            <wp:effectExtent l="0" t="0" r="5715" b="0"/>
            <wp:docPr id="174" name="Picture 174"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1117D4F3" w14:textId="77777777" w:rsidR="0067196C" w:rsidRPr="000F6B5E" w:rsidRDefault="0067196C" w:rsidP="0067196C">
      <w:pPr>
        <w:spacing w:after="0" w:line="240" w:lineRule="auto"/>
        <w:ind w:firstLine="0"/>
        <w:rPr>
          <w:rFonts w:cstheme="minorHAnsi"/>
        </w:rPr>
      </w:pPr>
      <w:r w:rsidRPr="000F6B5E">
        <w:rPr>
          <w:rFonts w:cstheme="minorHAnsi"/>
          <w:b/>
          <w:bCs/>
        </w:rPr>
        <w:t>Activity 5:</w:t>
      </w:r>
      <w:r w:rsidRPr="000F6B5E">
        <w:rPr>
          <w:rFonts w:cstheme="minorHAnsi"/>
        </w:rPr>
        <w:t xml:space="preserve"> Creation of customized reports generated by SARA to support Common Performance Measures reporting.</w:t>
      </w:r>
    </w:p>
    <w:p w14:paraId="5A511B15" w14:textId="77777777" w:rsidR="0067196C" w:rsidRPr="000F6B5E" w:rsidRDefault="0067196C" w:rsidP="0067196C">
      <w:pPr>
        <w:spacing w:after="0" w:line="240" w:lineRule="auto"/>
        <w:ind w:firstLine="0"/>
        <w:rPr>
          <w:rFonts w:cstheme="minorHAnsi"/>
        </w:rPr>
      </w:pPr>
      <w:r w:rsidRPr="000F6B5E">
        <w:rPr>
          <w:rFonts w:cstheme="minorHAnsi"/>
          <w:b/>
          <w:bCs/>
        </w:rPr>
        <w:t>Output E:</w:t>
      </w:r>
      <w:r w:rsidRPr="000F6B5E">
        <w:rPr>
          <w:rFonts w:cstheme="minorHAnsi"/>
        </w:rPr>
        <w:t xml:space="preserve"> CPM reports generated.</w:t>
      </w:r>
    </w:p>
    <w:p w14:paraId="7488E64B" w14:textId="77777777" w:rsidR="0067196C" w:rsidRDefault="0067196C" w:rsidP="0067196C">
      <w:pPr>
        <w:tabs>
          <w:tab w:val="left" w:pos="360"/>
        </w:tabs>
        <w:ind w:firstLine="0"/>
        <w:jc w:val="center"/>
        <w:rPr>
          <w:szCs w:val="14"/>
        </w:rPr>
      </w:pPr>
      <w:r w:rsidRPr="003A10D6">
        <w:rPr>
          <w:sz w:val="36"/>
          <w:szCs w:val="36"/>
        </w:rPr>
        <w:t xml:space="preserve">Activity </w:t>
      </w:r>
      <w:r>
        <w:rPr>
          <w:sz w:val="36"/>
          <w:szCs w:val="36"/>
        </w:rPr>
        <w:t>6</w:t>
      </w:r>
      <w:r>
        <w:rPr>
          <w:szCs w:val="14"/>
        </w:rPr>
        <w:br/>
      </w:r>
      <w:r>
        <w:rPr>
          <w:noProof/>
          <w:lang w:eastAsia="ko-KR"/>
        </w:rPr>
        <w:drawing>
          <wp:inline distT="0" distB="0" distL="0" distR="0" wp14:anchorId="7E3A1E92" wp14:editId="16344D6E">
            <wp:extent cx="1581912" cy="4572000"/>
            <wp:effectExtent l="0" t="0" r="0" b="0"/>
            <wp:docPr id="175" name="Picture 175" descr="Activity &amp; Outputs Progress 6">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1581912" cy="4572000"/>
                    </a:xfrm>
                    <a:prstGeom prst="rect">
                      <a:avLst/>
                    </a:prstGeom>
                  </pic:spPr>
                </pic:pic>
              </a:graphicData>
            </a:graphic>
          </wp:inline>
        </w:drawing>
      </w:r>
      <w:r>
        <w:rPr>
          <w:sz w:val="36"/>
          <w:szCs w:val="36"/>
        </w:rPr>
        <w:br/>
      </w:r>
      <w:r>
        <w:rPr>
          <w:noProof/>
          <w:lang w:eastAsia="ko-KR"/>
        </w:rPr>
        <w:drawing>
          <wp:inline distT="0" distB="0" distL="0" distR="0" wp14:anchorId="084BBA28" wp14:editId="1FC0A1CC">
            <wp:extent cx="2090057" cy="370114"/>
            <wp:effectExtent l="0" t="0" r="5715" b="0"/>
            <wp:docPr id="176" name="Picture 176"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42F7BA24" w14:textId="77777777" w:rsidR="0067196C" w:rsidRPr="000F6B5E" w:rsidRDefault="0067196C" w:rsidP="0067196C">
      <w:pPr>
        <w:spacing w:after="0" w:line="240" w:lineRule="auto"/>
        <w:ind w:firstLine="0"/>
        <w:rPr>
          <w:rFonts w:cstheme="minorHAnsi"/>
        </w:rPr>
      </w:pPr>
      <w:r w:rsidRPr="000F6B5E">
        <w:rPr>
          <w:rFonts w:cstheme="minorHAnsi"/>
          <w:b/>
          <w:bCs/>
        </w:rPr>
        <w:t>Activity 6:</w:t>
      </w:r>
      <w:r w:rsidRPr="000F6B5E">
        <w:rPr>
          <w:rFonts w:cstheme="minorHAnsi"/>
        </w:rPr>
        <w:t xml:space="preserve"> Creation of customized reports generated by SARA to support client outreach and follow-up.</w:t>
      </w:r>
    </w:p>
    <w:p w14:paraId="34ACCA53" w14:textId="77777777" w:rsidR="0067196C" w:rsidRPr="000F6B5E" w:rsidRDefault="0067196C" w:rsidP="0067196C">
      <w:pPr>
        <w:spacing w:after="0" w:line="240" w:lineRule="auto"/>
        <w:ind w:firstLine="0"/>
        <w:rPr>
          <w:rFonts w:cstheme="minorHAnsi"/>
        </w:rPr>
      </w:pPr>
      <w:r w:rsidRPr="000F6B5E">
        <w:rPr>
          <w:rFonts w:cstheme="minorHAnsi"/>
          <w:b/>
          <w:bCs/>
        </w:rPr>
        <w:t>Output F:</w:t>
      </w:r>
      <w:r w:rsidRPr="000F6B5E">
        <w:rPr>
          <w:rFonts w:cstheme="minorHAnsi"/>
        </w:rPr>
        <w:t xml:space="preserve"> Client outreach and follow-up reports generated.  Client satisfaction survey data.</w:t>
      </w:r>
    </w:p>
    <w:p w14:paraId="63DAA46C" w14:textId="77777777" w:rsidR="0067196C" w:rsidRDefault="0067196C" w:rsidP="0067196C">
      <w:pPr>
        <w:tabs>
          <w:tab w:val="left" w:pos="360"/>
        </w:tabs>
        <w:ind w:firstLine="0"/>
        <w:jc w:val="center"/>
        <w:rPr>
          <w:szCs w:val="14"/>
        </w:rPr>
      </w:pPr>
      <w:r w:rsidRPr="003A10D6">
        <w:rPr>
          <w:sz w:val="36"/>
          <w:szCs w:val="36"/>
        </w:rPr>
        <w:lastRenderedPageBreak/>
        <w:t xml:space="preserve">Activity </w:t>
      </w:r>
      <w:r>
        <w:rPr>
          <w:sz w:val="36"/>
          <w:szCs w:val="36"/>
        </w:rPr>
        <w:t>7</w:t>
      </w:r>
      <w:r>
        <w:rPr>
          <w:szCs w:val="14"/>
        </w:rPr>
        <w:br/>
      </w:r>
      <w:r>
        <w:rPr>
          <w:noProof/>
          <w:lang w:eastAsia="ko-KR"/>
        </w:rPr>
        <w:drawing>
          <wp:inline distT="0" distB="0" distL="0" distR="0" wp14:anchorId="68333C19" wp14:editId="65EB2ED1">
            <wp:extent cx="1581912" cy="4572000"/>
            <wp:effectExtent l="0" t="0" r="0" b="0"/>
            <wp:docPr id="177" name="Picture 177" descr="Activity &amp; Outputs Progress 7">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1581912" cy="4572000"/>
                    </a:xfrm>
                    <a:prstGeom prst="rect">
                      <a:avLst/>
                    </a:prstGeom>
                  </pic:spPr>
                </pic:pic>
              </a:graphicData>
            </a:graphic>
          </wp:inline>
        </w:drawing>
      </w:r>
      <w:r>
        <w:rPr>
          <w:sz w:val="36"/>
          <w:szCs w:val="36"/>
        </w:rPr>
        <w:br/>
      </w:r>
      <w:r>
        <w:rPr>
          <w:noProof/>
          <w:lang w:eastAsia="ko-KR"/>
        </w:rPr>
        <w:drawing>
          <wp:inline distT="0" distB="0" distL="0" distR="0" wp14:anchorId="4E8FA06E" wp14:editId="64FFA796">
            <wp:extent cx="2090057" cy="370114"/>
            <wp:effectExtent l="0" t="0" r="5715" b="0"/>
            <wp:docPr id="178" name="Picture 178"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38FF18ED" w14:textId="77777777" w:rsidR="0067196C" w:rsidRDefault="0067196C" w:rsidP="0067196C">
      <w:pPr>
        <w:spacing w:after="0" w:line="240" w:lineRule="auto"/>
        <w:ind w:firstLine="0"/>
        <w:rPr>
          <w:u w:val="single"/>
        </w:rPr>
      </w:pPr>
      <w:r>
        <w:rPr>
          <w:rFonts w:cstheme="minorHAnsi"/>
          <w:b/>
          <w:bCs/>
        </w:rPr>
        <w:t xml:space="preserve">Activity 7: </w:t>
      </w:r>
      <w:r w:rsidRPr="000F6B5E">
        <w:rPr>
          <w:rFonts w:cstheme="minorHAnsi"/>
        </w:rPr>
        <w:t xml:space="preserve"> Creation of customized alert systems and reports generated and delivered by SARA to </w:t>
      </w:r>
      <w:r>
        <w:rPr>
          <w:rFonts w:cstheme="minorHAnsi"/>
        </w:rPr>
        <w:t>s</w:t>
      </w:r>
      <w:r w:rsidRPr="000F6B5E">
        <w:rPr>
          <w:rFonts w:cstheme="minorHAnsi"/>
        </w:rPr>
        <w:t>upport continuous quality improvement efforts related to CPMs and client engagement.</w:t>
      </w:r>
    </w:p>
    <w:p w14:paraId="743A5658" w14:textId="2CA45FE2" w:rsidR="0067196C" w:rsidRPr="0067196C" w:rsidRDefault="0067196C" w:rsidP="0067196C">
      <w:pPr>
        <w:spacing w:after="0" w:line="240" w:lineRule="auto"/>
        <w:ind w:firstLine="0"/>
        <w:rPr>
          <w:u w:val="single"/>
        </w:rPr>
        <w:sectPr w:rsidR="0067196C" w:rsidRPr="0067196C" w:rsidSect="00623C47">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num="2" w:space="720"/>
          <w:docGrid w:linePitch="360"/>
        </w:sectPr>
      </w:pPr>
      <w:r w:rsidRPr="0067196C">
        <w:rPr>
          <w:b/>
          <w:bCs/>
        </w:rPr>
        <w:t>Output G:</w:t>
      </w:r>
      <w:r w:rsidRPr="0067196C">
        <w:t xml:space="preserve"> Customized alerts in system; customized reports generated.</w:t>
      </w:r>
    </w:p>
    <w:p w14:paraId="7D0F6314" w14:textId="06CC72EE" w:rsidR="0067196C" w:rsidRPr="0067196C" w:rsidRDefault="0067196C" w:rsidP="0067196C">
      <w:pPr>
        <w:pStyle w:val="Heading2"/>
      </w:pPr>
      <w:bookmarkStart w:id="151" w:name="_Toc41940264"/>
      <w:r w:rsidRPr="0067196C">
        <w:lastRenderedPageBreak/>
        <w:t>SARA Pilots: Outcomes Progress Dashboards</w:t>
      </w:r>
      <w:bookmarkEnd w:id="151"/>
    </w:p>
    <w:p w14:paraId="5258F2DF" w14:textId="77777777" w:rsidR="0067196C" w:rsidRDefault="0067196C" w:rsidP="0067196C"/>
    <w:p w14:paraId="396A318D" w14:textId="77777777" w:rsidR="0067196C" w:rsidRDefault="0067196C" w:rsidP="0067196C">
      <w:pPr>
        <w:ind w:firstLine="0"/>
        <w:jc w:val="center"/>
      </w:pPr>
      <w:r>
        <w:rPr>
          <w:noProof/>
          <w:lang w:eastAsia="ko-KR"/>
        </w:rPr>
        <w:drawing>
          <wp:inline distT="0" distB="0" distL="0" distR="0" wp14:anchorId="6A4FC8DF" wp14:editId="6CE5A2EE">
            <wp:extent cx="5823735" cy="2895600"/>
            <wp:effectExtent l="0" t="0" r="5715" b="0"/>
            <wp:docPr id="179" name="Picture 179" descr="Outcomes Progress speedometer showing 99% complete">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870739" cy="2918971"/>
                    </a:xfrm>
                    <a:prstGeom prst="rect">
                      <a:avLst/>
                    </a:prstGeom>
                  </pic:spPr>
                </pic:pic>
              </a:graphicData>
            </a:graphic>
          </wp:inline>
        </w:drawing>
      </w:r>
    </w:p>
    <w:p w14:paraId="3643BD29" w14:textId="51CC4BC4" w:rsidR="0067196C" w:rsidRPr="0067196C" w:rsidRDefault="0067196C" w:rsidP="0067196C">
      <w:bookmarkStart w:id="152" w:name="_Hlk41760624"/>
      <w:r w:rsidRPr="00445388">
        <w:t xml:space="preserve">This </w:t>
      </w:r>
      <w:r>
        <w:t>speedometer</w:t>
      </w:r>
      <w:r w:rsidRPr="00445388">
        <w:t xml:space="preserve"> shows </w:t>
      </w:r>
      <w:r>
        <w:t>virtually all</w:t>
      </w:r>
      <w:r w:rsidRPr="00445388">
        <w:t xml:space="preserve"> (</w:t>
      </w:r>
      <w:r>
        <w:t>99</w:t>
      </w:r>
      <w:r w:rsidRPr="00445388">
        <w:t xml:space="preserve">%) of outcomes complete </w:t>
      </w:r>
      <w:r>
        <w:t>and</w:t>
      </w:r>
      <w:r w:rsidRPr="00445388">
        <w:t xml:space="preserve"> </w:t>
      </w:r>
      <w:r>
        <w:t>just one remaining to be finished off, though it is 90% complete</w:t>
      </w:r>
      <w:r w:rsidRPr="00445388">
        <w:t>.</w:t>
      </w:r>
      <w:bookmarkEnd w:id="152"/>
      <w:r>
        <w:t xml:space="preserve">  This outcome is the signing of a data sharing agreement, which the TA Team has taken as far as it can and State parties need to complete through final endorsements.</w:t>
      </w:r>
    </w:p>
    <w:p w14:paraId="5FBC8DF5" w14:textId="77777777" w:rsidR="0067196C" w:rsidRDefault="0067196C" w:rsidP="0067196C">
      <w:pPr>
        <w:rPr>
          <w:b/>
          <w:bCs/>
          <w:u w:val="single"/>
        </w:rPr>
      </w:pPr>
      <w:r w:rsidRPr="00A00869">
        <w:rPr>
          <w:b/>
          <w:bCs/>
          <w:u w:val="single"/>
        </w:rPr>
        <w:t xml:space="preserve">SARA interview templates related to CPMs. </w:t>
      </w:r>
    </w:p>
    <w:p w14:paraId="5F9ED575" w14:textId="77777777" w:rsidR="0067196C" w:rsidRPr="00F84C70" w:rsidRDefault="0067196C" w:rsidP="0067196C">
      <w:r w:rsidRPr="00F84C70">
        <w:t>**</w:t>
      </w:r>
      <w:r w:rsidRPr="00F84C70">
        <w:rPr>
          <w:i/>
          <w:iCs/>
        </w:rPr>
        <w:t>(This data appears unchanged from Y4Q4</w:t>
      </w:r>
      <w:r>
        <w:rPr>
          <w:i/>
          <w:iCs/>
        </w:rPr>
        <w:t>.  It is unclear if it is unchanged or not updated.</w:t>
      </w:r>
      <w:r w:rsidRPr="00F84C70">
        <w:rPr>
          <w:i/>
          <w:iCs/>
        </w:rPr>
        <w:t>)</w:t>
      </w:r>
    </w:p>
    <w:p w14:paraId="6B6FC118" w14:textId="77777777" w:rsidR="0067196C" w:rsidRPr="00AD2BF0" w:rsidRDefault="0067196C" w:rsidP="00C575C8">
      <w:pPr>
        <w:pStyle w:val="ListParagraph"/>
        <w:numPr>
          <w:ilvl w:val="0"/>
          <w:numId w:val="81"/>
        </w:numPr>
      </w:pPr>
      <w:r w:rsidRPr="00A00869">
        <w:rPr>
          <w:u w:val="single"/>
        </w:rPr>
        <w:t>Alaska</w:t>
      </w:r>
      <w:r w:rsidRPr="00AD2BF0">
        <w:t>: 3 Templates related to CPMs, including 1 After Exit. SARA has contacted 3,650 clients regarding CPMs and recorded 226 clients who entered employment.</w:t>
      </w:r>
    </w:p>
    <w:p w14:paraId="394F9C85" w14:textId="77777777" w:rsidR="0067196C" w:rsidRPr="00AD2BF0" w:rsidRDefault="0067196C" w:rsidP="00C575C8">
      <w:pPr>
        <w:pStyle w:val="ListParagraph"/>
        <w:numPr>
          <w:ilvl w:val="0"/>
          <w:numId w:val="81"/>
        </w:numPr>
      </w:pPr>
      <w:r w:rsidRPr="00A00869">
        <w:rPr>
          <w:u w:val="single"/>
        </w:rPr>
        <w:t>Kentucky</w:t>
      </w:r>
      <w:r w:rsidRPr="00AD2BF0">
        <w:t>: 6 templates including 4 After Exit contacting 1,883 clients and recording 157 clients who entered employment.</w:t>
      </w:r>
    </w:p>
    <w:p w14:paraId="3E347C40" w14:textId="77777777" w:rsidR="0067196C" w:rsidRPr="00AD2BF0" w:rsidRDefault="0067196C" w:rsidP="00C575C8">
      <w:pPr>
        <w:pStyle w:val="ListParagraph"/>
        <w:numPr>
          <w:ilvl w:val="0"/>
          <w:numId w:val="81"/>
        </w:numPr>
      </w:pPr>
      <w:r w:rsidRPr="00A00869">
        <w:rPr>
          <w:u w:val="single"/>
        </w:rPr>
        <w:t>Nevada</w:t>
      </w:r>
      <w:r w:rsidRPr="00AD2BF0">
        <w:t>: 3 Templates including 1 After Exit, contacting 2,982 clients recording 225 clients who have entered employment.</w:t>
      </w:r>
    </w:p>
    <w:p w14:paraId="7E8F663B" w14:textId="77777777" w:rsidR="0067196C" w:rsidRDefault="0067196C" w:rsidP="0067196C">
      <w:pPr>
        <w:ind w:left="360"/>
        <w:rPr>
          <w:b/>
          <w:bCs/>
          <w:u w:val="single"/>
        </w:rPr>
      </w:pPr>
    </w:p>
    <w:p w14:paraId="5E51F478" w14:textId="77777777" w:rsidR="0067196C" w:rsidRDefault="0067196C" w:rsidP="0067196C">
      <w:pPr>
        <w:ind w:left="360"/>
        <w:rPr>
          <w:b/>
          <w:bCs/>
          <w:u w:val="single"/>
        </w:rPr>
        <w:sectPr w:rsidR="0067196C" w:rsidSect="00623C47">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269CCB2F" w14:textId="1D524FA2" w:rsidR="00717E3D" w:rsidRPr="007F5E6F" w:rsidRDefault="00717E3D" w:rsidP="00554786">
      <w:pPr>
        <w:spacing w:after="0" w:line="240" w:lineRule="auto"/>
        <w:ind w:right="-180" w:firstLine="0"/>
        <w:rPr>
          <w:b/>
          <w:bCs/>
          <w:i/>
          <w:iCs/>
          <w:u w:val="single"/>
        </w:rPr>
      </w:pPr>
      <w:r>
        <w:rPr>
          <w:noProof/>
          <w:lang w:eastAsia="ko-KR"/>
        </w:rPr>
        <w:lastRenderedPageBreak/>
        <w:drawing>
          <wp:inline distT="0" distB="0" distL="0" distR="0" wp14:anchorId="6B1A0C78" wp14:editId="2DF4310A">
            <wp:extent cx="2940908" cy="2715263"/>
            <wp:effectExtent l="0" t="0" r="0" b="8890"/>
            <wp:docPr id="439" name="Picture 439" descr="Vertical bar chart graph reflecting SARA's capture of CPM 4 (credentials) and CPM 5 (measurable skills gain) for Year 4 Quarter 4 for each of the 3 pilot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2994881" cy="2765095"/>
                    </a:xfrm>
                    <a:prstGeom prst="rect">
                      <a:avLst/>
                    </a:prstGeom>
                  </pic:spPr>
                </pic:pic>
              </a:graphicData>
            </a:graphic>
          </wp:inline>
        </w:drawing>
      </w:r>
      <w:r w:rsidR="00554786" w:rsidRPr="00554786">
        <w:rPr>
          <w:noProof/>
        </w:rPr>
        <w:t xml:space="preserve"> </w:t>
      </w:r>
      <w:r w:rsidR="00554786">
        <w:rPr>
          <w:noProof/>
          <w:lang w:eastAsia="ko-KR"/>
        </w:rPr>
        <w:drawing>
          <wp:inline distT="0" distB="0" distL="0" distR="0" wp14:anchorId="58F81931" wp14:editId="24EB38BE">
            <wp:extent cx="2907956" cy="2780289"/>
            <wp:effectExtent l="0" t="0" r="6985" b="1270"/>
            <wp:docPr id="440" name="Picture 440" descr="Vertical bar chart graph reflecting SARA's capture of CPM 4 (credentials) and CPM 5 (measurable skills gain) for Year 5 Quarter 2 for each of the 3 pilot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2967137" cy="2836872"/>
                    </a:xfrm>
                    <a:prstGeom prst="rect">
                      <a:avLst/>
                    </a:prstGeom>
                  </pic:spPr>
                </pic:pic>
              </a:graphicData>
            </a:graphic>
          </wp:inline>
        </w:drawing>
      </w:r>
    </w:p>
    <w:p w14:paraId="14124933" w14:textId="7ABB3592" w:rsidR="0067196C" w:rsidRDefault="008A190D" w:rsidP="0067196C">
      <w:pPr>
        <w:ind w:left="360"/>
      </w:pPr>
      <w:r>
        <w:t xml:space="preserve">CPM </w:t>
      </w:r>
      <w:r w:rsidR="0067196C">
        <w:t>data collected by SARA appears to have increased over the past 2 quarters for CPM 4 related to credentials and the number of clients reporting finding a job.  Data for CPM 5 related to measurable skills gain and clients reporting completion of a training/education program appears unchaged.  It is unclear if the data is unchanged or was not updated.</w:t>
      </w:r>
    </w:p>
    <w:p w14:paraId="1C8ED763" w14:textId="77777777" w:rsidR="0067196C" w:rsidRPr="00920A57" w:rsidRDefault="0067196C" w:rsidP="0067196C">
      <w:pPr>
        <w:ind w:left="360"/>
        <w:rPr>
          <w:b/>
          <w:bCs/>
          <w:u w:val="single"/>
        </w:rPr>
      </w:pPr>
    </w:p>
    <w:p w14:paraId="2EE9AABC" w14:textId="1A9D57E4" w:rsidR="0067196C" w:rsidRDefault="00707B58" w:rsidP="00707B58">
      <w:pPr>
        <w:ind w:left="360" w:hanging="360"/>
        <w:rPr>
          <w:b/>
          <w:bCs/>
          <w:u w:val="single"/>
        </w:rPr>
      </w:pPr>
      <w:r>
        <w:rPr>
          <w:noProof/>
          <w:lang w:eastAsia="ko-KR"/>
        </w:rPr>
        <w:drawing>
          <wp:inline distT="0" distB="0" distL="0" distR="0" wp14:anchorId="21419781" wp14:editId="6C5DE2E3">
            <wp:extent cx="5648325" cy="3333750"/>
            <wp:effectExtent l="19050" t="19050" r="28575" b="19050"/>
            <wp:docPr id="190" name="Picture 190" descr="Horizontal bar chart graph depicting SARA capture of CPM 6 - employer data for Year 4Q4 for each of the 3 pilot sites.  NV shows the highest numbers (261 total employers, 35 repeat employers), KY the 2nd highest (133 total employers, 9 repeat employers), and Alaska the lowest numbers (73 total employers, 5 repeat emplo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6"/>
                    <a:srcRect l="2564" t="3440" r="2404" b="3951"/>
                    <a:stretch/>
                  </pic:blipFill>
                  <pic:spPr bwMode="auto">
                    <a:xfrm>
                      <a:off x="0" y="0"/>
                      <a:ext cx="5648325" cy="33337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547C9DC" w14:textId="77777777" w:rsidR="0067196C" w:rsidRPr="00E44BAB" w:rsidRDefault="0067196C" w:rsidP="0067196C">
      <w:pPr>
        <w:ind w:left="360"/>
      </w:pPr>
      <w:r>
        <w:t>SARA Capture of data for CPM 6 related to the total number of employers and repeat employers was not provided.</w:t>
      </w:r>
    </w:p>
    <w:p w14:paraId="3E17D56A" w14:textId="7B2198E9" w:rsidR="0067196C" w:rsidRDefault="00707B58" w:rsidP="00707B58">
      <w:pPr>
        <w:ind w:left="360" w:firstLine="0"/>
        <w:rPr>
          <w:b/>
          <w:bCs/>
          <w:u w:val="single"/>
        </w:rPr>
      </w:pPr>
      <w:r>
        <w:rPr>
          <w:noProof/>
          <w:lang w:eastAsia="ko-KR"/>
        </w:rPr>
        <w:lastRenderedPageBreak/>
        <w:drawing>
          <wp:inline distT="0" distB="0" distL="0" distR="0" wp14:anchorId="52F42A0A" wp14:editId="7BFDA429">
            <wp:extent cx="5514975" cy="3276600"/>
            <wp:effectExtent l="19050" t="19050" r="28575" b="19050"/>
            <wp:docPr id="191" name="Picture 191" descr="Vertical bar chart graph depicting SARA capture of co-enrollment data for Y4Q4 for all 3 pilot sites.  Because NV has not signed a data sharing agreement, this data cannot be captured by SARA.  In KY, there are 54 co-enrollments reported and in AK, there are 38 co-enrollments repo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7"/>
                    <a:srcRect l="4327" t="5775" r="2885" b="3921"/>
                    <a:stretch/>
                  </pic:blipFill>
                  <pic:spPr bwMode="auto">
                    <a:xfrm>
                      <a:off x="0" y="0"/>
                      <a:ext cx="5514975" cy="32766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3630AD7" w14:textId="77777777" w:rsidR="0067196C" w:rsidRPr="007F5E6F" w:rsidRDefault="0067196C" w:rsidP="0067196C">
      <w:pPr>
        <w:ind w:left="360"/>
        <w:rPr>
          <w:i/>
          <w:iCs/>
        </w:rPr>
      </w:pPr>
      <w:r w:rsidRPr="007F5E6F">
        <w:rPr>
          <w:i/>
          <w:iCs/>
        </w:rPr>
        <w:t>*Co-enrollment data for Nevada will be available once they complete their data sharing agreement.</w:t>
      </w:r>
    </w:p>
    <w:p w14:paraId="79A3B0F2" w14:textId="145F18CA" w:rsidR="0067196C" w:rsidRDefault="0067196C" w:rsidP="0067196C">
      <w:pPr>
        <w:ind w:left="360"/>
        <w:rPr>
          <w:b/>
          <w:bCs/>
          <w:u w:val="single"/>
        </w:rPr>
      </w:pPr>
      <w:r>
        <w:t>For Y5Q2, data for co-enrollment appears uncha</w:t>
      </w:r>
      <w:r w:rsidR="00F16704">
        <w:t>n</w:t>
      </w:r>
      <w:r>
        <w:t>ged.  It is unclear if the data is unchanged or was not updated.</w:t>
      </w:r>
    </w:p>
    <w:p w14:paraId="73C3F467" w14:textId="77777777" w:rsidR="0067196C" w:rsidRPr="00483D23" w:rsidRDefault="0067196C" w:rsidP="0067196C">
      <w:pPr>
        <w:ind w:left="360" w:firstLine="0"/>
        <w:rPr>
          <w:b/>
          <w:bCs/>
          <w:u w:val="single"/>
        </w:rPr>
      </w:pPr>
      <w:r w:rsidRPr="00483D23">
        <w:rPr>
          <w:b/>
          <w:bCs/>
          <w:u w:val="single"/>
        </w:rPr>
        <w:t xml:space="preserve">SARA support of VRC time efficiency. </w:t>
      </w:r>
    </w:p>
    <w:p w14:paraId="3F8406F5" w14:textId="77777777" w:rsidR="0067196C" w:rsidRPr="00AD2BF0" w:rsidRDefault="0067196C" w:rsidP="00C575C8">
      <w:pPr>
        <w:pStyle w:val="ListParagraph"/>
        <w:numPr>
          <w:ilvl w:val="0"/>
          <w:numId w:val="79"/>
        </w:numPr>
        <w:ind w:left="720" w:firstLine="0"/>
      </w:pPr>
      <w:r w:rsidRPr="00483D23">
        <w:rPr>
          <w:u w:val="single"/>
        </w:rPr>
        <w:t>Alaska</w:t>
      </w:r>
      <w:r w:rsidRPr="00AD2BF0">
        <w:t xml:space="preserve">: VRCs are able to easily share their caseloads with their technicians and assistants so they are all on the same page, via electronic case notes. Prior to SARA, the agency required VRCs to print out all case notes and maintain paper files so anyone could access the history of the client at any time. With SARA implemented and automatically documenting every client interaction, the agency no longer prints out case notes. SARA allows staff to send out text messages and e-mails in Bulk to multiple clients at the same time, </w:t>
      </w:r>
      <w:r w:rsidRPr="00483D23">
        <w:t>drastically reducing the amount of time spent on repetitive communication tasks</w:t>
      </w:r>
      <w:r w:rsidRPr="00AD2BF0">
        <w:t xml:space="preserve">. </w:t>
      </w:r>
    </w:p>
    <w:p w14:paraId="470BC270" w14:textId="77777777" w:rsidR="0067196C" w:rsidRPr="00AD2BF0" w:rsidRDefault="0067196C" w:rsidP="00C575C8">
      <w:pPr>
        <w:pStyle w:val="ListParagraph"/>
        <w:numPr>
          <w:ilvl w:val="0"/>
          <w:numId w:val="79"/>
        </w:numPr>
        <w:ind w:left="720" w:firstLine="0"/>
      </w:pPr>
      <w:r w:rsidRPr="00483D23">
        <w:rPr>
          <w:u w:val="single"/>
        </w:rPr>
        <w:t>Kentucky</w:t>
      </w:r>
      <w:r w:rsidRPr="00AD2BF0">
        <w:t xml:space="preserve">: Prior to SARA, the agency did not have any electronic case notes. SARA allows staff to send out text messages and e-mails in Bulk to multiple clients at the same time, drastically reducing the amount of time spent on repetitive communication tasks. </w:t>
      </w:r>
    </w:p>
    <w:p w14:paraId="292F2FEF" w14:textId="77777777" w:rsidR="0067196C" w:rsidRDefault="0067196C" w:rsidP="00C575C8">
      <w:pPr>
        <w:pStyle w:val="ListParagraph"/>
        <w:numPr>
          <w:ilvl w:val="0"/>
          <w:numId w:val="79"/>
        </w:numPr>
        <w:ind w:left="720" w:firstLine="0"/>
      </w:pPr>
      <w:r w:rsidRPr="0004397B">
        <w:rPr>
          <w:u w:val="single"/>
        </w:rPr>
        <w:t>Nevada</w:t>
      </w:r>
      <w:r w:rsidRPr="00AD2BF0">
        <w:t>: VRCs share client records electronically in SARA with Job Developers so all parties receive SARA alerts and are able to collaborate more effectively. Nevada heavily relies on SARA to schedule client appointments and SARA automatically reminds clients of upcoming appointments.  SARA allows staff to send out text messages and e-mails in Bulk to multiple clients at the same time, drastically reducing the amount of time spent on repetitive communication tasks.</w:t>
      </w:r>
    </w:p>
    <w:p w14:paraId="124EB739" w14:textId="77777777" w:rsidR="0067196C" w:rsidRDefault="0067196C" w:rsidP="0067196C"/>
    <w:p w14:paraId="70D7BF8D" w14:textId="77777777" w:rsidR="0067196C" w:rsidRDefault="0067196C" w:rsidP="0067196C">
      <w:r>
        <w:br w:type="page"/>
      </w:r>
    </w:p>
    <w:p w14:paraId="1FDC66C1" w14:textId="35D66A39" w:rsidR="0067196C" w:rsidRDefault="0067196C" w:rsidP="0067196C">
      <w:pPr>
        <w:pStyle w:val="Heading2"/>
      </w:pPr>
      <w:bookmarkStart w:id="153" w:name="_Toc41940265"/>
      <w:r>
        <w:lastRenderedPageBreak/>
        <w:t>SARA Pilots: Progress Narrative</w:t>
      </w:r>
      <w:bookmarkEnd w:id="153"/>
    </w:p>
    <w:p w14:paraId="655ECE8E" w14:textId="77777777" w:rsidR="0067196C" w:rsidRPr="0067196C" w:rsidRDefault="0067196C" w:rsidP="0067196C">
      <w:pPr>
        <w:pStyle w:val="Heading3"/>
      </w:pPr>
      <w:bookmarkStart w:id="154" w:name="_Toc41940266"/>
      <w:r w:rsidRPr="0067196C">
        <w:t>National Lens</w:t>
      </w:r>
      <w:bookmarkEnd w:id="154"/>
    </w:p>
    <w:p w14:paraId="012712A1" w14:textId="77777777" w:rsidR="0067196C" w:rsidRDefault="0067196C" w:rsidP="0067196C">
      <w:r>
        <w:t>The use of technology and content, performance, and/or information-based management and reporting systems is of critical importance to the effective and efficient functioning of non-profit and human service organizations (Cronley &amp; Patterson, 2010) and supports increasingly specific and detailed requirements for accountability, quality control, and audit requirements of funders and stakeholders of those organizations (Hackler &amp; Saxton, 2007).  As is often the case, the challenges to effective implementation and utilization can often be systemic factors associated with the organizational structures and policies (O’Looney, 2005 and Lorenzi &amp; Riley, 2003), and individual readiness to adopt another initiative (Carrilio, 2005).  Fundamentally, these organizations need “considerable outside assistance in boosting their IT capacity” recognizing that “they understand the deployment of an internal IT infrastructure would help them. (Hackler &amp; Saxton).”</w:t>
      </w:r>
    </w:p>
    <w:p w14:paraId="53025353" w14:textId="77777777" w:rsidR="0067196C" w:rsidRDefault="0067196C" w:rsidP="0067196C">
      <w:pPr>
        <w:pStyle w:val="Heading3"/>
      </w:pPr>
      <w:bookmarkStart w:id="155" w:name="_Toc41940267"/>
      <w:r>
        <w:t>WINTAC Lens</w:t>
      </w:r>
      <w:bookmarkEnd w:id="155"/>
    </w:p>
    <w:p w14:paraId="1B4370C5" w14:textId="5311DB68" w:rsidR="0067196C" w:rsidRPr="00035CD7" w:rsidRDefault="0067196C" w:rsidP="0067196C">
      <w:pPr>
        <w:tabs>
          <w:tab w:val="left" w:pos="360"/>
        </w:tabs>
      </w:pPr>
      <w:r>
        <w:t>SARA is a pilot topic area with three</w:t>
      </w:r>
      <w:r w:rsidRPr="00035CD7">
        <w:t xml:space="preserve"> formal intensive technical assistance agreements (ITAAs) in place.  These ITAAs draw from a menu of activities identified in </w:t>
      </w:r>
      <w:r>
        <w:t>an initial, brief</w:t>
      </w:r>
      <w:r w:rsidRPr="00035CD7">
        <w:t xml:space="preserve"> logic model which each have an associated output and contribute to a set of defined short-term outcomes.  </w:t>
      </w:r>
    </w:p>
    <w:p w14:paraId="0549FDCD" w14:textId="78E65418" w:rsidR="0067196C" w:rsidRDefault="0067196C" w:rsidP="0067196C">
      <w:pPr>
        <w:tabs>
          <w:tab w:val="left" w:pos="360"/>
        </w:tabs>
        <w:rPr>
          <w:szCs w:val="14"/>
        </w:rPr>
      </w:pPr>
      <w:r w:rsidRPr="00533653">
        <w:rPr>
          <w:b/>
          <w:bCs/>
          <w:i/>
          <w:iCs/>
          <w:szCs w:val="14"/>
          <w:u w:val="single"/>
        </w:rPr>
        <w:t>TA Progress</w:t>
      </w:r>
      <w:r>
        <w:rPr>
          <w:b/>
          <w:bCs/>
          <w:i/>
          <w:iCs/>
          <w:szCs w:val="14"/>
          <w:u w:val="single"/>
        </w:rPr>
        <w:t>: Activities &amp; Outputs</w:t>
      </w:r>
      <w:r w:rsidRPr="00533653">
        <w:rPr>
          <w:b/>
          <w:bCs/>
          <w:i/>
          <w:iCs/>
          <w:szCs w:val="14"/>
          <w:u w:val="single"/>
        </w:rPr>
        <w:t>.</w:t>
      </w:r>
      <w:r>
        <w:rPr>
          <w:szCs w:val="14"/>
        </w:rPr>
        <w:t xml:space="preserve"> Across the pilot area of SARA, progress on activities is complete (100% of activities). Below the first average activity progress bar, using “thermometer charts,” the progress rate is broken out by specific activity with the linked outputs’ progress rates provided side-by-side.  These dashboards show a one-to-one correspondence between the rate of completion for SARA activities and associated outputs – all of which are 100% complete.  </w:t>
      </w:r>
    </w:p>
    <w:p w14:paraId="029A58D9" w14:textId="6101552C" w:rsidR="0067196C" w:rsidRDefault="0067196C" w:rsidP="0067196C">
      <w:pPr>
        <w:tabs>
          <w:tab w:val="left" w:pos="360"/>
        </w:tabs>
        <w:rPr>
          <w:szCs w:val="14"/>
        </w:rPr>
      </w:pPr>
      <w:r>
        <w:rPr>
          <w:szCs w:val="14"/>
        </w:rPr>
        <w:t>As with TCI+, one way to examine the utility of the system is to see ongoing and continued use of it.  The number of VRC users stayed strong, showing a rise in users over the past two quarters from the end of Year 4 in each of the 3 pilots.  Similarly, the average number of clients processed per quarter increased in all the states.  The number of SARA communications also paints a picture; quarterly averages were up for SARA initiated contacts in Nevada and Alaska by large margins.  In Kentucky, where VRCs are engaging with SARA, but the SVRA Administration has not been engaged for some time, SARA generated contacts remained the same.  VRC initiated contacts showed the same pattern, as did client contacts.  These patterns suggest that, in Nevada and Alaska, SARA has proven important during a time of pandemic when communications between agencies and clients have become virtualized.</w:t>
      </w:r>
    </w:p>
    <w:p w14:paraId="764F3939" w14:textId="0B2D70B9" w:rsidR="0067196C" w:rsidRDefault="0067196C" w:rsidP="0067196C">
      <w:pPr>
        <w:tabs>
          <w:tab w:val="left" w:pos="360"/>
        </w:tabs>
        <w:rPr>
          <w:szCs w:val="14"/>
        </w:rPr>
      </w:pPr>
      <w:r>
        <w:rPr>
          <w:b/>
          <w:bCs/>
          <w:i/>
          <w:iCs/>
          <w:szCs w:val="14"/>
          <w:u w:val="single"/>
        </w:rPr>
        <w:t>TA Progress: Outcomes.</w:t>
      </w:r>
      <w:r>
        <w:rPr>
          <w:b/>
          <w:bCs/>
          <w:szCs w:val="14"/>
        </w:rPr>
        <w:t xml:space="preserve">  </w:t>
      </w:r>
      <w:r>
        <w:rPr>
          <w:szCs w:val="14"/>
        </w:rPr>
        <w:t xml:space="preserve">Outcomes are nearly 100% complete as well, save for one remaining agency needing to finalize the data sharing agreement with a signature.  This has been outstanding for some time and the SARA Team has tried multiple times to reengage the VR administration.  Despite the disengagement, SARA continues to be successfully used by VR counselors who have created 3, 648 casenotes for 5, 121 clients.  </w:t>
      </w:r>
    </w:p>
    <w:p w14:paraId="585328FC" w14:textId="3C29D9D3" w:rsidR="0067196C" w:rsidRDefault="0067196C" w:rsidP="0067196C">
      <w:pPr>
        <w:tabs>
          <w:tab w:val="left" w:pos="360"/>
        </w:tabs>
        <w:rPr>
          <w:szCs w:val="14"/>
        </w:rPr>
      </w:pPr>
      <w:r>
        <w:rPr>
          <w:szCs w:val="14"/>
        </w:rPr>
        <w:t>SARA also continues to support the collection of outcome data for SVRAs; for the past two quarters we see increases for all 3 pilot SVRAs in capture of CPM 4 – credentials (data for CPM 5 – measurable skills gains - was not updated, but at Year 4 end it was collecting data from all 3 pilot areas for this as well).  Employer data and co-enrollment data was not updated.</w:t>
      </w:r>
    </w:p>
    <w:p w14:paraId="147FA592" w14:textId="10B815F0" w:rsidR="0067196C" w:rsidRDefault="0067196C" w:rsidP="0067196C">
      <w:pPr>
        <w:tabs>
          <w:tab w:val="left" w:pos="360"/>
        </w:tabs>
        <w:rPr>
          <w:szCs w:val="14"/>
        </w:rPr>
      </w:pPr>
      <w:r w:rsidRPr="0053793F">
        <w:rPr>
          <w:b/>
          <w:bCs/>
          <w:i/>
          <w:iCs/>
          <w:szCs w:val="14"/>
          <w:u w:val="single"/>
        </w:rPr>
        <w:lastRenderedPageBreak/>
        <w:t>Covid-19 Impacts.</w:t>
      </w:r>
      <w:r>
        <w:rPr>
          <w:szCs w:val="14"/>
        </w:rPr>
        <w:t xml:space="preserve">  As described in other sections, the pandemic has dramatically shifted the way SVRAs do their work and what they have to prioritize.  Pre-ETS saw spikes in traffic related to their online Explore-Work.com site for example.  SARA is a system of virtual communication, and with SVRAs operating virtually during this period of time, SARA is instrumental to ongoing contact with clients.  When pilot sites needed to close, SARA was able to send bulk text and email notifications to clients and as described above, communications are initiated through SARA by both VRCs and clients.</w:t>
      </w:r>
    </w:p>
    <w:p w14:paraId="7FFFA189" w14:textId="77777777" w:rsidR="0067196C" w:rsidRPr="0067196C" w:rsidRDefault="0067196C" w:rsidP="0067196C">
      <w:pPr>
        <w:rPr>
          <w:rFonts w:cstheme="minorHAnsi"/>
          <w:b/>
          <w:bCs/>
          <w:i/>
          <w:iCs/>
          <w:color w:val="C00000"/>
        </w:rPr>
      </w:pPr>
      <w:r w:rsidRPr="0067196C">
        <w:rPr>
          <w:rFonts w:cstheme="minorHAnsi"/>
          <w:b/>
          <w:bCs/>
          <w:i/>
          <w:iCs/>
          <w:color w:val="C00000"/>
        </w:rPr>
        <w:t>“Challenges Overcome,” “Changes Made,” and “Evaluation Recommendations” will be updated as part of the Year 5 Annual Evaluation Report.  But important findings presented in the Year 4 Annual Evaluation Report (2 quarters ago) are reproduced below for ease of reference and context as to the significant and valuable work that has been done by the Pre-ETS TA Team.</w:t>
      </w:r>
    </w:p>
    <w:p w14:paraId="0CE4FA43" w14:textId="30D097EB" w:rsidR="0067196C" w:rsidRPr="00D43F44" w:rsidRDefault="0067196C" w:rsidP="0067196C">
      <w:pPr>
        <w:tabs>
          <w:tab w:val="left" w:pos="360"/>
        </w:tabs>
        <w:rPr>
          <w:rFonts w:cstheme="minorHAnsi"/>
        </w:rPr>
      </w:pPr>
      <w:r w:rsidRPr="00662F12">
        <w:rPr>
          <w:b/>
          <w:bCs/>
          <w:i/>
          <w:iCs/>
          <w:szCs w:val="14"/>
          <w:u w:val="single"/>
        </w:rPr>
        <w:t>Challenges Overcome.</w:t>
      </w:r>
      <w:r>
        <w:rPr>
          <w:i/>
          <w:iCs/>
          <w:szCs w:val="14"/>
        </w:rPr>
        <w:t xml:space="preserve"> </w:t>
      </w:r>
      <w:r w:rsidRPr="00662F12">
        <w:rPr>
          <w:szCs w:val="14"/>
        </w:rPr>
        <w:t xml:space="preserve"> </w:t>
      </w:r>
      <w:r>
        <w:rPr>
          <w:szCs w:val="14"/>
        </w:rPr>
        <w:t>The earlier section on “Pilot Context” describes implementation challenges related to SARA, which largely correspond to challenges articulated in other topic areas (ie., leadership and staff turnover) and challenges recognized in the field and meant to be addressed by WIOA (i.e., lack of effective interagency collaboration).  Despite these challenges, SARA usage persists in each state.  In Kentucky, where leadership stalled on rolling out SARA to staff officially, VRCs are still engaging with the system (see system usage charts after the thermometer dashboards) to the benefit of clients and outcome measures for these pilots related to CPM reports are available.  In Nevada, where the data sharing agreement still is not signed, also shows high usage and still has data available for CPMs (co-enrollment data is not available unfortunately).</w:t>
      </w:r>
    </w:p>
    <w:p w14:paraId="4761889F" w14:textId="21C1EA24" w:rsidR="0067196C" w:rsidRPr="00B263A3" w:rsidRDefault="00F74B91" w:rsidP="00F74B91">
      <w:pPr>
        <w:rPr>
          <w:u w:val="single"/>
        </w:rPr>
      </w:pPr>
      <w:r>
        <w:rPr>
          <w:b/>
          <w:bCs/>
          <w:i/>
          <w:iCs/>
          <w:u w:val="single"/>
        </w:rPr>
        <w:t>Changes Made</w:t>
      </w:r>
      <w:r w:rsidR="0067196C" w:rsidRPr="00D43F44">
        <w:rPr>
          <w:i/>
          <w:iCs/>
        </w:rPr>
        <w:t>.</w:t>
      </w:r>
      <w:r w:rsidR="0067196C" w:rsidRPr="00AD7B12">
        <w:t xml:space="preserve">  </w:t>
      </w:r>
      <w:r w:rsidR="0067196C">
        <w:t xml:space="preserve">Outcomes for the SARA pilot area are also largely complete, with 95% of outcomes 100% complete and 5% of outcomes at the 90% completion level for an overall outcomes completion rate of 99%.  As seen in the dashboard charts reflecting usage and the outcome charts on CPMs, the systems-level impact is undeniable: even in states challenged by implementation barriers, VRC and client interaction with the system is strong and CPM data as reported by clients is coming in to SARA.  Every pilot has created “templates” to collect data and SARA is engaging clients directly, automating and batching out request to clients and saving valuable counselor time doing the outreach and follow-up and recording the information.  </w:t>
      </w:r>
    </w:p>
    <w:p w14:paraId="1773F817" w14:textId="5E892D2D" w:rsidR="0048500F" w:rsidRDefault="0067196C" w:rsidP="0048500F">
      <w:pPr>
        <w:rPr>
          <w:b/>
          <w:bCs/>
          <w:i/>
          <w:iCs/>
          <w:u w:val="single"/>
        </w:rPr>
      </w:pPr>
      <w:r>
        <w:rPr>
          <w:noProof/>
          <w:lang w:eastAsia="ko-KR"/>
        </w:rPr>
        <mc:AlternateContent>
          <mc:Choice Requires="wps">
            <w:drawing>
              <wp:anchor distT="182880" distB="182880" distL="182880" distR="182880" simplePos="0" relativeHeight="251659264" behindDoc="0" locked="0" layoutInCell="1" allowOverlap="1" wp14:anchorId="06C20E79" wp14:editId="614C192D">
                <wp:simplePos x="0" y="0"/>
                <wp:positionH relativeFrom="margin">
                  <wp:posOffset>852805</wp:posOffset>
                </wp:positionH>
                <wp:positionV relativeFrom="margin">
                  <wp:posOffset>5823585</wp:posOffset>
                </wp:positionV>
                <wp:extent cx="3736340" cy="1764665"/>
                <wp:effectExtent l="0" t="0" r="0" b="6985"/>
                <wp:wrapSquare wrapText="bothSides"/>
                <wp:docPr id="157" name="Snip Single Corner Rectangle 117">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736340" cy="1764665"/>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60FD56BB" w14:textId="77777777" w:rsidR="0048500F" w:rsidRPr="0088769E" w:rsidRDefault="0048500F" w:rsidP="0067196C">
                            <w:pPr>
                              <w:pStyle w:val="ListParagraph"/>
                              <w:ind w:left="360"/>
                              <w:rPr>
                                <w:i/>
                                <w:iCs/>
                              </w:rPr>
                            </w:pPr>
                            <w:r w:rsidRPr="0088769E">
                              <w:rPr>
                                <w:i/>
                                <w:iCs/>
                              </w:rPr>
                              <w:t>Even in sites where there has been no SVRA support or enforcement, there is still significant usage. In fact, over the past year</w:t>
                            </w:r>
                            <w:r>
                              <w:rPr>
                                <w:i/>
                                <w:iCs/>
                              </w:rPr>
                              <w:t xml:space="preserve"> [written at mid-year]</w:t>
                            </w:r>
                            <w:r w:rsidRPr="0088769E">
                              <w:rPr>
                                <w:i/>
                                <w:iCs/>
                              </w:rPr>
                              <w:t xml:space="preserve"> (assuming that it takes an average of five minutes to follow up with a specific client and compose a case note) </w:t>
                            </w:r>
                            <w:r w:rsidRPr="003631F0">
                              <w:rPr>
                                <w:b/>
                                <w:bCs/>
                                <w:i/>
                                <w:iCs/>
                                <w:u w:val="single"/>
                              </w:rPr>
                              <w:t>SARA has undertaken the equivalent of 40 man-years of work for the three pilot areas.</w:t>
                            </w:r>
                            <w:r w:rsidRPr="0088769E">
                              <w:rPr>
                                <w:i/>
                                <w:iCs/>
                              </w:rPr>
                              <w:t xml:space="preserve"> </w:t>
                            </w:r>
                          </w:p>
                          <w:p w14:paraId="71F53586" w14:textId="77777777" w:rsidR="0048500F" w:rsidRPr="00A52694" w:rsidRDefault="0048500F" w:rsidP="0067196C">
                            <w:pPr>
                              <w:rPr>
                                <w:rFonts w:ascii="Times New Roman" w:hAnsi="Times New Roman" w:cs="Times New Roman"/>
                                <w:i/>
                                <w:iCs/>
                                <w:caps/>
                                <w:sz w:val="24"/>
                                <w:szCs w:val="28"/>
                              </w:rPr>
                            </w:pP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20E79" id="Snip Single Corner Rectangle 117" o:spid="_x0000_s1030" style="position:absolute;left:0;text-align:left;margin-left:67.15pt;margin-top:458.55pt;width:294.2pt;height:138.95pt;z-index:251659264;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coordsize="3736340,17646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" adj="-11796480,,5400" path="m,l3442223,r294117,294117l3736340,1764665,,1764665,,xe" fillcolor="#4d5f78 [2994]" stroked="f" strokeweight="1pt">
                <v:fill color2="#2a3442 [2018]" rotate="t" colors="0 #5d6d85;.5 #485972;1 #334258" focus="100%" type="gradient">
                  <o:fill v:ext="view" type="gradientUnscaled"/>
                </v:fill>
                <v:stroke joinstyle="miter"/>
                <v:formulas/>
                <v:path arrowok="t" o:connecttype="custom" o:connectlocs="0,0;3442223,0;3736340,294117;3736340,1764665;0,1764665;0,0" o:connectangles="0,0,0,0,0,0" textboxrect="0,0,3736340,1764665"/>
                <v:textbox inset="10.8pt,7.2pt,,7.2pt">
                  <w:txbxContent>
                    <w:p w14:paraId="60FD56BB" w14:textId="77777777" w:rsidR="0048500F" w:rsidRPr="0088769E" w:rsidRDefault="0048500F" w:rsidP="0067196C">
                      <w:pPr>
                        <w:pStyle w:val="ListParagraph"/>
                        <w:ind w:left="360"/>
                        <w:rPr>
                          <w:i/>
                          <w:iCs/>
                        </w:rPr>
                      </w:pPr>
                      <w:r w:rsidRPr="0088769E">
                        <w:rPr>
                          <w:i/>
                          <w:iCs/>
                        </w:rPr>
                        <w:t>Even in sites where there has been no SVRA support or enforcement, there is still significant usage. In fact, over the past year</w:t>
                      </w:r>
                      <w:r>
                        <w:rPr>
                          <w:i/>
                          <w:iCs/>
                        </w:rPr>
                        <w:t xml:space="preserve"> [written at mid-year]</w:t>
                      </w:r>
                      <w:r w:rsidRPr="0088769E">
                        <w:rPr>
                          <w:i/>
                          <w:iCs/>
                        </w:rPr>
                        <w:t xml:space="preserve"> (assuming that it takes an average of five minutes to follow up with a specific client and compose a case note) </w:t>
                      </w:r>
                      <w:r w:rsidRPr="003631F0">
                        <w:rPr>
                          <w:b/>
                          <w:bCs/>
                          <w:i/>
                          <w:iCs/>
                          <w:u w:val="single"/>
                        </w:rPr>
                        <w:t>SARA has undertaken the equivalent of 40 man-years of work for the three pilot areas.</w:t>
                      </w:r>
                      <w:r w:rsidRPr="0088769E">
                        <w:rPr>
                          <w:i/>
                          <w:iCs/>
                        </w:rPr>
                        <w:t xml:space="preserve"> </w:t>
                      </w:r>
                    </w:p>
                    <w:p w14:paraId="71F53586" w14:textId="77777777" w:rsidR="0048500F" w:rsidRPr="00A52694" w:rsidRDefault="0048500F" w:rsidP="0067196C">
                      <w:pPr>
                        <w:rPr>
                          <w:rFonts w:ascii="Times New Roman" w:hAnsi="Times New Roman" w:cs="Times New Roman"/>
                          <w:i/>
                          <w:iCs/>
                          <w:caps/>
                          <w:sz w:val="24"/>
                          <w:szCs w:val="28"/>
                        </w:rPr>
                      </w:pPr>
                    </w:p>
                  </w:txbxContent>
                </v:textbox>
                <w10:wrap type="square" anchorx="margin" anchory="margin"/>
              </v:shape>
            </w:pict>
          </mc:Fallback>
        </mc:AlternateContent>
      </w:r>
    </w:p>
    <w:p w14:paraId="4F9706FD" w14:textId="77777777" w:rsidR="0048500F" w:rsidRDefault="0048500F">
      <w:pPr>
        <w:ind w:firstLine="0"/>
        <w:rPr>
          <w:b/>
          <w:bCs/>
          <w:i/>
          <w:iCs/>
          <w:u w:val="single"/>
        </w:rPr>
      </w:pPr>
      <w:r>
        <w:rPr>
          <w:b/>
          <w:bCs/>
          <w:i/>
          <w:iCs/>
          <w:u w:val="single"/>
        </w:rPr>
        <w:br w:type="page"/>
      </w:r>
    </w:p>
    <w:p w14:paraId="570149F8" w14:textId="77777777" w:rsidR="0067196C" w:rsidRDefault="0067196C" w:rsidP="0067196C">
      <w:r w:rsidRPr="003631F0">
        <w:rPr>
          <w:b/>
          <w:bCs/>
          <w:i/>
          <w:iCs/>
          <w:u w:val="single"/>
        </w:rPr>
        <w:lastRenderedPageBreak/>
        <w:t>Evaluation Recommendations.</w:t>
      </w:r>
      <w:r>
        <w:t xml:space="preserve">  In addition to those articulated above in discussions of “lessons learned” from early implementation, the following recommendations have been developed by the TA Team from implementation efforts:</w:t>
      </w:r>
    </w:p>
    <w:p w14:paraId="677F9119" w14:textId="77777777" w:rsidR="0067196C" w:rsidRDefault="0067196C" w:rsidP="00C575C8">
      <w:pPr>
        <w:pStyle w:val="ListParagraph"/>
        <w:numPr>
          <w:ilvl w:val="0"/>
          <w:numId w:val="78"/>
        </w:numPr>
      </w:pPr>
      <w:r>
        <w:t xml:space="preserve">Do an environmental scan before agreeing to implement SARA. With a completed scan in hand, outline to management what has to happen before a SARA implementation can commence: (a) obtain some benchmark performance data to compare to, (b) setting out a vision and explaining it to front staff, (c) listening carefully to staff and managers in terms of concerns and get their buy-in, (d) develop consensus on initial goals to be achieved with the implementation, and e) get IT to the table prior to implementation and get their commitment to undertake the integration work. </w:t>
      </w:r>
    </w:p>
    <w:p w14:paraId="23EE5C67" w14:textId="77777777" w:rsidR="0067196C" w:rsidRDefault="0067196C" w:rsidP="00C575C8">
      <w:pPr>
        <w:pStyle w:val="ListParagraph"/>
        <w:numPr>
          <w:ilvl w:val="0"/>
          <w:numId w:val="78"/>
        </w:numPr>
      </w:pPr>
      <w:r>
        <w:t xml:space="preserve">Designate an internal training and support team for centrally located offices </w:t>
      </w:r>
      <w:r>
        <w:rPr>
          <w:i/>
        </w:rPr>
        <w:t>and</w:t>
      </w:r>
      <w:r>
        <w:t xml:space="preserve"> outlying areas, ensuring a budget has been set aside for this effort.</w:t>
      </w:r>
    </w:p>
    <w:p w14:paraId="0A5B999D" w14:textId="77777777" w:rsidR="0067196C" w:rsidRDefault="0067196C" w:rsidP="00C575C8">
      <w:pPr>
        <w:pStyle w:val="ListParagraph"/>
        <w:numPr>
          <w:ilvl w:val="0"/>
          <w:numId w:val="78"/>
        </w:numPr>
      </w:pPr>
      <w:r>
        <w:t xml:space="preserve">Agree on a smaller pilot to start with clearly defined, easy-to-reach goals (e.g., shorten the intake cycle from 60 to 45 days within 3 months, or increase client satisfaction rates to X by Y date).  An initial demonstration of effectiveness and value will support staff buy-in for larger efforts. </w:t>
      </w:r>
    </w:p>
    <w:p w14:paraId="7720C65E" w14:textId="77777777" w:rsidR="0067196C" w:rsidRDefault="0067196C" w:rsidP="00C575C8">
      <w:pPr>
        <w:pStyle w:val="ListParagraph"/>
        <w:numPr>
          <w:ilvl w:val="0"/>
          <w:numId w:val="78"/>
        </w:numPr>
      </w:pPr>
      <w:r>
        <w:t xml:space="preserve">Ensure all implementation stakeholders are aware that SARA is a </w:t>
      </w:r>
      <w:r>
        <w:rPr>
          <w:u w:val="single"/>
        </w:rPr>
        <w:t>major</w:t>
      </w:r>
      <w:r>
        <w:t xml:space="preserve"> initiative and that usage is not optional. </w:t>
      </w:r>
    </w:p>
    <w:p w14:paraId="3F66F60A" w14:textId="77777777" w:rsidR="0067196C" w:rsidRDefault="0067196C" w:rsidP="00C575C8">
      <w:pPr>
        <w:pStyle w:val="ListParagraph"/>
        <w:numPr>
          <w:ilvl w:val="0"/>
          <w:numId w:val="78"/>
        </w:numPr>
      </w:pPr>
      <w:r>
        <w:t xml:space="preserve">Designate an internal data analyst to analyze live performance reports and make recommendations to administrators and managers. </w:t>
      </w:r>
    </w:p>
    <w:p w14:paraId="6BF9BB11" w14:textId="77777777" w:rsidR="0067196C" w:rsidRDefault="0067196C" w:rsidP="00C575C8">
      <w:pPr>
        <w:pStyle w:val="ListParagraph"/>
        <w:numPr>
          <w:ilvl w:val="0"/>
          <w:numId w:val="78"/>
        </w:numPr>
      </w:pPr>
      <w:r>
        <w:t xml:space="preserve">Watch and support the pilot intensively and communicate the results widely. Use the lessons learned from the pilot for the broader implementation. </w:t>
      </w:r>
    </w:p>
    <w:p w14:paraId="668A686B" w14:textId="77777777" w:rsidR="0067196C" w:rsidRPr="005E610A" w:rsidRDefault="0067196C" w:rsidP="00C575C8">
      <w:pPr>
        <w:pStyle w:val="ListParagraph"/>
        <w:numPr>
          <w:ilvl w:val="0"/>
          <w:numId w:val="78"/>
        </w:numPr>
      </w:pPr>
      <w:r>
        <w:t>Communicate, communicate, communicate.</w:t>
      </w:r>
      <w:r w:rsidRPr="005E610A">
        <w:t xml:space="preserve"> </w:t>
      </w:r>
    </w:p>
    <w:p w14:paraId="66D4CAC7" w14:textId="77777777" w:rsidR="0067196C" w:rsidRPr="005E610A" w:rsidRDefault="0067196C" w:rsidP="00F74B91">
      <w:r>
        <w:t>As with other areas, the current data could benefit from further context if the agency can provide it.  For example, prior to SARA’s roll-out, how many hours did VRCs spend conducting client outreach and follow-up and recording casenotes?  This can be measured against current estimates and future reports.  With respect to CPMs, how are they validating the data reports coming in directly from clients (for example, regarding credentials)?  For the future, do agencies need TA on improved use of SARA?  Would TA on how to strategically use SARA’s alerts and reports system and the creation of additional templates be useful?  Do states regularly monitor the incoming data to improve service provision and alter outreach to clients prior to quarterly reports being due?  If so, how?  If not, could TA on that process be useful?</w:t>
      </w:r>
    </w:p>
    <w:p w14:paraId="0C742271" w14:textId="77777777" w:rsidR="0067196C" w:rsidRPr="00AF24CD" w:rsidRDefault="0067196C" w:rsidP="0067196C"/>
    <w:p w14:paraId="0582F601" w14:textId="77777777" w:rsidR="00581F18" w:rsidRDefault="00581F18" w:rsidP="00581F18"/>
    <w:p w14:paraId="2A07EE62" w14:textId="77777777" w:rsidR="00581F18" w:rsidRDefault="00581F18" w:rsidP="00581F18">
      <w:pPr>
        <w:sectPr w:rsidR="00581F18" w:rsidSect="0042504C">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docGrid w:linePitch="360"/>
        </w:sectPr>
      </w:pPr>
      <w:r>
        <w:br w:type="page"/>
      </w:r>
    </w:p>
    <w:p w14:paraId="28A3CCFD" w14:textId="49A8B75C" w:rsidR="00581F18" w:rsidRDefault="00CA3DB3" w:rsidP="0048500F">
      <w:pPr>
        <w:pStyle w:val="Heading1"/>
        <w:ind w:right="-270" w:firstLine="0"/>
      </w:pPr>
      <w:r w:rsidRPr="00581F18">
        <w:lastRenderedPageBreak/>
        <w:t xml:space="preserve">H. </w:t>
      </w:r>
      <w:bookmarkStart w:id="156" w:name="_Toc41940268"/>
      <w:r w:rsidRPr="00581F18">
        <w:t>THE CAREER INDEX PLUS PILOT PROJECTS</w:t>
      </w:r>
      <w:bookmarkEnd w:id="156"/>
    </w:p>
    <w:p w14:paraId="688F157E" w14:textId="77777777" w:rsidR="0048500F" w:rsidRPr="0048500F" w:rsidRDefault="0048500F" w:rsidP="0048500F"/>
    <w:p w14:paraId="2EFBDB8E" w14:textId="77777777" w:rsidR="00581F18" w:rsidRDefault="00581F18" w:rsidP="006B4C51">
      <w:pPr>
        <w:ind w:firstLine="0"/>
      </w:pPr>
      <w:r>
        <w:rPr>
          <w:noProof/>
          <w:lang w:eastAsia="ko-KR"/>
        </w:rPr>
        <w:drawing>
          <wp:inline distT="0" distB="0" distL="0" distR="0" wp14:anchorId="2C7AF13D" wp14:editId="038570C7">
            <wp:extent cx="5943600" cy="4320540"/>
            <wp:effectExtent l="0" t="0" r="0" b="3810"/>
            <wp:docPr id="140" name="Picture 140" descr="Map of the United States depicting states with ITAAs covering CPMs, which include: AK, Am.Samoa, AZ, AR, CA, CNMI, CT, DE, DC, FL, GA, HI, ID, IN, IA, KY, LA, ME, MA, MI, MN, MS, MT, NV, NH, NC, PR, RI, SC, UT, Virg. I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PMs ITAAs Map Y5Q2.png"/>
                    <pic:cNvPicPr/>
                  </pic:nvPicPr>
                  <pic:blipFill>
                    <a:blip r:embed="rId134" cstate="print">
                      <a:extLst>
                        <a:ext uri="{28A0092B-C50C-407E-A947-70E740481C1C}">
                          <a14:useLocalDpi xmlns:a14="http://schemas.microsoft.com/office/drawing/2010/main"/>
                        </a:ext>
                      </a:extLst>
                    </a:blip>
                    <a:stretch>
                      <a:fillRect/>
                    </a:stretch>
                  </pic:blipFill>
                  <pic:spPr>
                    <a:xfrm>
                      <a:off x="0" y="0"/>
                      <a:ext cx="5943600" cy="4320540"/>
                    </a:xfrm>
                    <a:prstGeom prst="rect">
                      <a:avLst/>
                    </a:prstGeom>
                  </pic:spPr>
                </pic:pic>
              </a:graphicData>
            </a:graphic>
          </wp:inline>
        </w:drawing>
      </w:r>
    </w:p>
    <w:p w14:paraId="0F22A1AB" w14:textId="77777777" w:rsidR="00581F18" w:rsidRDefault="00581F18" w:rsidP="00581F18"/>
    <w:p w14:paraId="3EA0D0BF" w14:textId="77777777" w:rsidR="00581F18" w:rsidRDefault="00581F18" w:rsidP="00581F18">
      <w:pPr>
        <w:sectPr w:rsidR="00581F18" w:rsidSect="00EC24EB">
          <w:footerReference w:type="default" r:id="rId378"/>
          <w:pgSz w:w="12240" w:h="15840" w:code="1"/>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cols w:space="720"/>
          <w:vAlign w:val="center"/>
          <w:docGrid w:linePitch="360"/>
        </w:sectPr>
      </w:pPr>
    </w:p>
    <w:p w14:paraId="3A750EFF" w14:textId="77777777" w:rsidR="00581F18" w:rsidRPr="00220867" w:rsidRDefault="00581F18" w:rsidP="00CA3DB3">
      <w:pPr>
        <w:pStyle w:val="Heading2"/>
        <w:shd w:val="clear" w:color="auto" w:fill="8EAADB" w:themeFill="accent1" w:themeFillTint="99"/>
      </w:pPr>
      <w:bookmarkStart w:id="157" w:name="_Toc41940269"/>
      <w:r>
        <w:lastRenderedPageBreak/>
        <w:t>TCI+ Pilots</w:t>
      </w:r>
      <w:r w:rsidRPr="00220867">
        <w:t xml:space="preserve"> </w:t>
      </w:r>
      <w:r w:rsidRPr="00CA3DB3">
        <w:t>Logic</w:t>
      </w:r>
      <w:r w:rsidRPr="00220867">
        <w:t xml:space="preserve"> Model</w:t>
      </w:r>
      <w:bookmarkEnd w:id="157"/>
    </w:p>
    <w:tbl>
      <w:tblPr>
        <w:tblW w:w="5000" w:type="pct"/>
        <w:tblLook w:val="04A0" w:firstRow="1" w:lastRow="0" w:firstColumn="1" w:lastColumn="0" w:noHBand="0" w:noVBand="1"/>
      </w:tblPr>
      <w:tblGrid>
        <w:gridCol w:w="4765"/>
        <w:gridCol w:w="4585"/>
      </w:tblGrid>
      <w:tr w:rsidR="00581F18" w:rsidRPr="00206792" w14:paraId="3A6DD959" w14:textId="77777777" w:rsidTr="00623C47">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37CD1DC9" w14:textId="77777777" w:rsidR="00581F18" w:rsidRPr="00206792" w:rsidRDefault="00581F18" w:rsidP="00623C47">
            <w:pPr>
              <w:spacing w:after="0" w:line="240" w:lineRule="auto"/>
              <w:jc w:val="center"/>
              <w:rPr>
                <w:b/>
                <w:bCs/>
                <w:color w:val="000000"/>
              </w:rPr>
            </w:pPr>
            <w:r w:rsidRPr="00206792">
              <w:rPr>
                <w:b/>
                <w:bCs/>
                <w:color w:val="000000"/>
              </w:rPr>
              <w:t>Activity</w:t>
            </w:r>
          </w:p>
        </w:tc>
        <w:tc>
          <w:tcPr>
            <w:tcW w:w="2452"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52FC76FE" w14:textId="77777777" w:rsidR="00581F18" w:rsidRPr="00206792" w:rsidRDefault="00581F18" w:rsidP="00623C47">
            <w:pPr>
              <w:spacing w:after="0" w:line="240" w:lineRule="auto"/>
              <w:jc w:val="center"/>
              <w:rPr>
                <w:b/>
                <w:bCs/>
                <w:color w:val="000000"/>
              </w:rPr>
            </w:pPr>
            <w:r w:rsidRPr="00206792">
              <w:rPr>
                <w:b/>
                <w:bCs/>
                <w:color w:val="000000"/>
              </w:rPr>
              <w:t>Output</w:t>
            </w:r>
          </w:p>
        </w:tc>
      </w:tr>
      <w:tr w:rsidR="00581F18" w:rsidRPr="00206792" w14:paraId="011FDACF" w14:textId="77777777" w:rsidTr="00623C47">
        <w:trPr>
          <w:trHeight w:val="20"/>
        </w:trPr>
        <w:tc>
          <w:tcPr>
            <w:tcW w:w="2548" w:type="pct"/>
            <w:tcBorders>
              <w:top w:val="nil"/>
              <w:left w:val="single" w:sz="4" w:space="0" w:color="000000"/>
              <w:bottom w:val="single" w:sz="4" w:space="0" w:color="000000"/>
              <w:right w:val="single" w:sz="4" w:space="0" w:color="000000"/>
            </w:tcBorders>
            <w:shd w:val="clear" w:color="auto" w:fill="auto"/>
            <w:hideMark/>
          </w:tcPr>
          <w:p w14:paraId="2337F477" w14:textId="77777777" w:rsidR="00581F18" w:rsidRPr="00206792" w:rsidRDefault="00581F18" w:rsidP="00C575C8">
            <w:pPr>
              <w:pStyle w:val="ListParagraph"/>
              <w:numPr>
                <w:ilvl w:val="0"/>
                <w:numId w:val="75"/>
              </w:numPr>
              <w:spacing w:after="0" w:line="240" w:lineRule="auto"/>
            </w:pPr>
            <w:r w:rsidRPr="00206792">
              <w:t>Assist [agency] to assess their staff’s current usage of LMI in the career exploration and vocational planning process and their capacity to utilize TCI+ in the career exploration and vocational planning process in the future.</w:t>
            </w:r>
          </w:p>
        </w:tc>
        <w:tc>
          <w:tcPr>
            <w:tcW w:w="2452" w:type="pct"/>
            <w:tcBorders>
              <w:top w:val="nil"/>
              <w:left w:val="nil"/>
              <w:bottom w:val="single" w:sz="4" w:space="0" w:color="000000"/>
              <w:right w:val="single" w:sz="4" w:space="0" w:color="000000"/>
            </w:tcBorders>
            <w:shd w:val="clear" w:color="auto" w:fill="auto"/>
            <w:hideMark/>
          </w:tcPr>
          <w:p w14:paraId="34AA377F" w14:textId="77777777" w:rsidR="00581F18" w:rsidRPr="00206792" w:rsidRDefault="00581F18" w:rsidP="00C575C8">
            <w:pPr>
              <w:pStyle w:val="ListParagraph"/>
              <w:numPr>
                <w:ilvl w:val="0"/>
                <w:numId w:val="76"/>
              </w:numPr>
              <w:spacing w:after="0" w:line="240" w:lineRule="auto"/>
              <w:ind w:left="346"/>
            </w:pPr>
            <w:r w:rsidRPr="00206792">
              <w:t>A completed assessment and capacity determination.</w:t>
            </w:r>
          </w:p>
        </w:tc>
      </w:tr>
      <w:tr w:rsidR="00581F18" w:rsidRPr="00206792" w14:paraId="3AD8D211" w14:textId="77777777" w:rsidTr="00623C47">
        <w:trPr>
          <w:trHeight w:val="20"/>
        </w:trPr>
        <w:tc>
          <w:tcPr>
            <w:tcW w:w="2548" w:type="pct"/>
            <w:tcBorders>
              <w:top w:val="nil"/>
              <w:left w:val="single" w:sz="4" w:space="0" w:color="000000"/>
              <w:bottom w:val="single" w:sz="4" w:space="0" w:color="000000"/>
              <w:right w:val="single" w:sz="4" w:space="0" w:color="000000"/>
            </w:tcBorders>
            <w:shd w:val="clear" w:color="auto" w:fill="auto"/>
            <w:hideMark/>
          </w:tcPr>
          <w:p w14:paraId="3E19D83E" w14:textId="77777777" w:rsidR="00581F18" w:rsidRPr="00206792" w:rsidRDefault="00581F18" w:rsidP="00C575C8">
            <w:pPr>
              <w:pStyle w:val="ListParagraph"/>
              <w:numPr>
                <w:ilvl w:val="0"/>
                <w:numId w:val="75"/>
              </w:numPr>
              <w:spacing w:after="0" w:line="240" w:lineRule="auto"/>
            </w:pPr>
            <w:r w:rsidRPr="00206792">
              <w:t>Assist [agency] to develop policies and procedures related to increased usage of LMI through the Career Index Plus to maximize impact of VR services.</w:t>
            </w:r>
          </w:p>
        </w:tc>
        <w:tc>
          <w:tcPr>
            <w:tcW w:w="2452" w:type="pct"/>
            <w:tcBorders>
              <w:top w:val="nil"/>
              <w:left w:val="nil"/>
              <w:bottom w:val="single" w:sz="4" w:space="0" w:color="000000"/>
              <w:right w:val="single" w:sz="4" w:space="0" w:color="000000"/>
            </w:tcBorders>
            <w:shd w:val="clear" w:color="auto" w:fill="auto"/>
            <w:hideMark/>
          </w:tcPr>
          <w:p w14:paraId="0089A057" w14:textId="77777777" w:rsidR="00581F18" w:rsidRPr="00206792" w:rsidRDefault="00581F18" w:rsidP="00C575C8">
            <w:pPr>
              <w:pStyle w:val="ListParagraph"/>
              <w:numPr>
                <w:ilvl w:val="0"/>
                <w:numId w:val="76"/>
              </w:numPr>
              <w:spacing w:after="0" w:line="240" w:lineRule="auto"/>
              <w:ind w:left="340"/>
            </w:pPr>
            <w:r w:rsidRPr="00206792">
              <w:t>Completed Policies and Procedures. Written and promulgated agency policies and procedures.</w:t>
            </w:r>
          </w:p>
        </w:tc>
      </w:tr>
      <w:tr w:rsidR="00581F18" w:rsidRPr="00206792" w14:paraId="3A56B36B" w14:textId="77777777" w:rsidTr="00623C47">
        <w:trPr>
          <w:trHeight w:val="20"/>
        </w:trPr>
        <w:tc>
          <w:tcPr>
            <w:tcW w:w="2548" w:type="pct"/>
            <w:tcBorders>
              <w:top w:val="nil"/>
              <w:left w:val="single" w:sz="4" w:space="0" w:color="000000"/>
              <w:bottom w:val="single" w:sz="4" w:space="0" w:color="000000"/>
              <w:right w:val="single" w:sz="4" w:space="0" w:color="000000"/>
            </w:tcBorders>
            <w:shd w:val="clear" w:color="auto" w:fill="auto"/>
            <w:hideMark/>
          </w:tcPr>
          <w:p w14:paraId="2AFFB350" w14:textId="77777777" w:rsidR="00581F18" w:rsidRPr="00206792" w:rsidRDefault="00581F18" w:rsidP="00C575C8">
            <w:pPr>
              <w:pStyle w:val="ListParagraph"/>
              <w:numPr>
                <w:ilvl w:val="0"/>
                <w:numId w:val="75"/>
              </w:numPr>
              <w:spacing w:after="0" w:line="240" w:lineRule="auto"/>
            </w:pPr>
            <w:r w:rsidRPr="00206792">
              <w:t>Develop Training Materials with [agency] Training Staff.</w:t>
            </w:r>
          </w:p>
        </w:tc>
        <w:tc>
          <w:tcPr>
            <w:tcW w:w="2452" w:type="pct"/>
            <w:tcBorders>
              <w:top w:val="nil"/>
              <w:left w:val="nil"/>
              <w:bottom w:val="single" w:sz="4" w:space="0" w:color="000000"/>
              <w:right w:val="single" w:sz="4" w:space="0" w:color="000000"/>
            </w:tcBorders>
            <w:shd w:val="clear" w:color="auto" w:fill="auto"/>
            <w:hideMark/>
          </w:tcPr>
          <w:p w14:paraId="2E8EE0E6" w14:textId="77777777" w:rsidR="00581F18" w:rsidRPr="00206792" w:rsidRDefault="00581F18" w:rsidP="00C575C8">
            <w:pPr>
              <w:pStyle w:val="ListParagraph"/>
              <w:numPr>
                <w:ilvl w:val="0"/>
                <w:numId w:val="76"/>
              </w:numPr>
              <w:spacing w:after="0" w:line="240" w:lineRule="auto"/>
              <w:ind w:left="340"/>
            </w:pPr>
            <w:r w:rsidRPr="00206792">
              <w:t>Training Materials created with [agency] Training Team.</w:t>
            </w:r>
          </w:p>
        </w:tc>
      </w:tr>
      <w:tr w:rsidR="00581F18" w:rsidRPr="00206792" w14:paraId="7FC1100B" w14:textId="77777777" w:rsidTr="00623C47">
        <w:trPr>
          <w:trHeight w:val="20"/>
        </w:trPr>
        <w:tc>
          <w:tcPr>
            <w:tcW w:w="2548" w:type="pct"/>
            <w:tcBorders>
              <w:top w:val="nil"/>
              <w:left w:val="single" w:sz="4" w:space="0" w:color="000000"/>
              <w:bottom w:val="nil"/>
              <w:right w:val="single" w:sz="4" w:space="0" w:color="000000"/>
            </w:tcBorders>
            <w:shd w:val="clear" w:color="auto" w:fill="auto"/>
            <w:hideMark/>
          </w:tcPr>
          <w:p w14:paraId="2B2DDDDF" w14:textId="77777777" w:rsidR="00581F18" w:rsidRPr="00206792" w:rsidRDefault="00581F18" w:rsidP="00C575C8">
            <w:pPr>
              <w:pStyle w:val="ListParagraph"/>
              <w:numPr>
                <w:ilvl w:val="0"/>
                <w:numId w:val="75"/>
              </w:numPr>
              <w:spacing w:after="0" w:line="240" w:lineRule="auto"/>
            </w:pPr>
            <w:r w:rsidRPr="00206792">
              <w:t>Provide Training on TCI+ and LMI to [agency] Staff and Administration.</w:t>
            </w:r>
          </w:p>
        </w:tc>
        <w:tc>
          <w:tcPr>
            <w:tcW w:w="2452" w:type="pct"/>
            <w:tcBorders>
              <w:top w:val="nil"/>
              <w:left w:val="nil"/>
              <w:bottom w:val="nil"/>
              <w:right w:val="single" w:sz="4" w:space="0" w:color="000000"/>
            </w:tcBorders>
            <w:shd w:val="clear" w:color="auto" w:fill="auto"/>
            <w:hideMark/>
          </w:tcPr>
          <w:p w14:paraId="19A5913A" w14:textId="77777777" w:rsidR="00581F18" w:rsidRPr="00206792" w:rsidRDefault="00581F18" w:rsidP="00C575C8">
            <w:pPr>
              <w:pStyle w:val="ListParagraph"/>
              <w:numPr>
                <w:ilvl w:val="0"/>
                <w:numId w:val="76"/>
              </w:numPr>
              <w:spacing w:after="0" w:line="240" w:lineRule="auto"/>
              <w:ind w:left="340"/>
            </w:pPr>
            <w:r w:rsidRPr="00206792">
              <w:t>The number of staff that complete the training.</w:t>
            </w:r>
          </w:p>
        </w:tc>
      </w:tr>
      <w:tr w:rsidR="00581F18" w:rsidRPr="00206792" w14:paraId="0A7EF666" w14:textId="77777777" w:rsidTr="00623C47">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hideMark/>
          </w:tcPr>
          <w:p w14:paraId="2C917C1F" w14:textId="77777777" w:rsidR="00581F18" w:rsidRPr="00206792" w:rsidRDefault="00581F18" w:rsidP="00C575C8">
            <w:pPr>
              <w:pStyle w:val="ListParagraph"/>
              <w:numPr>
                <w:ilvl w:val="0"/>
                <w:numId w:val="75"/>
              </w:numPr>
              <w:spacing w:after="0" w:line="240" w:lineRule="auto"/>
            </w:pPr>
            <w:r w:rsidRPr="00206792">
              <w:t>Development of plan to expand and sustain LMI capacity.</w:t>
            </w:r>
          </w:p>
        </w:tc>
        <w:tc>
          <w:tcPr>
            <w:tcW w:w="2452" w:type="pct"/>
            <w:tcBorders>
              <w:top w:val="single" w:sz="4" w:space="0" w:color="auto"/>
              <w:left w:val="nil"/>
              <w:bottom w:val="single" w:sz="4" w:space="0" w:color="auto"/>
              <w:right w:val="single" w:sz="4" w:space="0" w:color="auto"/>
            </w:tcBorders>
            <w:shd w:val="clear" w:color="auto" w:fill="auto"/>
            <w:hideMark/>
          </w:tcPr>
          <w:p w14:paraId="64536A21" w14:textId="77777777" w:rsidR="00581F18" w:rsidRPr="00206792" w:rsidRDefault="00581F18" w:rsidP="00C575C8">
            <w:pPr>
              <w:pStyle w:val="ListParagraph"/>
              <w:numPr>
                <w:ilvl w:val="0"/>
                <w:numId w:val="70"/>
              </w:numPr>
              <w:spacing w:after="0" w:line="240" w:lineRule="auto"/>
              <w:ind w:left="346"/>
            </w:pPr>
            <w:r w:rsidRPr="00206792">
              <w:t xml:space="preserve">A written plan outlining activities, time lines, roles and responsibilities. </w:t>
            </w:r>
          </w:p>
          <w:p w14:paraId="6F1B6F05" w14:textId="77777777" w:rsidR="00581F18" w:rsidRPr="00206792" w:rsidRDefault="00581F18" w:rsidP="00C575C8">
            <w:pPr>
              <w:pStyle w:val="ListParagraph"/>
              <w:numPr>
                <w:ilvl w:val="0"/>
                <w:numId w:val="76"/>
              </w:numPr>
              <w:spacing w:after="0" w:line="240" w:lineRule="auto"/>
              <w:ind w:left="340"/>
            </w:pPr>
            <w:r w:rsidRPr="00206792">
              <w:t>Training sessions offered to all available/identified staff based upon scope of the project plan.</w:t>
            </w:r>
          </w:p>
        </w:tc>
      </w:tr>
      <w:tr w:rsidR="00581F18" w:rsidRPr="00206792" w14:paraId="6EB87BA3" w14:textId="77777777" w:rsidTr="00623C47">
        <w:trPr>
          <w:trHeight w:val="20"/>
        </w:trPr>
        <w:tc>
          <w:tcPr>
            <w:tcW w:w="5000" w:type="pct"/>
            <w:gridSpan w:val="2"/>
            <w:tcBorders>
              <w:top w:val="single" w:sz="4" w:space="0" w:color="auto"/>
              <w:left w:val="single" w:sz="4" w:space="0" w:color="000000"/>
              <w:bottom w:val="single" w:sz="4" w:space="0" w:color="auto"/>
              <w:right w:val="single" w:sz="4" w:space="0" w:color="000000"/>
            </w:tcBorders>
            <w:shd w:val="clear" w:color="auto" w:fill="D9E2F3" w:themeFill="accent1" w:themeFillTint="33"/>
            <w:vAlign w:val="center"/>
          </w:tcPr>
          <w:p w14:paraId="43BF69F7" w14:textId="77777777" w:rsidR="00581F18" w:rsidRPr="00206792" w:rsidRDefault="00581F18" w:rsidP="008A190D">
            <w:pPr>
              <w:spacing w:after="0" w:line="240" w:lineRule="auto"/>
              <w:ind w:firstLine="0"/>
              <w:jc w:val="center"/>
              <w:rPr>
                <w:b/>
              </w:rPr>
            </w:pPr>
            <w:r w:rsidRPr="00206792">
              <w:rPr>
                <w:b/>
              </w:rPr>
              <w:t>Short-Term Outcomes</w:t>
            </w:r>
          </w:p>
          <w:p w14:paraId="21510A70" w14:textId="77777777" w:rsidR="00581F18" w:rsidRPr="00206792" w:rsidRDefault="00581F18" w:rsidP="00C575C8">
            <w:pPr>
              <w:pStyle w:val="ListParagraph"/>
              <w:numPr>
                <w:ilvl w:val="0"/>
                <w:numId w:val="2"/>
              </w:numPr>
              <w:spacing w:after="0" w:line="240" w:lineRule="auto"/>
            </w:pPr>
            <w:r w:rsidRPr="00206792">
              <w:t>Increased capacity of [agency] to incorporate LMI into vocational counseling and job development.</w:t>
            </w:r>
          </w:p>
          <w:p w14:paraId="3D0A3F22" w14:textId="77777777" w:rsidR="00581F18" w:rsidRPr="00206792" w:rsidRDefault="00581F18" w:rsidP="00C575C8">
            <w:pPr>
              <w:pStyle w:val="ListParagraph"/>
              <w:numPr>
                <w:ilvl w:val="0"/>
                <w:numId w:val="2"/>
              </w:numPr>
              <w:spacing w:after="0" w:line="240" w:lineRule="auto"/>
            </w:pPr>
            <w:r w:rsidRPr="00206792">
              <w:t>Increased diversity of occupations for individuals with employment outcomes.</w:t>
            </w:r>
          </w:p>
          <w:p w14:paraId="4D24CA07" w14:textId="77777777" w:rsidR="00581F18" w:rsidRDefault="00581F18" w:rsidP="00C575C8">
            <w:pPr>
              <w:pStyle w:val="ListParagraph"/>
              <w:numPr>
                <w:ilvl w:val="0"/>
                <w:numId w:val="2"/>
              </w:numPr>
              <w:spacing w:after="0" w:line="240" w:lineRule="auto"/>
            </w:pPr>
            <w:r w:rsidRPr="00206792">
              <w:t>The number of agency consumers that have an IPE developed with documentation and evidence of LMI usage informing the development of the IPE will increase by XX% per year.</w:t>
            </w:r>
          </w:p>
          <w:p w14:paraId="17673DBF" w14:textId="77777777" w:rsidR="00581F18" w:rsidRPr="00206792" w:rsidRDefault="00581F18" w:rsidP="00C575C8">
            <w:pPr>
              <w:pStyle w:val="ListParagraph"/>
              <w:numPr>
                <w:ilvl w:val="0"/>
                <w:numId w:val="2"/>
              </w:numPr>
              <w:spacing w:after="0" w:line="240" w:lineRule="auto"/>
            </w:pPr>
            <w:r w:rsidRPr="00206792">
              <w:t>There will be a XX% increase in the number of students each year that utilize TCI+ to engage in one or more of the five required activities</w:t>
            </w:r>
            <w:r>
              <w:t>.</w:t>
            </w:r>
          </w:p>
        </w:tc>
      </w:tr>
    </w:tbl>
    <w:p w14:paraId="366BFF59" w14:textId="77777777" w:rsidR="00581F18" w:rsidRDefault="00581F18" w:rsidP="00581F18">
      <w:pPr>
        <w:pStyle w:val="Heading2"/>
        <w:rPr>
          <w:szCs w:val="36"/>
        </w:rPr>
      </w:pPr>
      <w:r>
        <w:rPr>
          <w:szCs w:val="36"/>
        </w:rPr>
        <w:br w:type="page"/>
      </w:r>
    </w:p>
    <w:p w14:paraId="682FB8CB" w14:textId="6CB92F5C" w:rsidR="00581F18" w:rsidRPr="00CA3DB3" w:rsidRDefault="008A190D" w:rsidP="00CA3DB3">
      <w:pPr>
        <w:pStyle w:val="Heading2"/>
      </w:pPr>
      <w:bookmarkStart w:id="158" w:name="_Toc41940270"/>
      <w:r>
        <w:lastRenderedPageBreak/>
        <w:t>TCI+ Pilots</w:t>
      </w:r>
      <w:r w:rsidR="00581F18" w:rsidRPr="00CA3DB3">
        <w:t xml:space="preserve">: </w:t>
      </w:r>
      <w:r w:rsidR="00CA3DB3" w:rsidRPr="00CA3DB3">
        <w:t>Activities &amp; Outputs Progress Dashboards</w:t>
      </w:r>
      <w:bookmarkEnd w:id="158"/>
    </w:p>
    <w:p w14:paraId="7DAF7C76" w14:textId="77777777" w:rsidR="006B4C51" w:rsidRDefault="006B4C51" w:rsidP="00581F18">
      <w:pPr>
        <w:ind w:hanging="90"/>
      </w:pPr>
    </w:p>
    <w:p w14:paraId="09D13E2F" w14:textId="53123CB3" w:rsidR="00581F18" w:rsidRDefault="00581F18" w:rsidP="00581F18">
      <w:pPr>
        <w:ind w:hanging="90"/>
      </w:pPr>
      <w:r>
        <w:rPr>
          <w:noProof/>
          <w:lang w:eastAsia="ko-KR"/>
        </w:rPr>
        <w:drawing>
          <wp:inline distT="0" distB="0" distL="0" distR="0" wp14:anchorId="31443DF0" wp14:editId="343B0E72">
            <wp:extent cx="5819775" cy="2371725"/>
            <wp:effectExtent l="0" t="0" r="9525" b="9525"/>
            <wp:docPr id="141" name="Picture 141" descr="Progress TCI+ Pilots Activities showing 71%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5819775" cy="2371725"/>
                    </a:xfrm>
                    <a:prstGeom prst="rect">
                      <a:avLst/>
                    </a:prstGeom>
                  </pic:spPr>
                </pic:pic>
              </a:graphicData>
            </a:graphic>
          </wp:inline>
        </w:drawing>
      </w:r>
    </w:p>
    <w:p w14:paraId="3B4B3CE8" w14:textId="77777777" w:rsidR="00581F18" w:rsidRDefault="00581F18" w:rsidP="00581F18">
      <w:r w:rsidRPr="008F5E6D">
        <w:t xml:space="preserve">The </w:t>
      </w:r>
      <w:r>
        <w:t xml:space="preserve">progress dashboard above shows that the </w:t>
      </w:r>
      <w:r w:rsidRPr="008F5E6D">
        <w:t>majority of activities are complete or 90% complete (</w:t>
      </w:r>
      <w:r>
        <w:t>7</w:t>
      </w:r>
      <w:r w:rsidRPr="008F5E6D">
        <w:t>6%), one-</w:t>
      </w:r>
      <w:r>
        <w:t>quarter</w:t>
      </w:r>
      <w:r w:rsidRPr="008F5E6D">
        <w:t xml:space="preserve"> are underway (25-50% complete), and </w:t>
      </w:r>
      <w:r>
        <w:t>5%</w:t>
      </w:r>
      <w:r w:rsidRPr="008F5E6D">
        <w:t xml:space="preserve"> have not started.</w:t>
      </w:r>
      <w:r>
        <w:t xml:space="preserve">  </w:t>
      </w:r>
      <w:r w:rsidRPr="00300A1B">
        <w:t>Further below, thermometers demonstrate the level of completion for the different activities and outputs as defined in the logic model for ITAA states.  A handful of idiosyncratic activities in the ITAAs not listed in logic models are captured together in their own thermometer (U).</w:t>
      </w:r>
      <w:r>
        <w:t xml:space="preserve">  For TCI+ we see a 1:1 correspondence in rates of completion of the activity and the output itself.  Activity 1 and 5 are entirely complete (assessment of SVRA capacity to use LMI/TCI+ and sustainability planning respectively), and the rest are underway with strong rates of completion (developing and implementing training and policies and procedures to implement trainings).</w:t>
      </w:r>
    </w:p>
    <w:p w14:paraId="506C7416" w14:textId="65B4C912" w:rsidR="00581F18" w:rsidRDefault="00581F18" w:rsidP="00581F18">
      <w:r>
        <w:t xml:space="preserve">At the end of Year 4, the TA Team provided us with usage statistics for the system demonstrating (1) unique user rates, (2) log-ins to the system, (3) amount of LMI reviewed, and (4) the number of clients “invited” to use the system.  These usage rates and patterns demonstrate whether they system is perceived as having utility for SVRA staff and clients.  </w:t>
      </w:r>
      <w:r w:rsidRPr="00C16D8B">
        <w:rPr>
          <w:i/>
          <w:iCs/>
        </w:rPr>
        <w:t xml:space="preserve">Updates to usage patterns over the past two quarters was not received by the Evaluation Team, </w:t>
      </w:r>
      <w:r w:rsidRPr="00C16D8B">
        <w:rPr>
          <w:i/>
          <w:iCs/>
          <w:u w:val="single"/>
        </w:rPr>
        <w:t xml:space="preserve">so data from the Year 4 Evaluation report is reproduced below as </w:t>
      </w:r>
      <w:r>
        <w:rPr>
          <w:i/>
          <w:iCs/>
          <w:u w:val="single"/>
        </w:rPr>
        <w:t>illustrative</w:t>
      </w:r>
      <w:r w:rsidRPr="00C16D8B">
        <w:rPr>
          <w:i/>
          <w:iCs/>
        </w:rPr>
        <w:t xml:space="preserve">. </w:t>
      </w:r>
      <w:r>
        <w:t xml:space="preserve"> In the progress narrative section we provide additional information from sites about systems changes being made to support ongoing use of LMI.</w:t>
      </w:r>
    </w:p>
    <w:p w14:paraId="63929C2A" w14:textId="77777777" w:rsidR="00DE5A2C" w:rsidRDefault="00DE5A2C" w:rsidP="00581F18"/>
    <w:p w14:paraId="6BAE47BB" w14:textId="6558D91C" w:rsidR="00581F18" w:rsidRDefault="00707B58" w:rsidP="00581F18">
      <w:pPr>
        <w:ind w:right="-450" w:hanging="720"/>
      </w:pPr>
      <w:r>
        <w:rPr>
          <w:noProof/>
          <w:lang w:eastAsia="ko-KR"/>
        </w:rPr>
        <w:lastRenderedPageBreak/>
        <w:drawing>
          <wp:inline distT="0" distB="0" distL="0" distR="0" wp14:anchorId="041115C2" wp14:editId="1E7C5845">
            <wp:extent cx="3457575" cy="2066925"/>
            <wp:effectExtent l="19050" t="19050" r="28575" b="28575"/>
            <wp:docPr id="142" name="Picture 142" descr="Vertical bar chart depicting the number of unique users for TCI+ on a quarterly basis from Q4 of 2016 through Q3 of 2019.  Numbers have increased fairly steadily from 12 to 263.">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3457575" cy="2066925"/>
                    </a:xfrm>
                    <a:prstGeom prst="rect">
                      <a:avLst/>
                    </a:prstGeom>
                    <a:ln>
                      <a:solidFill>
                        <a:schemeClr val="tx1"/>
                      </a:solidFill>
                    </a:ln>
                  </pic:spPr>
                </pic:pic>
              </a:graphicData>
            </a:graphic>
          </wp:inline>
        </w:drawing>
      </w:r>
      <w:r>
        <w:rPr>
          <w:noProof/>
          <w:lang w:eastAsia="ko-KR"/>
        </w:rPr>
        <w:drawing>
          <wp:inline distT="0" distB="0" distL="0" distR="0" wp14:anchorId="1C8DE270" wp14:editId="22922DE7">
            <wp:extent cx="3047565" cy="2081852"/>
            <wp:effectExtent l="19050" t="19050" r="19685" b="13970"/>
            <wp:docPr id="143" name="Picture 143" descr="Vertical bar chart depicting the number of log-ins for TCI+ on a quarterly basis from Q4 of 2016 through Q3 of 2019.  Numbers have increased fairly steadily from 215 to 23, 235 though big jumps are seen between Q2 and Q1 of 2019 and again for Q3 of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3093293" cy="2113090"/>
                    </a:xfrm>
                    <a:prstGeom prst="rect">
                      <a:avLst/>
                    </a:prstGeom>
                    <a:ln>
                      <a:solidFill>
                        <a:schemeClr val="tx1"/>
                      </a:solidFill>
                    </a:ln>
                  </pic:spPr>
                </pic:pic>
              </a:graphicData>
            </a:graphic>
          </wp:inline>
        </w:drawing>
      </w:r>
    </w:p>
    <w:p w14:paraId="1802C5AD" w14:textId="3A1E8317" w:rsidR="00581F18" w:rsidRDefault="00707B58" w:rsidP="00581F18">
      <w:pPr>
        <w:ind w:right="-360" w:hanging="720"/>
      </w:pPr>
      <w:r>
        <w:rPr>
          <w:noProof/>
          <w:lang w:eastAsia="ko-KR"/>
        </w:rPr>
        <w:drawing>
          <wp:inline distT="0" distB="0" distL="0" distR="0" wp14:anchorId="6F91B0DA" wp14:editId="433A8957">
            <wp:extent cx="3524250" cy="2209800"/>
            <wp:effectExtent l="19050" t="19050" r="19050" b="19050"/>
            <wp:docPr id="144" name="Picture 144" descr="Vertical bar chart depicting the number of LMI reviewed in TCI+ on a quarterly basis from Q4 of 2016 through Q3 of 2019.  Numbers have increased fairly steadily from 2,273 to 1,405,222 though big jumps are seen between Q2 and Q1 of 2019 and again for Q3 of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3524250" cy="2209800"/>
                    </a:xfrm>
                    <a:prstGeom prst="rect">
                      <a:avLst/>
                    </a:prstGeom>
                    <a:ln>
                      <a:solidFill>
                        <a:schemeClr val="tx1"/>
                      </a:solidFill>
                    </a:ln>
                  </pic:spPr>
                </pic:pic>
              </a:graphicData>
            </a:graphic>
          </wp:inline>
        </w:drawing>
      </w:r>
      <w:r w:rsidR="00581F18">
        <w:t xml:space="preserve"> </w:t>
      </w:r>
      <w:r>
        <w:rPr>
          <w:noProof/>
          <w:lang w:eastAsia="ko-KR"/>
        </w:rPr>
        <w:drawing>
          <wp:inline distT="0" distB="0" distL="0" distR="0" wp14:anchorId="27021E36" wp14:editId="174DB418">
            <wp:extent cx="2999068" cy="2466975"/>
            <wp:effectExtent l="19050" t="19050" r="11430" b="9525"/>
            <wp:docPr id="384" name="Picture 384" descr="Vertical funnel bar chart depicting the number of clients invited to use TCI+ on a quarterly basis from Q4 of 2016 through Q3 of 2019.  Numbers have increased fairly steadily from  13 to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3020326" cy="2484462"/>
                    </a:xfrm>
                    <a:prstGeom prst="rect">
                      <a:avLst/>
                    </a:prstGeom>
                    <a:ln>
                      <a:solidFill>
                        <a:schemeClr val="tx1"/>
                      </a:solidFill>
                    </a:ln>
                  </pic:spPr>
                </pic:pic>
              </a:graphicData>
            </a:graphic>
          </wp:inline>
        </w:drawing>
      </w:r>
    </w:p>
    <w:p w14:paraId="3D663153" w14:textId="77777777" w:rsidR="00581F18" w:rsidRPr="000C0925" w:rsidRDefault="00581F18" w:rsidP="00581F18">
      <w:pPr>
        <w:spacing w:line="240" w:lineRule="auto"/>
        <w:rPr>
          <w:sz w:val="24"/>
          <w:szCs w:val="24"/>
        </w:rPr>
        <w:sectPr w:rsidR="00581F18" w:rsidRPr="000C0925" w:rsidSect="00623C47">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cols w:space="720"/>
          <w:docGrid w:linePitch="360"/>
        </w:sectPr>
      </w:pPr>
    </w:p>
    <w:p w14:paraId="147F0ED4" w14:textId="77777777" w:rsidR="00581F18" w:rsidRDefault="00581F18" w:rsidP="00CA3DB3">
      <w:pPr>
        <w:tabs>
          <w:tab w:val="left" w:pos="360"/>
        </w:tabs>
        <w:ind w:firstLine="0"/>
        <w:jc w:val="center"/>
        <w:rPr>
          <w:szCs w:val="14"/>
        </w:rPr>
      </w:pPr>
      <w:r w:rsidRPr="003A10D6">
        <w:rPr>
          <w:sz w:val="36"/>
          <w:szCs w:val="36"/>
        </w:rPr>
        <w:lastRenderedPageBreak/>
        <w:t xml:space="preserve">Activity </w:t>
      </w:r>
      <w:r>
        <w:rPr>
          <w:sz w:val="36"/>
          <w:szCs w:val="36"/>
        </w:rPr>
        <w:t>1</w:t>
      </w:r>
      <w:r>
        <w:rPr>
          <w:szCs w:val="14"/>
        </w:rPr>
        <w:br/>
      </w:r>
      <w:r>
        <w:rPr>
          <w:noProof/>
          <w:lang w:eastAsia="ko-KR"/>
        </w:rPr>
        <w:drawing>
          <wp:inline distT="0" distB="0" distL="0" distR="0" wp14:anchorId="4814DDB6" wp14:editId="25F5EDFB">
            <wp:extent cx="1472184" cy="4572000"/>
            <wp:effectExtent l="0" t="0" r="0" b="0"/>
            <wp:docPr id="146" name="Picture 146" descr="Activity &amp; Outputs Progress 1">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1472184" cy="4572000"/>
                    </a:xfrm>
                    <a:prstGeom prst="rect">
                      <a:avLst/>
                    </a:prstGeom>
                  </pic:spPr>
                </pic:pic>
              </a:graphicData>
            </a:graphic>
          </wp:inline>
        </w:drawing>
      </w:r>
      <w:r>
        <w:rPr>
          <w:sz w:val="36"/>
          <w:szCs w:val="36"/>
        </w:rPr>
        <w:br/>
      </w:r>
      <w:r>
        <w:rPr>
          <w:noProof/>
          <w:lang w:eastAsia="ko-KR"/>
        </w:rPr>
        <w:drawing>
          <wp:inline distT="0" distB="0" distL="0" distR="0" wp14:anchorId="51E339EA" wp14:editId="39465504">
            <wp:extent cx="2090057" cy="370114"/>
            <wp:effectExtent l="0" t="0" r="5715" b="0"/>
            <wp:docPr id="147" name="Picture 147"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69688E0A" w14:textId="77777777" w:rsidR="00581F18" w:rsidRPr="00533B79" w:rsidRDefault="00581F18" w:rsidP="00CA3DB3">
      <w:pPr>
        <w:spacing w:after="0"/>
        <w:ind w:firstLine="0"/>
        <w:rPr>
          <w:rFonts w:cstheme="minorHAnsi"/>
          <w:noProof/>
        </w:rPr>
      </w:pPr>
      <w:r w:rsidRPr="00533B79">
        <w:rPr>
          <w:rFonts w:cstheme="minorHAnsi"/>
          <w:b/>
          <w:bCs/>
          <w:noProof/>
        </w:rPr>
        <w:t>Activity 1:</w:t>
      </w:r>
      <w:r w:rsidRPr="00533B79">
        <w:rPr>
          <w:rFonts w:cstheme="minorHAnsi"/>
          <w:noProof/>
        </w:rPr>
        <w:t xml:space="preserve"> Assist [agency] to assess their staff’s current usage of LMI in the career exploration and vocational planning process and their capacity to utilize TCI+ in the career exploration and vocational planning process in the future.</w:t>
      </w:r>
    </w:p>
    <w:p w14:paraId="6B1E0A38" w14:textId="77777777" w:rsidR="00581F18" w:rsidRPr="00533B79" w:rsidRDefault="00581F18" w:rsidP="00CA3DB3">
      <w:pPr>
        <w:spacing w:after="0"/>
        <w:ind w:firstLine="0"/>
        <w:rPr>
          <w:rFonts w:cstheme="minorHAnsi"/>
          <w:noProof/>
        </w:rPr>
      </w:pPr>
      <w:r w:rsidRPr="00533B79">
        <w:rPr>
          <w:rFonts w:cstheme="minorHAnsi"/>
          <w:b/>
          <w:bCs/>
          <w:noProof/>
        </w:rPr>
        <w:t>Output A:</w:t>
      </w:r>
      <w:r w:rsidRPr="00533B79">
        <w:rPr>
          <w:rFonts w:cstheme="minorHAnsi"/>
          <w:noProof/>
        </w:rPr>
        <w:t xml:space="preserve"> A completed assessment and capacity determination.</w:t>
      </w:r>
    </w:p>
    <w:p w14:paraId="7A7AF875" w14:textId="77777777" w:rsidR="00581F18" w:rsidRDefault="00581F18" w:rsidP="00CA3DB3">
      <w:pPr>
        <w:tabs>
          <w:tab w:val="left" w:pos="360"/>
        </w:tabs>
        <w:ind w:firstLine="0"/>
        <w:jc w:val="center"/>
        <w:rPr>
          <w:szCs w:val="14"/>
        </w:rPr>
      </w:pPr>
      <w:r w:rsidRPr="003A10D6">
        <w:rPr>
          <w:sz w:val="36"/>
          <w:szCs w:val="36"/>
        </w:rPr>
        <w:t xml:space="preserve">Activity </w:t>
      </w:r>
      <w:r>
        <w:rPr>
          <w:sz w:val="36"/>
          <w:szCs w:val="36"/>
        </w:rPr>
        <w:t>2</w:t>
      </w:r>
      <w:r>
        <w:rPr>
          <w:szCs w:val="14"/>
        </w:rPr>
        <w:br/>
      </w:r>
      <w:r>
        <w:rPr>
          <w:noProof/>
          <w:lang w:eastAsia="ko-KR"/>
        </w:rPr>
        <w:drawing>
          <wp:inline distT="0" distB="0" distL="0" distR="0" wp14:anchorId="2C46D413" wp14:editId="792296B0">
            <wp:extent cx="1600200" cy="4572000"/>
            <wp:effectExtent l="0" t="0" r="0" b="0"/>
            <wp:docPr id="148" name="Picture 148" descr="Activity &amp; Outputs Progress 1">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1600200" cy="4572000"/>
                    </a:xfrm>
                    <a:prstGeom prst="rect">
                      <a:avLst/>
                    </a:prstGeom>
                  </pic:spPr>
                </pic:pic>
              </a:graphicData>
            </a:graphic>
          </wp:inline>
        </w:drawing>
      </w:r>
      <w:r>
        <w:rPr>
          <w:sz w:val="36"/>
          <w:szCs w:val="36"/>
        </w:rPr>
        <w:br/>
      </w:r>
      <w:r>
        <w:rPr>
          <w:noProof/>
          <w:lang w:eastAsia="ko-KR"/>
        </w:rPr>
        <w:drawing>
          <wp:inline distT="0" distB="0" distL="0" distR="0" wp14:anchorId="7B670B5A" wp14:editId="1B10C119">
            <wp:extent cx="2090057" cy="370114"/>
            <wp:effectExtent l="0" t="0" r="5715" b="0"/>
            <wp:docPr id="5" name="Picture 5"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5A9A92EB" w14:textId="77777777" w:rsidR="00581F18" w:rsidRPr="00533B79" w:rsidRDefault="00581F18" w:rsidP="00CA3DB3">
      <w:pPr>
        <w:spacing w:after="0"/>
        <w:ind w:firstLine="0"/>
        <w:rPr>
          <w:rFonts w:cstheme="minorHAnsi"/>
          <w:noProof/>
        </w:rPr>
      </w:pPr>
      <w:r w:rsidRPr="00533B79">
        <w:rPr>
          <w:rFonts w:cstheme="minorHAnsi"/>
          <w:b/>
          <w:bCs/>
          <w:noProof/>
        </w:rPr>
        <w:t>Activity 2:</w:t>
      </w:r>
      <w:r w:rsidRPr="00533B79">
        <w:rPr>
          <w:rFonts w:cstheme="minorHAnsi"/>
          <w:noProof/>
        </w:rPr>
        <w:t xml:space="preserve"> Assist [agency] to develop policies and procedures related to increased usage of LMI through the Career Index Plus to maximize impact of VR services.</w:t>
      </w:r>
    </w:p>
    <w:p w14:paraId="7703294B" w14:textId="77777777" w:rsidR="00581F18" w:rsidRPr="00533B79" w:rsidRDefault="00581F18" w:rsidP="00CA3DB3">
      <w:pPr>
        <w:spacing w:after="0"/>
        <w:ind w:firstLine="0"/>
        <w:rPr>
          <w:rFonts w:cstheme="minorHAnsi"/>
          <w:noProof/>
        </w:rPr>
      </w:pPr>
      <w:r w:rsidRPr="00533B79">
        <w:rPr>
          <w:rFonts w:cstheme="minorHAnsi"/>
          <w:b/>
          <w:bCs/>
          <w:noProof/>
        </w:rPr>
        <w:t>Output B:</w:t>
      </w:r>
      <w:r w:rsidRPr="00533B79">
        <w:rPr>
          <w:rFonts w:cstheme="minorHAnsi"/>
          <w:noProof/>
        </w:rPr>
        <w:t xml:space="preserve"> Completed Policies and Procedures. Written and promulgated agency policies and procedures.</w:t>
      </w:r>
    </w:p>
    <w:p w14:paraId="4F541FFA" w14:textId="77777777" w:rsidR="00581F18" w:rsidRPr="00533B79" w:rsidRDefault="00581F18" w:rsidP="00CA3DB3">
      <w:pPr>
        <w:spacing w:after="0"/>
        <w:ind w:firstLine="0"/>
        <w:rPr>
          <w:rFonts w:cstheme="minorHAnsi"/>
          <w:noProof/>
        </w:rPr>
      </w:pPr>
    </w:p>
    <w:p w14:paraId="563B3CEF" w14:textId="77777777" w:rsidR="00581F18" w:rsidRDefault="00581F18" w:rsidP="00CA3DB3">
      <w:pPr>
        <w:tabs>
          <w:tab w:val="left" w:pos="360"/>
        </w:tabs>
        <w:ind w:firstLine="0"/>
        <w:jc w:val="center"/>
        <w:rPr>
          <w:szCs w:val="14"/>
        </w:rPr>
      </w:pPr>
      <w:r w:rsidRPr="003A10D6">
        <w:rPr>
          <w:sz w:val="36"/>
          <w:szCs w:val="36"/>
        </w:rPr>
        <w:lastRenderedPageBreak/>
        <w:t xml:space="preserve">Activity </w:t>
      </w:r>
      <w:r>
        <w:rPr>
          <w:sz w:val="36"/>
          <w:szCs w:val="36"/>
        </w:rPr>
        <w:t>3</w:t>
      </w:r>
      <w:r>
        <w:rPr>
          <w:szCs w:val="14"/>
        </w:rPr>
        <w:br/>
      </w:r>
      <w:r>
        <w:rPr>
          <w:noProof/>
          <w:lang w:eastAsia="ko-KR"/>
        </w:rPr>
        <w:drawing>
          <wp:inline distT="0" distB="0" distL="0" distR="0" wp14:anchorId="0CF5470C" wp14:editId="454AA800">
            <wp:extent cx="1426464" cy="4572000"/>
            <wp:effectExtent l="0" t="0" r="2540" b="0"/>
            <wp:docPr id="149" name="Picture 149" descr="Activity &amp; Outputs Progress 3">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1426464" cy="4572000"/>
                    </a:xfrm>
                    <a:prstGeom prst="rect">
                      <a:avLst/>
                    </a:prstGeom>
                  </pic:spPr>
                </pic:pic>
              </a:graphicData>
            </a:graphic>
          </wp:inline>
        </w:drawing>
      </w:r>
      <w:r>
        <w:rPr>
          <w:sz w:val="36"/>
          <w:szCs w:val="36"/>
        </w:rPr>
        <w:br/>
      </w:r>
      <w:r>
        <w:rPr>
          <w:noProof/>
          <w:lang w:eastAsia="ko-KR"/>
        </w:rPr>
        <w:drawing>
          <wp:inline distT="0" distB="0" distL="0" distR="0" wp14:anchorId="53AF09DE" wp14:editId="179513BD">
            <wp:extent cx="2090057" cy="370114"/>
            <wp:effectExtent l="0" t="0" r="5715" b="0"/>
            <wp:docPr id="150" name="Picture 150"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399D90E4" w14:textId="77777777" w:rsidR="00581F18" w:rsidRPr="00533B79" w:rsidRDefault="00581F18" w:rsidP="00CA3DB3">
      <w:pPr>
        <w:spacing w:after="0"/>
        <w:ind w:firstLine="0"/>
        <w:rPr>
          <w:rFonts w:cstheme="minorHAnsi"/>
          <w:noProof/>
        </w:rPr>
      </w:pPr>
      <w:r w:rsidRPr="00533B79">
        <w:rPr>
          <w:rFonts w:cstheme="minorHAnsi"/>
          <w:b/>
          <w:bCs/>
          <w:noProof/>
        </w:rPr>
        <w:t xml:space="preserve">Activity </w:t>
      </w:r>
      <w:r>
        <w:rPr>
          <w:rFonts w:cstheme="minorHAnsi"/>
          <w:b/>
          <w:bCs/>
          <w:noProof/>
        </w:rPr>
        <w:t>3</w:t>
      </w:r>
      <w:r w:rsidRPr="00533B79">
        <w:rPr>
          <w:rFonts w:cstheme="minorHAnsi"/>
          <w:b/>
          <w:bCs/>
          <w:noProof/>
        </w:rPr>
        <w:t>:</w:t>
      </w:r>
      <w:r w:rsidRPr="00533B79">
        <w:rPr>
          <w:rFonts w:cstheme="minorHAnsi"/>
          <w:noProof/>
        </w:rPr>
        <w:t xml:space="preserve"> </w:t>
      </w:r>
      <w:r w:rsidRPr="00206792">
        <w:t>Develop Training Materials with [agency] Training Staff.</w:t>
      </w:r>
    </w:p>
    <w:p w14:paraId="6CCC3C2A" w14:textId="4588BF6F" w:rsidR="00581F18" w:rsidRDefault="00581F18" w:rsidP="00CA3DB3">
      <w:pPr>
        <w:tabs>
          <w:tab w:val="left" w:pos="360"/>
        </w:tabs>
        <w:ind w:firstLine="0"/>
      </w:pPr>
      <w:r w:rsidRPr="00533B79">
        <w:rPr>
          <w:rFonts w:cstheme="minorHAnsi"/>
          <w:b/>
          <w:bCs/>
          <w:noProof/>
        </w:rPr>
        <w:t xml:space="preserve">Output </w:t>
      </w:r>
      <w:r>
        <w:rPr>
          <w:rFonts w:cstheme="minorHAnsi"/>
          <w:b/>
          <w:bCs/>
          <w:noProof/>
        </w:rPr>
        <w:t>C</w:t>
      </w:r>
      <w:r w:rsidRPr="00533B79">
        <w:rPr>
          <w:rFonts w:cstheme="minorHAnsi"/>
          <w:b/>
          <w:bCs/>
          <w:noProof/>
        </w:rPr>
        <w:t>:</w:t>
      </w:r>
      <w:r w:rsidRPr="00533B79">
        <w:rPr>
          <w:rFonts w:cstheme="minorHAnsi"/>
          <w:noProof/>
        </w:rPr>
        <w:t xml:space="preserve"> </w:t>
      </w:r>
      <w:r w:rsidRPr="00206792">
        <w:t>Training Materials created with [agency] Training Team.</w:t>
      </w:r>
    </w:p>
    <w:p w14:paraId="2A24EEFA" w14:textId="77777777" w:rsidR="00CA3DB3" w:rsidRDefault="00CA3DB3" w:rsidP="00581F18">
      <w:pPr>
        <w:tabs>
          <w:tab w:val="left" w:pos="360"/>
        </w:tabs>
        <w:rPr>
          <w:rFonts w:cstheme="minorHAnsi"/>
          <w:noProof/>
        </w:rPr>
      </w:pPr>
    </w:p>
    <w:p w14:paraId="722D0014" w14:textId="77777777" w:rsidR="00581F18" w:rsidRDefault="00581F18" w:rsidP="00CA3DB3">
      <w:pPr>
        <w:tabs>
          <w:tab w:val="left" w:pos="360"/>
        </w:tabs>
        <w:ind w:firstLine="0"/>
        <w:jc w:val="center"/>
        <w:rPr>
          <w:szCs w:val="14"/>
        </w:rPr>
      </w:pPr>
      <w:r w:rsidRPr="003A10D6">
        <w:rPr>
          <w:sz w:val="36"/>
          <w:szCs w:val="36"/>
        </w:rPr>
        <w:t xml:space="preserve">Activity </w:t>
      </w:r>
      <w:r>
        <w:rPr>
          <w:sz w:val="36"/>
          <w:szCs w:val="36"/>
        </w:rPr>
        <w:t>4</w:t>
      </w:r>
      <w:r>
        <w:rPr>
          <w:szCs w:val="14"/>
        </w:rPr>
        <w:br/>
      </w:r>
      <w:r>
        <w:rPr>
          <w:noProof/>
          <w:lang w:eastAsia="ko-KR"/>
        </w:rPr>
        <w:drawing>
          <wp:inline distT="0" distB="0" distL="0" distR="0" wp14:anchorId="79059CF7" wp14:editId="79FD2A21">
            <wp:extent cx="1563624" cy="4572000"/>
            <wp:effectExtent l="0" t="0" r="0" b="0"/>
            <wp:docPr id="151" name="Picture 151" descr="Activity &amp; Outputs Progress 4">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1563624" cy="4572000"/>
                    </a:xfrm>
                    <a:prstGeom prst="rect">
                      <a:avLst/>
                    </a:prstGeom>
                  </pic:spPr>
                </pic:pic>
              </a:graphicData>
            </a:graphic>
          </wp:inline>
        </w:drawing>
      </w:r>
      <w:r>
        <w:rPr>
          <w:sz w:val="36"/>
          <w:szCs w:val="36"/>
        </w:rPr>
        <w:br/>
      </w:r>
      <w:r>
        <w:rPr>
          <w:noProof/>
          <w:lang w:eastAsia="ko-KR"/>
        </w:rPr>
        <w:drawing>
          <wp:inline distT="0" distB="0" distL="0" distR="0" wp14:anchorId="76D9F023" wp14:editId="284D05ED">
            <wp:extent cx="2090057" cy="370114"/>
            <wp:effectExtent l="0" t="0" r="5715" b="0"/>
            <wp:docPr id="152" name="Picture 152"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436903F7" w14:textId="77777777" w:rsidR="00581F18" w:rsidRPr="00533B79" w:rsidRDefault="00581F18" w:rsidP="00CA3DB3">
      <w:pPr>
        <w:spacing w:after="0"/>
        <w:ind w:firstLine="0"/>
        <w:rPr>
          <w:rFonts w:cstheme="minorHAnsi"/>
          <w:noProof/>
        </w:rPr>
      </w:pPr>
      <w:r w:rsidRPr="00533B79">
        <w:rPr>
          <w:rFonts w:cstheme="minorHAnsi"/>
          <w:b/>
          <w:bCs/>
          <w:noProof/>
        </w:rPr>
        <w:t>Activity 4:</w:t>
      </w:r>
      <w:r w:rsidRPr="00533B79">
        <w:rPr>
          <w:rFonts w:cstheme="minorHAnsi"/>
          <w:noProof/>
        </w:rPr>
        <w:t xml:space="preserve"> Provide Training on TCI+ and LMI to [agency] Staff and Administration.</w:t>
      </w:r>
    </w:p>
    <w:p w14:paraId="2EC9E895" w14:textId="77777777" w:rsidR="00581F18" w:rsidRPr="00533B79" w:rsidRDefault="00581F18" w:rsidP="00CA3DB3">
      <w:pPr>
        <w:spacing w:after="0"/>
        <w:ind w:firstLine="0"/>
        <w:rPr>
          <w:rFonts w:cstheme="minorHAnsi"/>
          <w:noProof/>
        </w:rPr>
      </w:pPr>
      <w:r w:rsidRPr="00533B79">
        <w:rPr>
          <w:rFonts w:cstheme="minorHAnsi"/>
          <w:b/>
          <w:bCs/>
          <w:noProof/>
        </w:rPr>
        <w:t>Output D:</w:t>
      </w:r>
      <w:r w:rsidRPr="00533B79">
        <w:rPr>
          <w:rFonts w:cstheme="minorHAnsi"/>
          <w:noProof/>
        </w:rPr>
        <w:t xml:space="preserve"> The number of staff that complete the training.</w:t>
      </w:r>
    </w:p>
    <w:p w14:paraId="12EC6B68" w14:textId="77777777" w:rsidR="00581F18" w:rsidRPr="00533B79" w:rsidRDefault="00581F18" w:rsidP="00581F18">
      <w:pPr>
        <w:spacing w:after="0"/>
        <w:rPr>
          <w:rFonts w:cstheme="minorHAnsi"/>
          <w:noProof/>
        </w:rPr>
      </w:pPr>
    </w:p>
    <w:p w14:paraId="12E12F01" w14:textId="77777777" w:rsidR="00581F18" w:rsidRDefault="00581F18" w:rsidP="00CA3DB3">
      <w:pPr>
        <w:tabs>
          <w:tab w:val="left" w:pos="360"/>
        </w:tabs>
        <w:ind w:firstLine="0"/>
        <w:jc w:val="center"/>
        <w:rPr>
          <w:szCs w:val="14"/>
        </w:rPr>
      </w:pPr>
      <w:r w:rsidRPr="003A10D6">
        <w:rPr>
          <w:sz w:val="36"/>
          <w:szCs w:val="36"/>
        </w:rPr>
        <w:lastRenderedPageBreak/>
        <w:t xml:space="preserve">Activity </w:t>
      </w:r>
      <w:r>
        <w:rPr>
          <w:sz w:val="36"/>
          <w:szCs w:val="36"/>
        </w:rPr>
        <w:t>5</w:t>
      </w:r>
      <w:r>
        <w:rPr>
          <w:szCs w:val="14"/>
        </w:rPr>
        <w:br/>
      </w:r>
      <w:r>
        <w:rPr>
          <w:noProof/>
          <w:lang w:eastAsia="ko-KR"/>
        </w:rPr>
        <w:drawing>
          <wp:inline distT="0" distB="0" distL="0" distR="0" wp14:anchorId="6B5AF5AC" wp14:editId="6087AE0C">
            <wp:extent cx="1527048" cy="4572000"/>
            <wp:effectExtent l="0" t="0" r="0" b="0"/>
            <wp:docPr id="153" name="Picture 153" descr="Activity &amp; Outputs Progress 5">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1527048" cy="4572000"/>
                    </a:xfrm>
                    <a:prstGeom prst="rect">
                      <a:avLst/>
                    </a:prstGeom>
                  </pic:spPr>
                </pic:pic>
              </a:graphicData>
            </a:graphic>
          </wp:inline>
        </w:drawing>
      </w:r>
      <w:r>
        <w:rPr>
          <w:sz w:val="36"/>
          <w:szCs w:val="36"/>
        </w:rPr>
        <w:br/>
      </w:r>
      <w:r>
        <w:rPr>
          <w:noProof/>
          <w:lang w:eastAsia="ko-KR"/>
        </w:rPr>
        <w:drawing>
          <wp:inline distT="0" distB="0" distL="0" distR="0" wp14:anchorId="74B32ADA" wp14:editId="2048B5A0">
            <wp:extent cx="2090057" cy="370114"/>
            <wp:effectExtent l="0" t="0" r="5715" b="0"/>
            <wp:docPr id="154" name="Picture 154"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7B551CDA" w14:textId="77777777" w:rsidR="00581F18" w:rsidRPr="00533B79" w:rsidRDefault="00581F18" w:rsidP="00CA3DB3">
      <w:pPr>
        <w:spacing w:after="0"/>
        <w:ind w:firstLine="0"/>
        <w:rPr>
          <w:rFonts w:cstheme="minorHAnsi"/>
        </w:rPr>
      </w:pPr>
      <w:r w:rsidRPr="00533B79">
        <w:rPr>
          <w:rFonts w:cstheme="minorHAnsi"/>
          <w:b/>
          <w:bCs/>
        </w:rPr>
        <w:t>Activity 5:</w:t>
      </w:r>
      <w:r w:rsidRPr="00533B79">
        <w:rPr>
          <w:rFonts w:cstheme="minorHAnsi"/>
        </w:rPr>
        <w:t xml:space="preserve"> Development of plan to expand and sustain LMI capacity.</w:t>
      </w:r>
    </w:p>
    <w:p w14:paraId="0B40C724" w14:textId="77777777" w:rsidR="00581F18" w:rsidRPr="00533B79" w:rsidRDefault="00581F18" w:rsidP="00CA3DB3">
      <w:pPr>
        <w:spacing w:after="0"/>
        <w:ind w:firstLine="0"/>
        <w:rPr>
          <w:rFonts w:cstheme="minorHAnsi"/>
        </w:rPr>
      </w:pPr>
      <w:r w:rsidRPr="00533B79">
        <w:rPr>
          <w:rFonts w:cstheme="minorHAnsi"/>
          <w:b/>
          <w:bCs/>
        </w:rPr>
        <w:t>Output E:</w:t>
      </w:r>
      <w:r w:rsidRPr="00533B79">
        <w:rPr>
          <w:rFonts w:cstheme="minorHAnsi"/>
        </w:rPr>
        <w:t xml:space="preserve"> A written plan outlining activities, time lines, roles and responsibilities. </w:t>
      </w:r>
    </w:p>
    <w:p w14:paraId="605E9593" w14:textId="4DD5765D" w:rsidR="00581F18" w:rsidRDefault="00581F18" w:rsidP="0048500F">
      <w:pPr>
        <w:spacing w:after="0"/>
        <w:ind w:firstLine="0"/>
      </w:pPr>
      <w:r w:rsidRPr="00533B79">
        <w:rPr>
          <w:rFonts w:cstheme="minorHAnsi"/>
          <w:b/>
          <w:bCs/>
        </w:rPr>
        <w:t>Output F:</w:t>
      </w:r>
      <w:r w:rsidRPr="00533B79">
        <w:rPr>
          <w:rFonts w:cstheme="minorHAnsi"/>
        </w:rPr>
        <w:t xml:space="preserve"> Training sessions offered to all available/identified staff based upon scope of the project plan.</w:t>
      </w:r>
      <w:r w:rsidR="0048500F">
        <w:t xml:space="preserve"> </w:t>
      </w:r>
    </w:p>
    <w:p w14:paraId="279D1EA4" w14:textId="77777777" w:rsidR="00581F18" w:rsidRDefault="00581F18" w:rsidP="00581F18">
      <w:pPr>
        <w:jc w:val="center"/>
        <w:rPr>
          <w:szCs w:val="14"/>
        </w:rPr>
        <w:sectPr w:rsidR="00581F18" w:rsidSect="0042504C">
          <w:headerReference w:type="even" r:id="rId389"/>
          <w:headerReference w:type="default" r:id="rId390"/>
          <w:footerReference w:type="even" r:id="rId391"/>
          <w:footerReference w:type="default" r:id="rId392"/>
          <w:headerReference w:type="first" r:id="rId393"/>
          <w:footerReference w:type="first" r:id="rId394"/>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num="2" w:space="720"/>
          <w:docGrid w:linePitch="360"/>
        </w:sectPr>
      </w:pPr>
    </w:p>
    <w:p w14:paraId="51AD452E" w14:textId="4FB0341C" w:rsidR="00581F18" w:rsidRDefault="00581F18" w:rsidP="00CA3DB3">
      <w:pPr>
        <w:pStyle w:val="Heading2"/>
      </w:pPr>
      <w:bookmarkStart w:id="159" w:name="_Toc41940271"/>
      <w:r w:rsidRPr="00EC18E4">
        <w:lastRenderedPageBreak/>
        <w:t xml:space="preserve">TCI+ </w:t>
      </w:r>
      <w:r w:rsidR="00CA3DB3" w:rsidRPr="00EC18E4">
        <w:t>Pilots</w:t>
      </w:r>
      <w:r w:rsidR="00CA3DB3">
        <w:t>: Outcomes Progress Dashboards</w:t>
      </w:r>
      <w:bookmarkEnd w:id="159"/>
    </w:p>
    <w:p w14:paraId="7F43DA1C" w14:textId="77777777" w:rsidR="00581F18" w:rsidRDefault="00581F18" w:rsidP="00581F18">
      <w:pPr>
        <w:jc w:val="center"/>
        <w:rPr>
          <w:sz w:val="24"/>
          <w:szCs w:val="24"/>
        </w:rPr>
      </w:pPr>
    </w:p>
    <w:p w14:paraId="691373A8" w14:textId="77777777" w:rsidR="00581F18" w:rsidRPr="00E47117" w:rsidRDefault="00581F18" w:rsidP="00CC3D2E">
      <w:pPr>
        <w:ind w:firstLine="0"/>
        <w:jc w:val="center"/>
        <w:rPr>
          <w:sz w:val="24"/>
          <w:szCs w:val="24"/>
        </w:rPr>
      </w:pPr>
      <w:r>
        <w:rPr>
          <w:noProof/>
          <w:lang w:eastAsia="ko-KR"/>
        </w:rPr>
        <w:drawing>
          <wp:inline distT="0" distB="0" distL="0" distR="0" wp14:anchorId="7F1C4FDD" wp14:editId="64F9D755">
            <wp:extent cx="5943600" cy="2904815"/>
            <wp:effectExtent l="0" t="0" r="0" b="0"/>
            <wp:docPr id="155" name="Picture 155" descr="Outcomes Progress speedometer showing 58%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943600" cy="2904815"/>
                    </a:xfrm>
                    <a:prstGeom prst="rect">
                      <a:avLst/>
                    </a:prstGeom>
                  </pic:spPr>
                </pic:pic>
              </a:graphicData>
            </a:graphic>
          </wp:inline>
        </w:drawing>
      </w:r>
    </w:p>
    <w:p w14:paraId="4AE87DD0" w14:textId="2D7A09DE" w:rsidR="00581F18" w:rsidRDefault="00581F18" w:rsidP="00581F18">
      <w:pPr>
        <w:spacing w:line="240" w:lineRule="auto"/>
        <w:rPr>
          <w:noProof/>
        </w:rPr>
      </w:pPr>
      <w:r>
        <w:t>Outcomes are approximately one-third not started (33%) and one-half completed (58%).  These do not appear to be of one kind of outcome versus another, but rather a function of time where earlier pilots are more complete as would be expected.</w:t>
      </w:r>
      <w:r w:rsidR="0048500F">
        <w:rPr>
          <w:noProof/>
        </w:rPr>
        <w:t xml:space="preserve"> </w:t>
      </w:r>
    </w:p>
    <w:p w14:paraId="542F84BB" w14:textId="77777777" w:rsidR="00581F18" w:rsidRPr="00AE5851" w:rsidRDefault="00581F18" w:rsidP="00581F18">
      <w:pPr>
        <w:spacing w:after="0" w:line="240" w:lineRule="auto"/>
        <w:jc w:val="center"/>
        <w:rPr>
          <w:rFonts w:cstheme="minorHAnsi"/>
          <w:b/>
          <w:sz w:val="36"/>
          <w:szCs w:val="36"/>
        </w:rPr>
      </w:pPr>
      <w:r w:rsidRPr="00AE5851">
        <w:rPr>
          <w:rFonts w:cstheme="minorHAnsi"/>
          <w:b/>
          <w:sz w:val="36"/>
          <w:szCs w:val="36"/>
        </w:rPr>
        <w:br w:type="page"/>
      </w:r>
    </w:p>
    <w:p w14:paraId="3E03D08D" w14:textId="6AFBF25A" w:rsidR="00581F18" w:rsidRPr="00CA3DB3" w:rsidRDefault="00581F18" w:rsidP="00CA3DB3">
      <w:pPr>
        <w:pStyle w:val="Heading2"/>
      </w:pPr>
      <w:bookmarkStart w:id="160" w:name="_Toc41940272"/>
      <w:r w:rsidRPr="00CA3DB3">
        <w:lastRenderedPageBreak/>
        <w:t xml:space="preserve">TCI+ </w:t>
      </w:r>
      <w:r w:rsidR="00CA3DB3" w:rsidRPr="00CA3DB3">
        <w:t>Pilots: Resources</w:t>
      </w:r>
      <w:bookmarkEnd w:id="160"/>
    </w:p>
    <w:p w14:paraId="33648A2A" w14:textId="77777777" w:rsidR="00581F18" w:rsidRDefault="00581F18" w:rsidP="00CA3DB3">
      <w:pPr>
        <w:spacing w:after="120" w:line="240" w:lineRule="auto"/>
        <w:rPr>
          <w:rFonts w:eastAsia="Times New Roman" w:cstheme="minorHAnsi"/>
        </w:rPr>
      </w:pPr>
      <w:r w:rsidRPr="006058E5">
        <w:rPr>
          <w:rFonts w:eastAsia="Times New Roman" w:cstheme="minorHAnsi"/>
        </w:rPr>
        <w:t>These resources provide VR agencies with training and informational materials on adopting The Career Index Plus as a labor market information tool. In addition, the WINTAC website provides briefs, reports, and webinars related to LMI through our partners including JDVRTAC.</w:t>
      </w:r>
      <w:r>
        <w:rPr>
          <w:rFonts w:eastAsia="Times New Roman" w:cstheme="minorHAnsi"/>
        </w:rPr>
        <w:t xml:space="preserve">  </w:t>
      </w:r>
    </w:p>
    <w:p w14:paraId="3315380A" w14:textId="77777777" w:rsidR="00581F18" w:rsidRPr="004D2B90" w:rsidRDefault="00581F18" w:rsidP="00CA3DB3">
      <w:pPr>
        <w:spacing w:after="120" w:line="240" w:lineRule="auto"/>
        <w:rPr>
          <w:rFonts w:eastAsia="Times New Roman" w:cstheme="minorHAnsi"/>
        </w:rPr>
      </w:pPr>
      <w:r w:rsidRPr="004D2B90">
        <w:rPr>
          <w:rFonts w:eastAsia="Times New Roman" w:cstheme="minorHAnsi"/>
        </w:rPr>
        <w:t>As with other topic areas, one notable recent change to the resources page is the inclusion up at the top of the resources page of an immediately visible section linking visitors to COVID-19 relevant resources (each resource page of WINTAC’s website has this section and link).  her relevant external websites.</w:t>
      </w:r>
    </w:p>
    <w:p w14:paraId="501395BF" w14:textId="77777777" w:rsidR="00581F18" w:rsidRPr="006934A7" w:rsidRDefault="00581F18" w:rsidP="00CA3DB3">
      <w:pPr>
        <w:spacing w:after="120"/>
      </w:pPr>
      <w:r w:rsidRPr="004D2B90">
        <w:rPr>
          <w:rFonts w:eastAsia="Times New Roman" w:cstheme="minorHAnsi"/>
        </w:rPr>
        <w:t xml:space="preserve">Examining traffic to the Pre-ETS Resources page, we see </w:t>
      </w:r>
      <w:r>
        <w:t xml:space="preserve">229 Page Views &amp; 20 Entrances </w:t>
      </w:r>
      <w:r w:rsidRPr="004D2B90">
        <w:rPr>
          <w:rFonts w:eastAsia="Times New Roman" w:cstheme="minorHAnsi"/>
        </w:rPr>
        <w:t xml:space="preserve">for Year 5 thus far.  Spikes in traffic </w:t>
      </w:r>
      <w:r>
        <w:rPr>
          <w:rFonts w:eastAsia="Times New Roman" w:cstheme="minorHAnsi"/>
        </w:rPr>
        <w:t>appear to occur periodically at reasonably regular intervals, so although there is a spike after the pandemic shutdowns were largely in place across the country (</w:t>
      </w:r>
      <w:r w:rsidRPr="004D2B90">
        <w:rPr>
          <w:rFonts w:eastAsia="Times New Roman" w:cstheme="minorHAnsi"/>
        </w:rPr>
        <w:t>when online resources became critical for SVRAs operating largely or entirely virtually</w:t>
      </w:r>
      <w:r>
        <w:rPr>
          <w:rFonts w:eastAsia="Times New Roman" w:cstheme="minorHAnsi"/>
        </w:rPr>
        <w:t>), it is not necessarily that that spike was pandemic related.  Indeed, through March when many states began putting shutdowns in place, we see a decline in traffic similar to those during holidays in the Fall and Winter:</w:t>
      </w:r>
    </w:p>
    <w:p w14:paraId="1A64B07B" w14:textId="77777777" w:rsidR="00581F18" w:rsidRDefault="00581F18" w:rsidP="006B4C51">
      <w:pPr>
        <w:ind w:firstLine="0"/>
      </w:pPr>
      <w:r>
        <w:rPr>
          <w:noProof/>
          <w:lang w:eastAsia="ko-KR"/>
        </w:rPr>
        <w:drawing>
          <wp:inline distT="0" distB="0" distL="0" distR="0" wp14:anchorId="780118CE" wp14:editId="5D219DA1">
            <wp:extent cx="5943600" cy="1341120"/>
            <wp:effectExtent l="0" t="0" r="0" b="0"/>
            <wp:docPr id="156" name="Picture 156" descr="Web analytics chart showing page views and ent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5943600" cy="1341120"/>
                    </a:xfrm>
                    <a:prstGeom prst="rect">
                      <a:avLst/>
                    </a:prstGeom>
                  </pic:spPr>
                </pic:pic>
              </a:graphicData>
            </a:graphic>
          </wp:inline>
        </w:drawing>
      </w:r>
    </w:p>
    <w:p w14:paraId="23D32E56" w14:textId="77777777" w:rsidR="00581F18" w:rsidRPr="006058E5" w:rsidRDefault="00581F18" w:rsidP="00C575C8">
      <w:pPr>
        <w:numPr>
          <w:ilvl w:val="0"/>
          <w:numId w:val="71"/>
        </w:numPr>
        <w:spacing w:before="100" w:beforeAutospacing="1" w:after="100" w:afterAutospacing="1" w:line="240" w:lineRule="auto"/>
      </w:pPr>
      <w:r w:rsidRPr="006058E5">
        <w:rPr>
          <w:b/>
          <w:bCs/>
        </w:rPr>
        <w:t>TCI+ Introduction</w:t>
      </w:r>
    </w:p>
    <w:p w14:paraId="77A54FF0" w14:textId="77777777" w:rsidR="00581F18" w:rsidRPr="006058E5" w:rsidRDefault="0084664F" w:rsidP="00C575C8">
      <w:pPr>
        <w:numPr>
          <w:ilvl w:val="1"/>
          <w:numId w:val="71"/>
        </w:numPr>
        <w:spacing w:before="100" w:beforeAutospacing="1" w:after="100" w:afterAutospacing="1" w:line="240" w:lineRule="auto"/>
      </w:pPr>
      <w:hyperlink r:id="rId397" w:history="1">
        <w:r w:rsidR="00581F18" w:rsidRPr="006058E5">
          <w:rPr>
            <w:color w:val="0000FF"/>
            <w:u w:val="single"/>
          </w:rPr>
          <w:t>TCI+ 1 Page Introduction</w:t>
        </w:r>
      </w:hyperlink>
    </w:p>
    <w:p w14:paraId="1BF89AF5" w14:textId="77777777" w:rsidR="00581F18" w:rsidRDefault="00581F18" w:rsidP="00C575C8">
      <w:pPr>
        <w:numPr>
          <w:ilvl w:val="0"/>
          <w:numId w:val="71"/>
        </w:numPr>
        <w:spacing w:before="100" w:beforeAutospacing="1" w:after="100" w:afterAutospacing="1" w:line="240" w:lineRule="auto"/>
        <w:rPr>
          <w:b/>
          <w:bCs/>
        </w:rPr>
        <w:sectPr w:rsidR="00581F18" w:rsidSect="0042504C">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docGrid w:linePitch="360"/>
        </w:sectPr>
      </w:pPr>
      <w:r w:rsidRPr="006058E5">
        <w:rPr>
          <w:b/>
          <w:bCs/>
        </w:rPr>
        <w:t>Website Quick Reference Documents</w:t>
      </w:r>
    </w:p>
    <w:p w14:paraId="2B5D6AB8" w14:textId="77777777" w:rsidR="00581F18" w:rsidRPr="006058E5" w:rsidRDefault="0084664F" w:rsidP="00C575C8">
      <w:pPr>
        <w:numPr>
          <w:ilvl w:val="1"/>
          <w:numId w:val="71"/>
        </w:numPr>
        <w:spacing w:before="100" w:beforeAutospacing="1" w:after="100" w:afterAutospacing="1" w:line="240" w:lineRule="auto"/>
      </w:pPr>
      <w:hyperlink r:id="rId398" w:tgtFrame="_blank" w:history="1">
        <w:r w:rsidR="00581F18" w:rsidRPr="006058E5">
          <w:rPr>
            <w:color w:val="0000FF"/>
            <w:u w:val="single"/>
          </w:rPr>
          <w:t>Fit</w:t>
        </w:r>
      </w:hyperlink>
    </w:p>
    <w:p w14:paraId="39D3D3C9" w14:textId="77777777" w:rsidR="00581F18" w:rsidRPr="006058E5" w:rsidRDefault="0084664F" w:rsidP="00C575C8">
      <w:pPr>
        <w:numPr>
          <w:ilvl w:val="1"/>
          <w:numId w:val="71"/>
        </w:numPr>
        <w:spacing w:before="100" w:beforeAutospacing="1" w:after="100" w:afterAutospacing="1" w:line="240" w:lineRule="auto"/>
      </w:pPr>
      <w:hyperlink r:id="rId399" w:tgtFrame="_blank" w:history="1">
        <w:r w:rsidR="00581F18" w:rsidRPr="006058E5">
          <w:rPr>
            <w:color w:val="0000FF"/>
            <w:u w:val="single"/>
          </w:rPr>
          <w:t>Information</w:t>
        </w:r>
      </w:hyperlink>
    </w:p>
    <w:p w14:paraId="0E708FAD" w14:textId="77777777" w:rsidR="00581F18" w:rsidRPr="006058E5" w:rsidRDefault="0084664F" w:rsidP="00C575C8">
      <w:pPr>
        <w:numPr>
          <w:ilvl w:val="1"/>
          <w:numId w:val="71"/>
        </w:numPr>
        <w:spacing w:before="100" w:beforeAutospacing="1" w:after="100" w:afterAutospacing="1" w:line="240" w:lineRule="auto"/>
      </w:pPr>
      <w:hyperlink r:id="rId400" w:tgtFrame="_blank" w:history="1">
        <w:r w:rsidR="00581F18" w:rsidRPr="006058E5">
          <w:rPr>
            <w:color w:val="0000FF"/>
            <w:u w:val="single"/>
          </w:rPr>
          <w:t>Job Postings</w:t>
        </w:r>
      </w:hyperlink>
    </w:p>
    <w:p w14:paraId="0F44A888" w14:textId="77777777" w:rsidR="00581F18" w:rsidRPr="006058E5" w:rsidRDefault="0084664F" w:rsidP="00C575C8">
      <w:pPr>
        <w:numPr>
          <w:ilvl w:val="1"/>
          <w:numId w:val="71"/>
        </w:numPr>
        <w:spacing w:before="100" w:beforeAutospacing="1" w:after="100" w:afterAutospacing="1" w:line="240" w:lineRule="auto"/>
      </w:pPr>
      <w:hyperlink r:id="rId401" w:tgtFrame="_blank" w:history="1">
        <w:r w:rsidR="00581F18" w:rsidRPr="006058E5">
          <w:rPr>
            <w:color w:val="0000FF"/>
            <w:u w:val="single"/>
          </w:rPr>
          <w:t>Overview</w:t>
        </w:r>
      </w:hyperlink>
    </w:p>
    <w:p w14:paraId="58022439" w14:textId="77777777" w:rsidR="00581F18" w:rsidRPr="006058E5" w:rsidRDefault="0084664F" w:rsidP="00C575C8">
      <w:pPr>
        <w:numPr>
          <w:ilvl w:val="1"/>
          <w:numId w:val="71"/>
        </w:numPr>
        <w:spacing w:before="100" w:beforeAutospacing="1" w:after="100" w:afterAutospacing="1" w:line="240" w:lineRule="auto"/>
      </w:pPr>
      <w:hyperlink r:id="rId402" w:tgtFrame="_blank" w:history="1">
        <w:r w:rsidR="00581F18" w:rsidRPr="006058E5">
          <w:rPr>
            <w:color w:val="0000FF"/>
            <w:u w:val="single"/>
          </w:rPr>
          <w:t>Print</w:t>
        </w:r>
      </w:hyperlink>
    </w:p>
    <w:p w14:paraId="65348F19" w14:textId="77777777" w:rsidR="00581F18" w:rsidRPr="006058E5" w:rsidRDefault="0084664F" w:rsidP="00C575C8">
      <w:pPr>
        <w:numPr>
          <w:ilvl w:val="1"/>
          <w:numId w:val="71"/>
        </w:numPr>
        <w:spacing w:before="100" w:beforeAutospacing="1" w:after="100" w:afterAutospacing="1" w:line="240" w:lineRule="auto"/>
      </w:pPr>
      <w:hyperlink r:id="rId403" w:tgtFrame="_blank" w:history="1">
        <w:r w:rsidR="00581F18" w:rsidRPr="006058E5">
          <w:rPr>
            <w:color w:val="0000FF"/>
            <w:u w:val="single"/>
          </w:rPr>
          <w:t>Quick Start</w:t>
        </w:r>
      </w:hyperlink>
    </w:p>
    <w:p w14:paraId="2C629D9B" w14:textId="77777777" w:rsidR="00581F18" w:rsidRPr="006058E5" w:rsidRDefault="0084664F" w:rsidP="00C575C8">
      <w:pPr>
        <w:numPr>
          <w:ilvl w:val="1"/>
          <w:numId w:val="71"/>
        </w:numPr>
        <w:spacing w:before="100" w:beforeAutospacing="1" w:after="100" w:afterAutospacing="1" w:line="240" w:lineRule="auto"/>
      </w:pPr>
      <w:hyperlink r:id="rId404" w:tgtFrame="_blank" w:history="1">
        <w:r w:rsidR="00581F18" w:rsidRPr="006058E5">
          <w:rPr>
            <w:color w:val="0000FF"/>
            <w:u w:val="single"/>
          </w:rPr>
          <w:t>Related Jobs</w:t>
        </w:r>
      </w:hyperlink>
    </w:p>
    <w:p w14:paraId="5E450FE2" w14:textId="77777777" w:rsidR="00581F18" w:rsidRPr="006058E5" w:rsidRDefault="0084664F" w:rsidP="00C575C8">
      <w:pPr>
        <w:numPr>
          <w:ilvl w:val="1"/>
          <w:numId w:val="71"/>
        </w:numPr>
        <w:spacing w:before="100" w:beforeAutospacing="1" w:after="100" w:afterAutospacing="1" w:line="240" w:lineRule="auto"/>
      </w:pPr>
      <w:hyperlink r:id="rId405" w:tgtFrame="_blank" w:history="1">
        <w:r w:rsidR="00581F18" w:rsidRPr="006058E5">
          <w:rPr>
            <w:color w:val="0000FF"/>
            <w:u w:val="single"/>
          </w:rPr>
          <w:t>Suitability</w:t>
        </w:r>
      </w:hyperlink>
    </w:p>
    <w:p w14:paraId="1A7F435F" w14:textId="77777777" w:rsidR="00581F18" w:rsidRPr="006058E5" w:rsidRDefault="0084664F" w:rsidP="00C575C8">
      <w:pPr>
        <w:numPr>
          <w:ilvl w:val="1"/>
          <w:numId w:val="71"/>
        </w:numPr>
        <w:spacing w:before="100" w:beforeAutospacing="1" w:after="100" w:afterAutospacing="1" w:line="240" w:lineRule="auto"/>
      </w:pPr>
      <w:hyperlink r:id="rId406" w:tgtFrame="_blank" w:history="1">
        <w:r w:rsidR="00581F18" w:rsidRPr="006058E5">
          <w:rPr>
            <w:color w:val="0000FF"/>
            <w:u w:val="single"/>
          </w:rPr>
          <w:t>Training</w:t>
        </w:r>
      </w:hyperlink>
    </w:p>
    <w:p w14:paraId="1F484711" w14:textId="77777777" w:rsidR="00581F18" w:rsidRDefault="00581F18" w:rsidP="00C575C8">
      <w:pPr>
        <w:numPr>
          <w:ilvl w:val="1"/>
          <w:numId w:val="71"/>
        </w:numPr>
        <w:spacing w:before="100" w:beforeAutospacing="1" w:after="100" w:afterAutospacing="1" w:line="240" w:lineRule="auto"/>
        <w:rPr>
          <w:color w:val="0000FF"/>
          <w:u w:val="single"/>
        </w:rPr>
        <w:sectPr w:rsidR="00581F18" w:rsidSect="00623C47">
          <w:type w:val="continuous"/>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num="2" w:space="720"/>
          <w:docGrid w:linePitch="360"/>
        </w:sectPr>
      </w:pPr>
      <w:r w:rsidRPr="006058E5">
        <w:rPr>
          <w:color w:val="0000FF"/>
          <w:u w:val="single"/>
        </w:rPr>
        <w:t>Viability</w:t>
      </w:r>
    </w:p>
    <w:p w14:paraId="32DB0974" w14:textId="77777777" w:rsidR="00581F18" w:rsidRDefault="00581F18" w:rsidP="00C575C8">
      <w:pPr>
        <w:numPr>
          <w:ilvl w:val="0"/>
          <w:numId w:val="71"/>
        </w:numPr>
        <w:spacing w:before="100" w:beforeAutospacing="1" w:after="100" w:afterAutospacing="1" w:line="240" w:lineRule="auto"/>
        <w:sectPr w:rsidR="00581F18" w:rsidSect="00623C47">
          <w:type w:val="continuous"/>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docGrid w:linePitch="360"/>
        </w:sectPr>
      </w:pPr>
    </w:p>
    <w:p w14:paraId="18067C69" w14:textId="77777777" w:rsidR="00581F18" w:rsidRPr="006058E5" w:rsidRDefault="0084664F" w:rsidP="00C575C8">
      <w:pPr>
        <w:numPr>
          <w:ilvl w:val="0"/>
          <w:numId w:val="71"/>
        </w:numPr>
        <w:spacing w:before="100" w:beforeAutospacing="1" w:after="100" w:afterAutospacing="1" w:line="240" w:lineRule="auto"/>
      </w:pPr>
      <w:hyperlink r:id="rId407" w:tgtFrame="_blank" w:history="1">
        <w:r w:rsidR="00581F18" w:rsidRPr="006058E5">
          <w:rPr>
            <w:b/>
            <w:bCs/>
            <w:color w:val="0000FF"/>
            <w:u w:val="single"/>
          </w:rPr>
          <w:t>Website User Manual</w:t>
        </w:r>
      </w:hyperlink>
    </w:p>
    <w:p w14:paraId="4BDF96BE" w14:textId="77777777" w:rsidR="00581F18" w:rsidRPr="006058E5" w:rsidRDefault="00581F18" w:rsidP="00C575C8">
      <w:pPr>
        <w:numPr>
          <w:ilvl w:val="0"/>
          <w:numId w:val="71"/>
        </w:numPr>
        <w:spacing w:before="100" w:beforeAutospacing="1" w:after="100" w:afterAutospacing="1" w:line="240" w:lineRule="auto"/>
      </w:pPr>
      <w:r w:rsidRPr="006058E5">
        <w:rPr>
          <w:b/>
          <w:bCs/>
        </w:rPr>
        <w:t>Website Training Documents</w:t>
      </w:r>
    </w:p>
    <w:p w14:paraId="5BA6E59E" w14:textId="77777777" w:rsidR="00581F18" w:rsidRPr="006058E5" w:rsidRDefault="0084664F" w:rsidP="00C575C8">
      <w:pPr>
        <w:numPr>
          <w:ilvl w:val="1"/>
          <w:numId w:val="71"/>
        </w:numPr>
        <w:spacing w:before="100" w:beforeAutospacing="1" w:after="100" w:afterAutospacing="1" w:line="240" w:lineRule="auto"/>
      </w:pPr>
      <w:hyperlink r:id="rId408" w:history="1">
        <w:r w:rsidR="00581F18" w:rsidRPr="006058E5">
          <w:rPr>
            <w:color w:val="0000FF"/>
            <w:u w:val="single"/>
          </w:rPr>
          <w:t>LMI Elements with TCI+</w:t>
        </w:r>
      </w:hyperlink>
    </w:p>
    <w:p w14:paraId="2CC3BC23" w14:textId="77777777" w:rsidR="00581F18" w:rsidRPr="006058E5" w:rsidRDefault="0084664F" w:rsidP="00C575C8">
      <w:pPr>
        <w:numPr>
          <w:ilvl w:val="1"/>
          <w:numId w:val="71"/>
        </w:numPr>
        <w:spacing w:before="100" w:beforeAutospacing="1" w:after="100" w:afterAutospacing="1" w:line="240" w:lineRule="auto"/>
      </w:pPr>
      <w:hyperlink r:id="rId409" w:history="1">
        <w:r w:rsidR="00581F18" w:rsidRPr="006058E5">
          <w:rPr>
            <w:color w:val="0000FF"/>
            <w:u w:val="single"/>
          </w:rPr>
          <w:t>TCI+ and Informed Choice</w:t>
        </w:r>
      </w:hyperlink>
    </w:p>
    <w:p w14:paraId="6C15471B" w14:textId="77777777" w:rsidR="00581F18" w:rsidRPr="006058E5" w:rsidRDefault="0084664F" w:rsidP="00C575C8">
      <w:pPr>
        <w:numPr>
          <w:ilvl w:val="1"/>
          <w:numId w:val="71"/>
        </w:numPr>
        <w:spacing w:before="100" w:beforeAutospacing="1" w:after="100" w:afterAutospacing="1" w:line="240" w:lineRule="auto"/>
      </w:pPr>
      <w:hyperlink r:id="rId410" w:history="1">
        <w:r w:rsidR="00581F18" w:rsidRPr="006058E5">
          <w:rPr>
            <w:color w:val="0000FF"/>
            <w:u w:val="single"/>
          </w:rPr>
          <w:t>TCI+ Client Self Study</w:t>
        </w:r>
      </w:hyperlink>
    </w:p>
    <w:p w14:paraId="0755C016" w14:textId="77777777" w:rsidR="00581F18" w:rsidRPr="006058E5" w:rsidRDefault="0084664F" w:rsidP="00C575C8">
      <w:pPr>
        <w:numPr>
          <w:ilvl w:val="1"/>
          <w:numId w:val="71"/>
        </w:numPr>
        <w:spacing w:before="100" w:beforeAutospacing="1" w:after="100" w:afterAutospacing="1" w:line="240" w:lineRule="auto"/>
      </w:pPr>
      <w:hyperlink r:id="rId411" w:history="1">
        <w:r w:rsidR="00581F18" w:rsidRPr="006058E5">
          <w:rPr>
            <w:color w:val="0000FF"/>
            <w:u w:val="single"/>
          </w:rPr>
          <w:t>TCI+ Profile Creation</w:t>
        </w:r>
      </w:hyperlink>
    </w:p>
    <w:p w14:paraId="7FB6C768" w14:textId="77777777" w:rsidR="00581F18" w:rsidRPr="006058E5" w:rsidRDefault="0084664F" w:rsidP="00C575C8">
      <w:pPr>
        <w:numPr>
          <w:ilvl w:val="1"/>
          <w:numId w:val="71"/>
        </w:numPr>
        <w:spacing w:before="100" w:beforeAutospacing="1" w:after="100" w:afterAutospacing="1" w:line="240" w:lineRule="auto"/>
      </w:pPr>
      <w:hyperlink r:id="rId412" w:history="1">
        <w:r w:rsidR="00581F18" w:rsidRPr="006058E5">
          <w:rPr>
            <w:color w:val="0000FF"/>
            <w:u w:val="single"/>
          </w:rPr>
          <w:t>TCI+ Registering Clients</w:t>
        </w:r>
      </w:hyperlink>
    </w:p>
    <w:p w14:paraId="220CE28F" w14:textId="77777777" w:rsidR="00581F18" w:rsidRPr="006058E5" w:rsidRDefault="00581F18" w:rsidP="00C575C8">
      <w:pPr>
        <w:numPr>
          <w:ilvl w:val="0"/>
          <w:numId w:val="71"/>
        </w:numPr>
        <w:spacing w:before="100" w:beforeAutospacing="1" w:after="100" w:afterAutospacing="1" w:line="240" w:lineRule="auto"/>
      </w:pPr>
      <w:r w:rsidRPr="006058E5">
        <w:rPr>
          <w:b/>
          <w:bCs/>
        </w:rPr>
        <w:t>Form Examples</w:t>
      </w:r>
    </w:p>
    <w:p w14:paraId="635C5280" w14:textId="77777777" w:rsidR="00581F18" w:rsidRPr="006058E5" w:rsidRDefault="0084664F" w:rsidP="00C575C8">
      <w:pPr>
        <w:numPr>
          <w:ilvl w:val="1"/>
          <w:numId w:val="71"/>
        </w:numPr>
        <w:spacing w:before="100" w:beforeAutospacing="1" w:after="100" w:afterAutospacing="1" w:line="240" w:lineRule="auto"/>
      </w:pPr>
      <w:hyperlink r:id="rId413" w:history="1">
        <w:r w:rsidR="00581F18" w:rsidRPr="006058E5">
          <w:rPr>
            <w:color w:val="0000FF"/>
            <w:u w:val="single"/>
          </w:rPr>
          <w:t>LMI Form 1 - LMI Review</w:t>
        </w:r>
      </w:hyperlink>
    </w:p>
    <w:p w14:paraId="67D5EE6F" w14:textId="77777777" w:rsidR="00581F18" w:rsidRPr="006058E5" w:rsidRDefault="0084664F" w:rsidP="00C575C8">
      <w:pPr>
        <w:numPr>
          <w:ilvl w:val="1"/>
          <w:numId w:val="71"/>
        </w:numPr>
        <w:spacing w:before="100" w:beforeAutospacing="1" w:after="100" w:afterAutospacing="1" w:line="240" w:lineRule="auto"/>
      </w:pPr>
      <w:hyperlink r:id="rId414" w:history="1">
        <w:r w:rsidR="00581F18" w:rsidRPr="006058E5">
          <w:rPr>
            <w:color w:val="0000FF"/>
            <w:u w:val="single"/>
          </w:rPr>
          <w:t>LMI Form 2 - Career Pathway LMI Review</w:t>
        </w:r>
      </w:hyperlink>
    </w:p>
    <w:p w14:paraId="152914C8" w14:textId="77777777" w:rsidR="00581F18" w:rsidRPr="006058E5" w:rsidRDefault="0084664F" w:rsidP="00C575C8">
      <w:pPr>
        <w:numPr>
          <w:ilvl w:val="1"/>
          <w:numId w:val="71"/>
        </w:numPr>
        <w:spacing w:before="100" w:beforeAutospacing="1" w:after="100" w:afterAutospacing="1" w:line="240" w:lineRule="auto"/>
      </w:pPr>
      <w:hyperlink r:id="rId415" w:history="1">
        <w:r w:rsidR="00581F18" w:rsidRPr="006058E5">
          <w:rPr>
            <w:color w:val="0000FF"/>
            <w:u w:val="single"/>
          </w:rPr>
          <w:t>LMI Form 3 - LMI Data Review</w:t>
        </w:r>
      </w:hyperlink>
    </w:p>
    <w:p w14:paraId="640F0B2E" w14:textId="77777777" w:rsidR="00581F18" w:rsidRDefault="0084664F" w:rsidP="00C575C8">
      <w:pPr>
        <w:numPr>
          <w:ilvl w:val="1"/>
          <w:numId w:val="71"/>
        </w:numPr>
        <w:spacing w:before="100" w:beforeAutospacing="1" w:after="100" w:afterAutospacing="1" w:line="240" w:lineRule="auto"/>
      </w:pPr>
      <w:hyperlink r:id="rId416" w:history="1">
        <w:r w:rsidR="00581F18" w:rsidRPr="006058E5">
          <w:rPr>
            <w:color w:val="0000FF"/>
            <w:u w:val="single"/>
          </w:rPr>
          <w:t>LMI Form 4 - Informed Choice Matrix Review</w:t>
        </w:r>
      </w:hyperlink>
      <w:r w:rsidR="00581F18">
        <w:br w:type="page"/>
      </w:r>
    </w:p>
    <w:p w14:paraId="302CCB57" w14:textId="554D4D2D" w:rsidR="00581F18" w:rsidRPr="004B327C" w:rsidRDefault="00581F18" w:rsidP="00581F18">
      <w:pPr>
        <w:pStyle w:val="Heading2"/>
        <w:rPr>
          <w:szCs w:val="36"/>
        </w:rPr>
      </w:pPr>
      <w:bookmarkStart w:id="161" w:name="_Toc41940273"/>
      <w:r w:rsidRPr="003634DA">
        <w:rPr>
          <w:szCs w:val="36"/>
        </w:rPr>
        <w:lastRenderedPageBreak/>
        <w:t xml:space="preserve">TCI+ </w:t>
      </w:r>
      <w:r w:rsidR="008512DC" w:rsidRPr="003634DA">
        <w:rPr>
          <w:szCs w:val="36"/>
        </w:rPr>
        <w:t>Pilots</w:t>
      </w:r>
      <w:r w:rsidR="008512DC" w:rsidRPr="004B327C">
        <w:rPr>
          <w:szCs w:val="36"/>
        </w:rPr>
        <w:t>: Progress Narrative</w:t>
      </w:r>
      <w:bookmarkEnd w:id="161"/>
    </w:p>
    <w:p w14:paraId="41818419" w14:textId="77777777" w:rsidR="00581F18" w:rsidRPr="00A23C46" w:rsidRDefault="00581F18" w:rsidP="0067196C">
      <w:pPr>
        <w:pStyle w:val="Heading3"/>
      </w:pPr>
      <w:bookmarkStart w:id="162" w:name="_Toc41940274"/>
      <w:r w:rsidRPr="008512DC">
        <w:t>National</w:t>
      </w:r>
      <w:r w:rsidRPr="00A23C46">
        <w:t xml:space="preserve"> Lens</w:t>
      </w:r>
      <w:bookmarkEnd w:id="162"/>
    </w:p>
    <w:p w14:paraId="20B59577" w14:textId="77777777" w:rsidR="00581F18" w:rsidRDefault="00581F18" w:rsidP="00581F18">
      <w:pPr>
        <w:ind w:firstLine="360"/>
      </w:pPr>
      <w:r w:rsidRPr="008907C8">
        <w:t>WIOA requires “the Secretary of Labor to oversee development of a workforce and labor market information system” in recognition of the importance of its use in improving the match between training a skilled workforce that can meet current and growing business demands (WIAC, 2018).  In an examination of how this may be effectively implemented, WIAC made several recommendations to the Secretary of Labor including the need to enhance and expand existing Department of Labor resources, involve State participation to ensure fuller incorporation of local LMI, improve data sharing and systems collaboration among agencies, conduct program evaluation, and utilize improved technology solutions.  The Career Index Plus (TCI+), as part of WINTAC’s TA related to LMI, addresses these important issues.  LMI supports career training, education, and credentialing choices and these choices improve outcomes, including higher completion rates of degree programs (Aspen Institute, 2014). When using LMI, it has been repeatedly argued that evaluation is important (WIAC, 2018) and should examine both process measures, as well as outcome measures, delineating project or initiative efforts through a logic model that defines expectations and drives accountability (HPOG, 2014).</w:t>
      </w:r>
    </w:p>
    <w:p w14:paraId="7133BCA9" w14:textId="77777777" w:rsidR="00581F18" w:rsidRPr="008512DC" w:rsidRDefault="00581F18" w:rsidP="0067196C">
      <w:pPr>
        <w:pStyle w:val="Heading3"/>
      </w:pPr>
      <w:bookmarkStart w:id="163" w:name="_Toc41940275"/>
      <w:r w:rsidRPr="008512DC">
        <w:t>WINTAC Lens</w:t>
      </w:r>
      <w:bookmarkEnd w:id="163"/>
    </w:p>
    <w:p w14:paraId="68D995B4" w14:textId="77777777" w:rsidR="00581F18" w:rsidRPr="008907C8" w:rsidRDefault="00581F18" w:rsidP="00581F18">
      <w:pPr>
        <w:tabs>
          <w:tab w:val="left" w:pos="360"/>
        </w:tabs>
      </w:pPr>
      <w:r w:rsidRPr="008907C8">
        <w:t xml:space="preserve">TCI+/LMI is a pilot topic area with eleven formal intensive technical assistance agreements (ITAAs) in place.  These ITAAs draw from a menu of activities identified in an initial, brief logic model which each have an associated output and contribute to a set of defined short-term outcomes.  </w:t>
      </w:r>
    </w:p>
    <w:p w14:paraId="7E511365" w14:textId="77777777" w:rsidR="00581F18" w:rsidRDefault="00581F18" w:rsidP="00581F18">
      <w:r w:rsidRPr="00533653">
        <w:rPr>
          <w:b/>
          <w:bCs/>
          <w:i/>
          <w:iCs/>
          <w:szCs w:val="14"/>
          <w:u w:val="single"/>
        </w:rPr>
        <w:t>TA Progress</w:t>
      </w:r>
      <w:r>
        <w:rPr>
          <w:b/>
          <w:bCs/>
          <w:i/>
          <w:iCs/>
          <w:szCs w:val="14"/>
          <w:u w:val="single"/>
        </w:rPr>
        <w:t>: Activities and Outputs</w:t>
      </w:r>
      <w:r w:rsidRPr="00533653">
        <w:rPr>
          <w:b/>
          <w:bCs/>
          <w:i/>
          <w:iCs/>
          <w:szCs w:val="14"/>
          <w:u w:val="single"/>
        </w:rPr>
        <w:t>.</w:t>
      </w:r>
      <w:r>
        <w:rPr>
          <w:szCs w:val="14"/>
        </w:rPr>
        <w:t xml:space="preserve"> </w:t>
      </w:r>
      <w:r w:rsidRPr="008F5E6D">
        <w:t xml:space="preserve">The </w:t>
      </w:r>
      <w:r>
        <w:t xml:space="preserve">progress dashboard above shows that across 21 </w:t>
      </w:r>
      <w:r w:rsidRPr="008F5E6D">
        <w:t>activities</w:t>
      </w:r>
      <w:r>
        <w:t>,</w:t>
      </w:r>
      <w:r w:rsidRPr="008F5E6D">
        <w:t xml:space="preserve"> </w:t>
      </w:r>
      <w:r>
        <w:t xml:space="preserve">the </w:t>
      </w:r>
      <w:r w:rsidRPr="008F5E6D">
        <w:t xml:space="preserve">majority of </w:t>
      </w:r>
      <w:r>
        <w:t xml:space="preserve">them </w:t>
      </w:r>
      <w:r w:rsidRPr="008F5E6D">
        <w:t>are complete or 90% complete (</w:t>
      </w:r>
      <w:r>
        <w:t>7</w:t>
      </w:r>
      <w:r w:rsidRPr="008F5E6D">
        <w:t>6%), one-</w:t>
      </w:r>
      <w:r>
        <w:t>quarter</w:t>
      </w:r>
      <w:r w:rsidRPr="008F5E6D">
        <w:t xml:space="preserve"> are underway (25-50% complete), and </w:t>
      </w:r>
      <w:r>
        <w:t>5%</w:t>
      </w:r>
      <w:r w:rsidRPr="008F5E6D">
        <w:t xml:space="preserve"> have not started.</w:t>
      </w:r>
      <w:r>
        <w:t xml:space="preserve">  </w:t>
      </w:r>
      <w:r w:rsidRPr="00300A1B">
        <w:t>Further below, thermometer</w:t>
      </w:r>
      <w:r>
        <w:t xml:space="preserve"> chart</w:t>
      </w:r>
      <w:r w:rsidRPr="00300A1B">
        <w:t xml:space="preserve">s demonstrate the level of completion for the different activities and outputs as defined in the logic model for ITAA states.  </w:t>
      </w:r>
      <w:r>
        <w:t>For TCI+ we see a 1:1 correspondence in rates of completion of the activity and the output itself.  Activity 1 and 5 are entirely complete (assessment of SVRA capacity to use LMI/TCI+ and sustainability planning respectively), and the rest are underway with strong rates of completion (developing and implementing training and policies and procedures to implement trainings).</w:t>
      </w:r>
    </w:p>
    <w:p w14:paraId="0762174F" w14:textId="77777777" w:rsidR="00581F18" w:rsidRPr="00FB1415" w:rsidRDefault="00581F18" w:rsidP="00581F18">
      <w:pPr>
        <w:tabs>
          <w:tab w:val="left" w:pos="360"/>
        </w:tabs>
        <w:rPr>
          <w:rFonts w:cstheme="minorHAnsi"/>
        </w:rPr>
      </w:pPr>
      <w:r w:rsidRPr="00FB1415">
        <w:rPr>
          <w:rFonts w:cstheme="minorHAnsi"/>
          <w:b/>
          <w:bCs/>
          <w:i/>
          <w:iCs/>
          <w:u w:val="single"/>
        </w:rPr>
        <w:t>TA Progress: Outcomes</w:t>
      </w:r>
      <w:r w:rsidRPr="00FB1415">
        <w:rPr>
          <w:rFonts w:cstheme="minorHAnsi"/>
          <w:i/>
          <w:iCs/>
        </w:rPr>
        <w:t>.</w:t>
      </w:r>
      <w:r w:rsidRPr="00FB1415">
        <w:rPr>
          <w:rFonts w:cstheme="minorHAnsi"/>
        </w:rPr>
        <w:t xml:space="preserve">  </w:t>
      </w:r>
      <w:r w:rsidRPr="00FB1415">
        <w:t>Outcomes are approximately one-third not started (33%) and one-half completed (58%).  These do not appear to be of one kind of outcome versus another, but rather a function of time where earlier pilots are more complete as would be expected.</w:t>
      </w:r>
      <w:r w:rsidRPr="00FB1415">
        <w:rPr>
          <w:rFonts w:cstheme="minorHAnsi"/>
        </w:rPr>
        <w:t xml:space="preserve">  </w:t>
      </w:r>
      <w:r>
        <w:rPr>
          <w:rFonts w:cstheme="minorHAnsi"/>
        </w:rPr>
        <w:t>At the end of Year 4, data regarding the outcome of TA usage was shared demonstrating good use of the system.  Updated numbers were not provided for this report, but website traffic analytics for the resources page of this topic area where guidance and recorded trainings on using TCI+ show robust and steady patterns of visits and sessions.  This may suggest ongoing use of the system and continued seeking out of resources to facilitate doing so.  In the Year 5 Annual Evaluation report we hope to provide updated system usage data confirming this inference or clarifying use patterns.</w:t>
      </w:r>
    </w:p>
    <w:p w14:paraId="5924F0DD" w14:textId="77777777" w:rsidR="00581F18" w:rsidRDefault="00581F18" w:rsidP="00581F18">
      <w:r w:rsidRPr="00FB1415">
        <w:t xml:space="preserve">The Evaluation and TA Teams continued to work on next steps with SVRAs to examine how TCI+ and LMI usage is being implemented and leading to systems changes and outcomes for clients.  Having been so successful at completing ITAA activities, the TA Team implemented a Community of Practice (CoP) to further discuss evaluation issues and develop plans for evaluation collaboratively with SVRAs, </w:t>
      </w:r>
      <w:r w:rsidRPr="00FB1415">
        <w:lastRenderedPageBreak/>
        <w:t>all of whom joined the CoP out of an interest to pursue a better understanding of how LMI use could be</w:t>
      </w:r>
      <w:r>
        <w:t xml:space="preserve"> evaluated in their agency.  </w:t>
      </w:r>
    </w:p>
    <w:p w14:paraId="79392CD7" w14:textId="77777777" w:rsidR="00581F18" w:rsidRDefault="00581F18" w:rsidP="00581F18">
      <w:pPr>
        <w:tabs>
          <w:tab w:val="left" w:pos="360"/>
        </w:tabs>
      </w:pPr>
      <w:r>
        <w:t>Over the past two quarters, meetings yielded rich information about the way agencies are incorporating LMI into the culture and processes of their work, and possible ways we could work with them to review data and provide preliminary answers on patterns of SVRA and client interaction with TCI+ or other LMI systems (if tracked by the SVRA).  In order to explore systems changes, SVRA participants were asked to share information about the policies and practices they were implementing.</w:t>
      </w:r>
    </w:p>
    <w:p w14:paraId="217A3D27" w14:textId="77777777" w:rsidR="00581F18" w:rsidRDefault="00581F18" w:rsidP="00581F18">
      <w:pPr>
        <w:tabs>
          <w:tab w:val="left" w:pos="360"/>
        </w:tabs>
      </w:pPr>
      <w:r>
        <w:t>Multiple agencies articulated that one policy addressing LMI use is not a realistic approach; rather they have different policies or expectations for various populations (e.g., those at the eligibility stage just beginning engagement with VR, those</w:t>
      </w:r>
      <w:r w:rsidRPr="005C6131">
        <w:t xml:space="preserve"> </w:t>
      </w:r>
      <w:r>
        <w:t>setting career goals, those looking at different education or training programs, etc.) and documentation of LMI is required as justification throughout the process of working with a client.  Often, there are expectations for the client to justify choices with LMI supporting their goals as well (e.g., are jobs in a particular career path available? Or will the client move to where such jobs can be had?).  One agency described how LMI is being woven throughout the culture of their agency to inform all stages of work and to examine outcomes (e.g., are placements aligning with career clusters in their state?), including that they evaluate incoming new hires during the interview process with an LMI “task.” In another agency, LMI is explicitly tied to their goals to improve employment retention performance indicators which they believe will happen when LMI is used to support good placements (evaluated through alignment of SOC codes with local career clusters and employment outlooks).   Agencies also identified collaboration with businesses and American Job Centers / One-Stops due to LMI work.</w:t>
      </w:r>
    </w:p>
    <w:p w14:paraId="6988BD2F" w14:textId="77777777" w:rsidR="00581F18" w:rsidRPr="006934A7" w:rsidRDefault="00581F18" w:rsidP="00581F18">
      <w:bookmarkStart w:id="164" w:name="_Hlk41734588"/>
      <w:bookmarkStart w:id="165" w:name="_Hlk41761598"/>
      <w:r w:rsidRPr="00211784">
        <w:rPr>
          <w:b/>
          <w:bCs/>
          <w:i/>
          <w:iCs/>
          <w:u w:val="single"/>
        </w:rPr>
        <w:t>Covid-19 Impacts.</w:t>
      </w:r>
      <w:r w:rsidRPr="00211784">
        <w:t xml:space="preserve">  </w:t>
      </w:r>
      <w:bookmarkEnd w:id="164"/>
      <w:bookmarkEnd w:id="165"/>
      <w:r w:rsidRPr="00211784">
        <w:t xml:space="preserve">The TCI+ TA Team did not note any particular impacts related to the pandemic in terms of their TA activities.  As reviewed above regarding traffic to the resources page for this topic area, </w:t>
      </w:r>
      <w:r w:rsidRPr="00211784">
        <w:rPr>
          <w:rFonts w:eastAsia="Times New Roman" w:cstheme="minorHAnsi"/>
        </w:rPr>
        <w:t>spikes in</w:t>
      </w:r>
      <w:r w:rsidRPr="004D2B90">
        <w:rPr>
          <w:rFonts w:eastAsia="Times New Roman" w:cstheme="minorHAnsi"/>
        </w:rPr>
        <w:t xml:space="preserve"> traffic </w:t>
      </w:r>
      <w:r>
        <w:rPr>
          <w:rFonts w:eastAsia="Times New Roman" w:cstheme="minorHAnsi"/>
        </w:rPr>
        <w:t>appear to occur periodically at reasonably regular intervals, so no pandemic related spike can be clearly inferred.  Indeed, through March when many states began putting shutdowns in place, we see a decline in traffic similar to those during holidays in the Fall and Winter.</w:t>
      </w:r>
    </w:p>
    <w:p w14:paraId="3DCEA0DF" w14:textId="429EB2A0" w:rsidR="00581F18" w:rsidRDefault="00581F18" w:rsidP="00581F18">
      <w:pPr>
        <w:tabs>
          <w:tab w:val="left" w:pos="360"/>
        </w:tabs>
      </w:pPr>
      <w:r w:rsidRPr="009D4C96">
        <w:rPr>
          <w:b/>
          <w:bCs/>
          <w:i/>
          <w:iCs/>
          <w:u w:val="single"/>
        </w:rPr>
        <w:t>Sustainability.</w:t>
      </w:r>
      <w:r w:rsidRPr="009D4C96">
        <w:t xml:space="preserve">  The </w:t>
      </w:r>
      <w:r w:rsidR="00421ACC">
        <w:t>TCI+/LMI E</w:t>
      </w:r>
      <w:r w:rsidRPr="009D4C96">
        <w:t xml:space="preserve">valuation </w:t>
      </w:r>
      <w:r w:rsidR="00421ACC" w:rsidRPr="009D4C96">
        <w:t xml:space="preserve">CoP </w:t>
      </w:r>
      <w:r w:rsidRPr="009D4C96">
        <w:t>has been focused on discussion of evaluation stories</w:t>
      </w:r>
      <w:r>
        <w:t xml:space="preserve"> and metrics, and agencies have begun to work with the TA and Evaluation Teams one-on-one to begin the process of data collection and provision.  In the remaining two quarters of the year, there are good opportunities to work from early discussions around LMI implementation as agency culture, goal-aligned, and a continuous part of the process as ways to ensure sustainability around the practice of LMI integration.</w:t>
      </w:r>
    </w:p>
    <w:p w14:paraId="3AFE5AF6" w14:textId="77777777" w:rsidR="00581F18" w:rsidRPr="003634DA" w:rsidRDefault="00581F18" w:rsidP="00581F18">
      <w:pPr>
        <w:rPr>
          <w:rFonts w:cstheme="minorHAnsi"/>
          <w:b/>
          <w:bCs/>
          <w:i/>
          <w:iCs/>
          <w:color w:val="C00000"/>
        </w:rPr>
      </w:pPr>
      <w:r w:rsidRPr="003634DA">
        <w:rPr>
          <w:rFonts w:cstheme="minorHAnsi"/>
          <w:b/>
          <w:bCs/>
          <w:i/>
          <w:iCs/>
          <w:color w:val="C00000"/>
        </w:rPr>
        <w:t>“Challenges Overcome,” “Changes Made,” and “Evaluation Recommendations” will be updated as part of the Year 5 Annual Evaluation Report.  But important findings presented in the Year 4 Annual Evaluation Report (2 quarters ago) are reproduced below for ease of reference and context as to the significant and valuable work that has been done by the Pre-ETS TA Team.</w:t>
      </w:r>
    </w:p>
    <w:p w14:paraId="4AF461F0" w14:textId="77777777" w:rsidR="00581F18" w:rsidRDefault="00581F18" w:rsidP="00581F18">
      <w:pPr>
        <w:ind w:firstLine="360"/>
      </w:pPr>
      <w:r w:rsidRPr="00FD368C">
        <w:rPr>
          <w:b/>
          <w:bCs/>
          <w:i/>
          <w:iCs/>
          <w:u w:val="single"/>
        </w:rPr>
        <w:t>Challenges Overcome.</w:t>
      </w:r>
      <w:r>
        <w:t xml:space="preserve">  The intense systems changes required by the early deadlines involving the topic areas of Pre-ETS and CPMs resulted in other change efforts being of lower priority.  As such, the YCI+/LMI TA Team found that some states had “starts and stops” with their engagement whereas others were interested but could not progress its use effectively.  Nevertheless, five states were identified as good examples of how effectively implementation can occur when administrators and staff are engaged </w:t>
      </w:r>
      <w:r>
        <w:lastRenderedPageBreak/>
        <w:t>and have bought in to the idea of using LMI: Colorado, Florida, Connecticut, North Dakota, and South Carolina.  When discussing ITAs and initiating discussions with SVRAs regarding LMI, the TCI+ TA Team starts by examining an agency’s existing structures, staff, policies, procedures, and internal controls related to LMI use.  As a result of early implementation efforts, the TA Team has identified that implementation proceeds most effectively, and VRCs are more apt to engage with the TCI+ system, when (1) a written policy regarding the use of LMI is in place, (2) a form or casenote template to be used at IPE is developed or provided, (3) internal controls are in use by management, and (4) staff participate in formal trainings in the use of TCI+.  Critical to tracking effective implementation will be developing a way to examine consistent use of LMI in Individual Plans for Employment (IPE).  This can then be tracked further to examine differences in client credentialing and employment outcomes.</w:t>
      </w:r>
    </w:p>
    <w:p w14:paraId="1C5E1479" w14:textId="77777777" w:rsidR="00581F18" w:rsidRDefault="00581F18" w:rsidP="00581F18">
      <w:pPr>
        <w:ind w:firstLine="360"/>
      </w:pPr>
      <w:r>
        <w:t xml:space="preserve">LMI can be effectively utilized by a broad range of stakeholders across a continuum of service provision. The TCI+ TA Team has worked directly with several SVRAs, but also engaged with the Workforce Development System partners, Business </w:t>
      </w:r>
      <w:r w:rsidRPr="009954E5">
        <w:t>Engagement staff, Community Resource Providers, job coaches, and directly with clients.  In addition, LMI is being used or considered in a variety of service contexts including for IPEs as noted, but also when developing</w:t>
      </w:r>
      <w:r>
        <w:t xml:space="preserve"> Individual Employment Plans (IEPs), as part of peer mentoring processes, and as a Pre-ETS service.</w:t>
      </w:r>
    </w:p>
    <w:p w14:paraId="60442917" w14:textId="1EC3C82F" w:rsidR="00581F18" w:rsidRPr="00511E32" w:rsidRDefault="008512DC" w:rsidP="00581F18">
      <w:pPr>
        <w:ind w:firstLine="360"/>
      </w:pPr>
      <w:r>
        <w:rPr>
          <w:b/>
          <w:bCs/>
          <w:i/>
          <w:iCs/>
          <w:u w:val="single"/>
        </w:rPr>
        <w:t>Changes Made</w:t>
      </w:r>
      <w:r w:rsidR="00581F18" w:rsidRPr="007D494C">
        <w:rPr>
          <w:b/>
          <w:bCs/>
          <w:i/>
          <w:iCs/>
          <w:u w:val="single"/>
        </w:rPr>
        <w:t>.</w:t>
      </w:r>
      <w:r w:rsidR="00581F18">
        <w:t xml:space="preserve">  Some activities or SVRAs may be currently classified as Targeted TA, but are described to elucidate varying state approaches and because they may develop into Intensive TA efforts.</w:t>
      </w:r>
    </w:p>
    <w:p w14:paraId="13534221" w14:textId="77777777" w:rsidR="0048500F" w:rsidRPr="0048500F" w:rsidRDefault="00581F18" w:rsidP="0048500F">
      <w:pPr>
        <w:pStyle w:val="ListParagraph"/>
        <w:numPr>
          <w:ilvl w:val="0"/>
          <w:numId w:val="69"/>
        </w:numPr>
        <w:contextualSpacing w:val="0"/>
        <w:rPr>
          <w:i/>
        </w:rPr>
      </w:pPr>
      <w:r w:rsidRPr="007C2B1E">
        <w:rPr>
          <w:i/>
        </w:rPr>
        <w:t>Florida General</w:t>
      </w:r>
      <w:r>
        <w:rPr>
          <w:i/>
        </w:rPr>
        <w:br/>
      </w:r>
      <w:r>
        <w:t>Florida General has initiated a form to be completed at IPE known as the “Employment Matrix.”  They had a significant training regimen to prepare staff for using the form, and have offered ongoing training on LMI, TCI+, and the form.</w:t>
      </w:r>
    </w:p>
    <w:p w14:paraId="3D4A8E51" w14:textId="77777777" w:rsidR="0048500F" w:rsidRPr="0048500F" w:rsidRDefault="0048500F" w:rsidP="0048500F">
      <w:pPr>
        <w:pStyle w:val="ListParagraph"/>
        <w:numPr>
          <w:ilvl w:val="0"/>
          <w:numId w:val="69"/>
        </w:numPr>
        <w:spacing w:before="120"/>
        <w:contextualSpacing w:val="0"/>
        <w:rPr>
          <w:i/>
        </w:rPr>
      </w:pPr>
      <w:r>
        <w:t xml:space="preserve"> </w:t>
      </w:r>
      <w:r w:rsidR="00581F18">
        <w:t>The form itself is a simple Word document with standardized LMI Elements to Research listed, and spots to list these LMI elements for 3 Vocational Goals.  The counselor sits down with the client and completes the form with the client, then reviews the findings with the client to make an informed choice.  This is then logged in the case management system and the IPE is drafted for this goal.</w:t>
      </w:r>
    </w:p>
    <w:p w14:paraId="31E94DF8" w14:textId="43EB8498" w:rsidR="00581F18" w:rsidRPr="003634DA" w:rsidRDefault="0048500F" w:rsidP="0048500F">
      <w:pPr>
        <w:pStyle w:val="ListParagraph"/>
        <w:numPr>
          <w:ilvl w:val="0"/>
          <w:numId w:val="69"/>
        </w:numPr>
        <w:spacing w:before="120"/>
        <w:contextualSpacing w:val="0"/>
        <w:rPr>
          <w:i/>
        </w:rPr>
      </w:pPr>
      <w:r>
        <w:t xml:space="preserve"> </w:t>
      </w:r>
      <w:r w:rsidR="00581F18">
        <w:t xml:space="preserve">At this time, it is not in policy that this form or the specific elements be included although there is an expectation in practice that it be used.  The information regarding the use of LMI and the form was communicated via a Technical Assistance Memo from the Central Office.  Supervisors are reviewing IPEs to ensure usage of LMI inclusion.  This appeared to result in high rates of TCI+ </w:t>
      </w:r>
      <w:r w:rsidR="00581F18" w:rsidRPr="009954E5">
        <w:t>usage over the last year.  Florida has had long-term rates of good usage, but a dramatic increase was apparent, coinciding with introduction of the form.</w:t>
      </w:r>
    </w:p>
    <w:p w14:paraId="5E60EB2C" w14:textId="77777777" w:rsidR="00581F18" w:rsidRPr="003634DA" w:rsidRDefault="00581F18" w:rsidP="00C575C8">
      <w:pPr>
        <w:pStyle w:val="ListParagraph"/>
        <w:numPr>
          <w:ilvl w:val="0"/>
          <w:numId w:val="69"/>
        </w:numPr>
        <w:spacing w:before="240"/>
        <w:contextualSpacing w:val="0"/>
        <w:rPr>
          <w:i/>
        </w:rPr>
      </w:pPr>
      <w:r w:rsidRPr="00552EEA">
        <w:rPr>
          <w:i/>
        </w:rPr>
        <w:t>South Carolina Blind</w:t>
      </w:r>
      <w:r>
        <w:rPr>
          <w:i/>
        </w:rPr>
        <w:br/>
      </w:r>
      <w:r>
        <w:t xml:space="preserve">South Carolina Blind is one of the longest-term users of TCI+ in terms of SVRAs, with an early ITA for WINTAC.  They initiated a policy on 1/1/2018 that stipulated that all VRCs will use LMI at IPE, and they clearly define its use.  The agency notes, </w:t>
      </w:r>
      <w:r w:rsidRPr="003634DA">
        <w:rPr>
          <w:i/>
          <w:iCs/>
        </w:rPr>
        <w:t>“LMI is expected to be a part of the Assessment of Rehabilitation Needs (ARN) and this is an actual part of our case management in AWARE.   So, essentially it is used in the beginning of the case as the vocational objective is determined.  We might also utilize LMI to support a relocation expenditure for a consumer.  LMI is also used with our Transition consumers as part of Career Exploration.”</w:t>
      </w:r>
      <w:r w:rsidRPr="00EA4DB7">
        <w:t xml:space="preserve"> </w:t>
      </w:r>
      <w:r>
        <w:t xml:space="preserve">They have consistently </w:t>
      </w:r>
      <w:r>
        <w:lastRenderedPageBreak/>
        <w:t>been utilizing TCI+ and are one of the “top” agencies in terms of usage rate.  They report that they are checking at IPE that LMI has been used.</w:t>
      </w:r>
    </w:p>
    <w:p w14:paraId="472AED25" w14:textId="77777777" w:rsidR="00581F18" w:rsidRPr="003634DA" w:rsidRDefault="00581F18" w:rsidP="00C575C8">
      <w:pPr>
        <w:pStyle w:val="ListParagraph"/>
        <w:numPr>
          <w:ilvl w:val="0"/>
          <w:numId w:val="69"/>
        </w:numPr>
        <w:rPr>
          <w:i/>
        </w:rPr>
      </w:pPr>
      <w:r w:rsidRPr="00612EE7">
        <w:rPr>
          <w:i/>
        </w:rPr>
        <w:t>Minnesota Blind</w:t>
      </w:r>
      <w:r>
        <w:rPr>
          <w:i/>
        </w:rPr>
        <w:br/>
      </w:r>
      <w:r>
        <w:t>Minnesota Blind requires use of LMI when developing an IPE.  The TCI+ TA Team is working with them to develop a form for documentation. The approach will be to have counselors utilize the form with clients, answering certain LMI elements for the vocational goal that has been selected.  Then the form will be sent to a single point of contact to review the LMI and give guidance back to the counselor/ supervisor.  After agreement regarding LMI’s applicability to client goals and establishment of those, the IPE will be signed and documented in the agency’s case management system.</w:t>
      </w:r>
    </w:p>
    <w:p w14:paraId="54D88F70" w14:textId="77777777" w:rsidR="00581F18" w:rsidRPr="003634DA" w:rsidRDefault="00581F18" w:rsidP="00C575C8">
      <w:pPr>
        <w:pStyle w:val="ListParagraph"/>
        <w:numPr>
          <w:ilvl w:val="0"/>
          <w:numId w:val="69"/>
        </w:numPr>
        <w:rPr>
          <w:i/>
        </w:rPr>
      </w:pPr>
      <w:r w:rsidRPr="0081627A">
        <w:rPr>
          <w:i/>
        </w:rPr>
        <w:t>Utah Combined</w:t>
      </w:r>
      <w:r>
        <w:rPr>
          <w:i/>
        </w:rPr>
        <w:br/>
      </w:r>
      <w:r>
        <w:t xml:space="preserve">Utah Combined recently received training and aims to integrate LMI utilization training agency wide as part of their ‘back to basics’ efforts regarding effective provision of counseling and guidance.  </w:t>
      </w:r>
    </w:p>
    <w:p w14:paraId="1303A437" w14:textId="77777777" w:rsidR="00581F18" w:rsidRPr="003634DA" w:rsidRDefault="00581F18" w:rsidP="00C575C8">
      <w:pPr>
        <w:pStyle w:val="ListParagraph"/>
        <w:numPr>
          <w:ilvl w:val="0"/>
          <w:numId w:val="69"/>
        </w:numPr>
        <w:rPr>
          <w:i/>
        </w:rPr>
      </w:pPr>
      <w:r w:rsidRPr="0081627A">
        <w:rPr>
          <w:i/>
        </w:rPr>
        <w:t xml:space="preserve">Iowa </w:t>
      </w:r>
      <w:r>
        <w:rPr>
          <w:i/>
        </w:rPr>
        <w:t>Blind</w:t>
      </w:r>
      <w:r>
        <w:rPr>
          <w:i/>
        </w:rPr>
        <w:br/>
      </w:r>
      <w:r>
        <w:t>Iowa Blind collects LMI at the time of the IPE using a specific form they created and then the supervisor checks all IPEs to ensure its inclusion.</w:t>
      </w:r>
    </w:p>
    <w:p w14:paraId="0DBF945F" w14:textId="77777777" w:rsidR="00581F18" w:rsidRPr="003634DA" w:rsidRDefault="00581F18" w:rsidP="00C575C8">
      <w:pPr>
        <w:pStyle w:val="ListParagraph"/>
        <w:numPr>
          <w:ilvl w:val="0"/>
          <w:numId w:val="69"/>
        </w:numPr>
        <w:rPr>
          <w:i/>
        </w:rPr>
      </w:pPr>
      <w:r w:rsidRPr="00D4058F">
        <w:rPr>
          <w:i/>
        </w:rPr>
        <w:t>North Dakota</w:t>
      </w:r>
      <w:r w:rsidRPr="00D4058F">
        <w:rPr>
          <w:i/>
        </w:rPr>
        <w:tab/>
      </w:r>
      <w:r>
        <w:rPr>
          <w:i/>
        </w:rPr>
        <w:br/>
      </w:r>
      <w:r>
        <w:t>TCI+ training has been provided to all staff and a “Client Focused Form” template created to support LMI usage.  North Dakota issued a Technical Assistance Memo requiring LMI usage as well, but no explicit policy.</w:t>
      </w:r>
      <w:r>
        <w:tab/>
        <w:t xml:space="preserve"> </w:t>
      </w:r>
    </w:p>
    <w:p w14:paraId="09ABB172" w14:textId="77777777" w:rsidR="00581F18" w:rsidRPr="003634DA" w:rsidRDefault="00581F18" w:rsidP="00C575C8">
      <w:pPr>
        <w:pStyle w:val="ListParagraph"/>
        <w:numPr>
          <w:ilvl w:val="0"/>
          <w:numId w:val="69"/>
        </w:numPr>
        <w:rPr>
          <w:i/>
        </w:rPr>
      </w:pPr>
      <w:r w:rsidRPr="00E41BEF">
        <w:rPr>
          <w:i/>
        </w:rPr>
        <w:t>Mississippi Combined</w:t>
      </w:r>
      <w:r>
        <w:rPr>
          <w:i/>
        </w:rPr>
        <w:br/>
      </w:r>
      <w:r>
        <w:t xml:space="preserve">TCI+ training has been provided to all staff, as well as sample policy ideas and forms to support LMI usage.  </w:t>
      </w:r>
    </w:p>
    <w:p w14:paraId="1AC306FB" w14:textId="77777777" w:rsidR="00581F18" w:rsidRPr="003634DA" w:rsidRDefault="00581F18" w:rsidP="00C575C8">
      <w:pPr>
        <w:pStyle w:val="ListParagraph"/>
        <w:numPr>
          <w:ilvl w:val="0"/>
          <w:numId w:val="69"/>
        </w:numPr>
        <w:rPr>
          <w:i/>
        </w:rPr>
      </w:pPr>
      <w:r w:rsidRPr="00E41BEF">
        <w:rPr>
          <w:i/>
        </w:rPr>
        <w:t>Michigan Blind</w:t>
      </w:r>
      <w:r>
        <w:rPr>
          <w:i/>
        </w:rPr>
        <w:br/>
      </w:r>
      <w:r>
        <w:t xml:space="preserve">All staff were trained by WINTAC on using TCI+ and Michigan Blind has developed a policy requiring LMI usage when developing an IPE, but no forms are currently required.  </w:t>
      </w:r>
    </w:p>
    <w:p w14:paraId="46EF973C" w14:textId="77777777" w:rsidR="00581F18" w:rsidRDefault="00581F18" w:rsidP="00C575C8">
      <w:pPr>
        <w:pStyle w:val="ListParagraph"/>
        <w:numPr>
          <w:ilvl w:val="0"/>
          <w:numId w:val="73"/>
        </w:numPr>
      </w:pPr>
      <w:r>
        <w:t>Colorado Combined</w:t>
      </w:r>
    </w:p>
    <w:p w14:paraId="7089C0A5" w14:textId="77777777" w:rsidR="00581F18" w:rsidRDefault="00581F18" w:rsidP="00581F18">
      <w:pPr>
        <w:ind w:firstLine="360"/>
      </w:pPr>
      <w:r>
        <w:t>During the Comprehensive Assessment/IPE development phase staff are required to use a form to document their rationale for supporting an employment goal based on LMI. On thisform, staff are required to Identify and describe the agreed-upon employment goal (e.g, typical salary, entry level requirements, results of labor market analysis, brief description of job duties, typical schedule and work environment, available benefits).</w:t>
      </w:r>
      <w:r>
        <w:tab/>
      </w:r>
    </w:p>
    <w:p w14:paraId="6FB070B3" w14:textId="77777777" w:rsidR="00581F18" w:rsidRPr="0001392B" w:rsidRDefault="00581F18" w:rsidP="00581F18">
      <w:pPr>
        <w:ind w:firstLine="360"/>
      </w:pPr>
      <w:r w:rsidRPr="007E2B25">
        <w:rPr>
          <w:b/>
          <w:bCs/>
          <w:i/>
          <w:iCs/>
          <w:u w:val="single"/>
        </w:rPr>
        <w:t>Evaluation Recommendations.</w:t>
      </w:r>
      <w:r>
        <w:t xml:space="preserve">  As with all areas, an increase in ways of tracking data should be established by agencies.  The TA Team for TCI+/LMI is focused on supporting states to develop forms documenting LMI usage in IPE and IEP development.  Where possible, agency CMS should also have a flag or code assigned so they can most easily track, monitor, and improve their approach to its integration.  Future evaluation reports can then summarize and analyze the pattern of usage in more concrete ways and correlate it to client outcomes such as: </w:t>
      </w:r>
    </w:p>
    <w:p w14:paraId="5EE07F7B" w14:textId="77777777" w:rsidR="00581F18" w:rsidRDefault="00581F18" w:rsidP="00C575C8">
      <w:pPr>
        <w:pStyle w:val="ListParagraph"/>
        <w:numPr>
          <w:ilvl w:val="0"/>
          <w:numId w:val="72"/>
        </w:numPr>
        <w:spacing w:after="0" w:line="240" w:lineRule="auto"/>
        <w:rPr>
          <w:rFonts w:ascii="Calibri" w:eastAsia="Times New Roman" w:hAnsi="Calibri" w:cs="Calibri"/>
          <w:color w:val="000000"/>
        </w:rPr>
      </w:pPr>
      <w:r>
        <w:rPr>
          <w:rFonts w:ascii="Calibri" w:eastAsia="Times New Roman" w:hAnsi="Calibri" w:cs="Calibri"/>
          <w:color w:val="000000"/>
        </w:rPr>
        <w:t>Increases in client perception of informed choice</w:t>
      </w:r>
    </w:p>
    <w:p w14:paraId="658786A5" w14:textId="77777777" w:rsidR="00581F18" w:rsidRDefault="00581F18" w:rsidP="00C575C8">
      <w:pPr>
        <w:pStyle w:val="ListParagraph"/>
        <w:numPr>
          <w:ilvl w:val="0"/>
          <w:numId w:val="72"/>
        </w:numPr>
        <w:spacing w:after="0" w:line="240" w:lineRule="auto"/>
        <w:rPr>
          <w:rFonts w:ascii="Calibri" w:eastAsia="Times New Roman" w:hAnsi="Calibri" w:cs="Calibri"/>
          <w:color w:val="000000"/>
        </w:rPr>
      </w:pPr>
      <w:r>
        <w:rPr>
          <w:rFonts w:ascii="Calibri" w:eastAsia="Times New Roman" w:hAnsi="Calibri" w:cs="Calibri"/>
          <w:color w:val="000000"/>
        </w:rPr>
        <w:t>Increases in perceived job match</w:t>
      </w:r>
    </w:p>
    <w:p w14:paraId="1B45568A" w14:textId="77777777" w:rsidR="00581F18" w:rsidRDefault="00581F18" w:rsidP="00C575C8">
      <w:pPr>
        <w:pStyle w:val="ListParagraph"/>
        <w:numPr>
          <w:ilvl w:val="0"/>
          <w:numId w:val="72"/>
        </w:numPr>
        <w:spacing w:after="0" w:line="240" w:lineRule="auto"/>
        <w:rPr>
          <w:rFonts w:ascii="Calibri" w:eastAsia="Times New Roman" w:hAnsi="Calibri" w:cs="Calibri"/>
          <w:color w:val="000000"/>
        </w:rPr>
      </w:pPr>
      <w:r w:rsidRPr="00050BA7">
        <w:rPr>
          <w:rFonts w:ascii="Calibri" w:eastAsia="Times New Roman" w:hAnsi="Calibri" w:cs="Calibri"/>
          <w:color w:val="000000"/>
        </w:rPr>
        <w:t>Increase</w:t>
      </w:r>
      <w:r>
        <w:rPr>
          <w:rFonts w:ascii="Calibri" w:eastAsia="Times New Roman" w:hAnsi="Calibri" w:cs="Calibri"/>
          <w:color w:val="000000"/>
        </w:rPr>
        <w:t>s</w:t>
      </w:r>
      <w:r w:rsidRPr="00050BA7">
        <w:rPr>
          <w:rFonts w:ascii="Calibri" w:eastAsia="Times New Roman" w:hAnsi="Calibri" w:cs="Calibri"/>
          <w:color w:val="000000"/>
        </w:rPr>
        <w:t xml:space="preserve"> in diversity of employment goals at IPE approval</w:t>
      </w:r>
    </w:p>
    <w:p w14:paraId="4E15A381" w14:textId="77777777" w:rsidR="00581F18" w:rsidRDefault="00581F18" w:rsidP="00C575C8">
      <w:pPr>
        <w:pStyle w:val="ListParagraph"/>
        <w:numPr>
          <w:ilvl w:val="0"/>
          <w:numId w:val="72"/>
        </w:numPr>
        <w:spacing w:after="0" w:line="240" w:lineRule="auto"/>
        <w:rPr>
          <w:rFonts w:ascii="Calibri" w:eastAsia="Times New Roman" w:hAnsi="Calibri" w:cs="Calibri"/>
          <w:color w:val="000000"/>
        </w:rPr>
      </w:pPr>
      <w:r w:rsidRPr="00050BA7">
        <w:rPr>
          <w:rFonts w:ascii="Calibri" w:eastAsia="Times New Roman" w:hAnsi="Calibri" w:cs="Calibri"/>
          <w:color w:val="000000"/>
        </w:rPr>
        <w:lastRenderedPageBreak/>
        <w:t>Increase</w:t>
      </w:r>
      <w:r>
        <w:rPr>
          <w:rFonts w:ascii="Calibri" w:eastAsia="Times New Roman" w:hAnsi="Calibri" w:cs="Calibri"/>
          <w:color w:val="000000"/>
        </w:rPr>
        <w:t>s</w:t>
      </w:r>
      <w:r w:rsidRPr="00050BA7">
        <w:rPr>
          <w:rFonts w:ascii="Calibri" w:eastAsia="Times New Roman" w:hAnsi="Calibri" w:cs="Calibri"/>
          <w:color w:val="000000"/>
        </w:rPr>
        <w:t xml:space="preserve"> in training programs utilized</w:t>
      </w:r>
    </w:p>
    <w:p w14:paraId="2F2E6E9F" w14:textId="77777777" w:rsidR="00581F18" w:rsidRDefault="00581F18" w:rsidP="00C575C8">
      <w:pPr>
        <w:pStyle w:val="ListParagraph"/>
        <w:numPr>
          <w:ilvl w:val="0"/>
          <w:numId w:val="72"/>
        </w:numPr>
        <w:spacing w:after="0" w:line="240" w:lineRule="auto"/>
        <w:rPr>
          <w:rFonts w:ascii="Calibri" w:eastAsia="Times New Roman" w:hAnsi="Calibri" w:cs="Calibri"/>
          <w:color w:val="000000"/>
        </w:rPr>
      </w:pPr>
      <w:r w:rsidRPr="00050BA7">
        <w:rPr>
          <w:rFonts w:ascii="Calibri" w:eastAsia="Times New Roman" w:hAnsi="Calibri" w:cs="Calibri"/>
          <w:color w:val="000000"/>
        </w:rPr>
        <w:t>Increase</w:t>
      </w:r>
      <w:r>
        <w:rPr>
          <w:rFonts w:ascii="Calibri" w:eastAsia="Times New Roman" w:hAnsi="Calibri" w:cs="Calibri"/>
          <w:color w:val="000000"/>
        </w:rPr>
        <w:t>s</w:t>
      </w:r>
      <w:r w:rsidRPr="00050BA7">
        <w:rPr>
          <w:rFonts w:ascii="Calibri" w:eastAsia="Times New Roman" w:hAnsi="Calibri" w:cs="Calibri"/>
          <w:color w:val="000000"/>
        </w:rPr>
        <w:t xml:space="preserve"> in the diversity of training programs utilized</w:t>
      </w:r>
    </w:p>
    <w:p w14:paraId="23568CAD" w14:textId="77777777" w:rsidR="00581F18" w:rsidRPr="003634DA" w:rsidRDefault="00581F18" w:rsidP="00C575C8">
      <w:pPr>
        <w:pStyle w:val="ListParagraph"/>
        <w:numPr>
          <w:ilvl w:val="0"/>
          <w:numId w:val="72"/>
        </w:numPr>
        <w:spacing w:after="0" w:line="240" w:lineRule="auto"/>
        <w:rPr>
          <w:rFonts w:ascii="Calibri" w:eastAsia="Times New Roman" w:hAnsi="Calibri" w:cs="Calibri"/>
          <w:color w:val="000000"/>
        </w:rPr>
      </w:pPr>
      <w:r w:rsidRPr="00050BA7">
        <w:rPr>
          <w:rFonts w:ascii="Calibri" w:eastAsia="Times New Roman" w:hAnsi="Calibri" w:cs="Calibri"/>
          <w:color w:val="000000"/>
        </w:rPr>
        <w:t>Decrease</w:t>
      </w:r>
      <w:r>
        <w:rPr>
          <w:rFonts w:ascii="Calibri" w:eastAsia="Times New Roman" w:hAnsi="Calibri" w:cs="Calibri"/>
          <w:color w:val="000000"/>
        </w:rPr>
        <w:t>s</w:t>
      </w:r>
      <w:r w:rsidRPr="00050BA7">
        <w:rPr>
          <w:rFonts w:ascii="Calibri" w:eastAsia="Times New Roman" w:hAnsi="Calibri" w:cs="Calibri"/>
          <w:color w:val="000000"/>
        </w:rPr>
        <w:t xml:space="preserve"> in the amount of time between eligibility and IPE approval</w:t>
      </w:r>
    </w:p>
    <w:p w14:paraId="4A5F8431" w14:textId="77777777" w:rsidR="00581F18" w:rsidRPr="003634DA" w:rsidRDefault="00581F18" w:rsidP="00581F18">
      <w:pPr>
        <w:spacing w:before="240" w:after="0" w:line="240" w:lineRule="auto"/>
        <w:rPr>
          <w:rFonts w:ascii="Calibri" w:eastAsia="Times New Roman" w:hAnsi="Calibri" w:cs="Calibri"/>
          <w:color w:val="000000"/>
        </w:rPr>
      </w:pPr>
      <w:r>
        <w:rPr>
          <w:rFonts w:ascii="Calibri" w:eastAsia="Times New Roman" w:hAnsi="Calibri" w:cs="Calibri"/>
          <w:color w:val="000000"/>
        </w:rPr>
        <w:t>Over time, as these are l</w:t>
      </w:r>
      <w:r w:rsidRPr="00241C33">
        <w:rPr>
          <w:rFonts w:ascii="Calibri" w:eastAsia="Times New Roman" w:hAnsi="Calibri" w:cs="Calibri"/>
          <w:color w:val="000000"/>
        </w:rPr>
        <w:t>ong</w:t>
      </w:r>
      <w:r>
        <w:rPr>
          <w:rFonts w:ascii="Calibri" w:eastAsia="Times New Roman" w:hAnsi="Calibri" w:cs="Calibri"/>
          <w:color w:val="000000"/>
        </w:rPr>
        <w:t>er</w:t>
      </w:r>
      <w:r w:rsidRPr="00241C33">
        <w:rPr>
          <w:rFonts w:ascii="Calibri" w:eastAsia="Times New Roman" w:hAnsi="Calibri" w:cs="Calibri"/>
          <w:color w:val="000000"/>
        </w:rPr>
        <w:t>-</w:t>
      </w:r>
      <w:r>
        <w:rPr>
          <w:rFonts w:ascii="Calibri" w:eastAsia="Times New Roman" w:hAnsi="Calibri" w:cs="Calibri"/>
          <w:color w:val="000000"/>
        </w:rPr>
        <w:t>t</w:t>
      </w:r>
      <w:r w:rsidRPr="00241C33">
        <w:rPr>
          <w:rFonts w:ascii="Calibri" w:eastAsia="Times New Roman" w:hAnsi="Calibri" w:cs="Calibri"/>
          <w:color w:val="000000"/>
        </w:rPr>
        <w:t xml:space="preserve">erm </w:t>
      </w:r>
      <w:r>
        <w:rPr>
          <w:rFonts w:ascii="Calibri" w:eastAsia="Times New Roman" w:hAnsi="Calibri" w:cs="Calibri"/>
          <w:color w:val="000000"/>
        </w:rPr>
        <w:t>c</w:t>
      </w:r>
      <w:r w:rsidRPr="00241C33">
        <w:rPr>
          <w:rFonts w:ascii="Calibri" w:eastAsia="Times New Roman" w:hAnsi="Calibri" w:cs="Calibri"/>
          <w:color w:val="000000"/>
        </w:rPr>
        <w:t xml:space="preserve">lient </w:t>
      </w:r>
      <w:r>
        <w:rPr>
          <w:rFonts w:ascii="Calibri" w:eastAsia="Times New Roman" w:hAnsi="Calibri" w:cs="Calibri"/>
          <w:color w:val="000000"/>
        </w:rPr>
        <w:t>o</w:t>
      </w:r>
      <w:r w:rsidRPr="00241C33">
        <w:rPr>
          <w:rFonts w:ascii="Calibri" w:eastAsia="Times New Roman" w:hAnsi="Calibri" w:cs="Calibri"/>
          <w:color w:val="000000"/>
        </w:rPr>
        <w:t>utcomes</w:t>
      </w:r>
      <w:r>
        <w:rPr>
          <w:rFonts w:ascii="Calibri" w:eastAsia="Times New Roman" w:hAnsi="Calibri" w:cs="Calibri"/>
          <w:color w:val="000000"/>
        </w:rPr>
        <w:t>, one could also examine the</w:t>
      </w:r>
      <w:r w:rsidRPr="00241C33">
        <w:rPr>
          <w:rFonts w:ascii="Calibri" w:eastAsia="Times New Roman" w:hAnsi="Calibri" w:cs="Calibri"/>
          <w:color w:val="000000"/>
        </w:rPr>
        <w:t>:</w:t>
      </w:r>
    </w:p>
    <w:p w14:paraId="4D5F203F" w14:textId="77777777" w:rsidR="00581F18" w:rsidRDefault="00581F18" w:rsidP="00C575C8">
      <w:pPr>
        <w:pStyle w:val="ListParagraph"/>
        <w:numPr>
          <w:ilvl w:val="0"/>
          <w:numId w:val="72"/>
        </w:numPr>
        <w:spacing w:after="0" w:line="240" w:lineRule="auto"/>
        <w:rPr>
          <w:rFonts w:ascii="Calibri" w:eastAsia="Times New Roman" w:hAnsi="Calibri" w:cs="Calibri"/>
          <w:color w:val="000000"/>
        </w:rPr>
      </w:pPr>
      <w:r w:rsidRPr="00050BA7">
        <w:rPr>
          <w:rFonts w:ascii="Calibri" w:eastAsia="Times New Roman" w:hAnsi="Calibri" w:cs="Calibri"/>
          <w:color w:val="000000"/>
        </w:rPr>
        <w:t>Decrease in the amount of time between IPE approval and job placement</w:t>
      </w:r>
    </w:p>
    <w:p w14:paraId="5564DF8F" w14:textId="77777777" w:rsidR="00581F18" w:rsidRDefault="00581F18" w:rsidP="00C575C8">
      <w:pPr>
        <w:pStyle w:val="ListParagraph"/>
        <w:numPr>
          <w:ilvl w:val="0"/>
          <w:numId w:val="72"/>
        </w:numPr>
        <w:spacing w:after="0" w:line="240" w:lineRule="auto"/>
        <w:rPr>
          <w:rFonts w:ascii="Calibri" w:eastAsia="Times New Roman" w:hAnsi="Calibri" w:cs="Calibri"/>
          <w:color w:val="000000"/>
        </w:rPr>
      </w:pPr>
      <w:r w:rsidRPr="00050BA7">
        <w:rPr>
          <w:rFonts w:ascii="Calibri" w:eastAsia="Times New Roman" w:hAnsi="Calibri" w:cs="Calibri"/>
          <w:color w:val="000000"/>
        </w:rPr>
        <w:t>Increase in the accuracy of employment goals between IPE approval and job placement</w:t>
      </w:r>
    </w:p>
    <w:p w14:paraId="19E16684" w14:textId="77777777" w:rsidR="00581F18" w:rsidRDefault="00581F18" w:rsidP="00C575C8">
      <w:pPr>
        <w:pStyle w:val="ListParagraph"/>
        <w:numPr>
          <w:ilvl w:val="0"/>
          <w:numId w:val="72"/>
        </w:numPr>
        <w:spacing w:after="0" w:line="240" w:lineRule="auto"/>
        <w:rPr>
          <w:rFonts w:ascii="Calibri" w:eastAsia="Times New Roman" w:hAnsi="Calibri" w:cs="Calibri"/>
          <w:color w:val="000000"/>
        </w:rPr>
      </w:pPr>
      <w:r w:rsidRPr="00050BA7">
        <w:rPr>
          <w:rFonts w:ascii="Calibri" w:eastAsia="Times New Roman" w:hAnsi="Calibri" w:cs="Calibri"/>
          <w:color w:val="000000"/>
        </w:rPr>
        <w:t>Increase in diversity of employment goals at closure</w:t>
      </w:r>
    </w:p>
    <w:p w14:paraId="77268933" w14:textId="77777777" w:rsidR="00581F18" w:rsidRDefault="00581F18" w:rsidP="00C575C8">
      <w:pPr>
        <w:pStyle w:val="ListParagraph"/>
        <w:numPr>
          <w:ilvl w:val="0"/>
          <w:numId w:val="72"/>
        </w:numPr>
        <w:spacing w:after="0" w:line="240" w:lineRule="auto"/>
        <w:rPr>
          <w:rFonts w:ascii="Calibri" w:eastAsia="Times New Roman" w:hAnsi="Calibri" w:cs="Calibri"/>
          <w:color w:val="000000"/>
        </w:rPr>
      </w:pPr>
      <w:r w:rsidRPr="00050BA7">
        <w:rPr>
          <w:rFonts w:ascii="Calibri" w:eastAsia="Times New Roman" w:hAnsi="Calibri" w:cs="Calibri"/>
          <w:color w:val="000000"/>
        </w:rPr>
        <w:t>Increase in rehabilitation rate</w:t>
      </w:r>
    </w:p>
    <w:p w14:paraId="1C6A7306" w14:textId="77777777" w:rsidR="00581F18" w:rsidRDefault="00581F18" w:rsidP="00C575C8">
      <w:pPr>
        <w:pStyle w:val="ListParagraph"/>
        <w:numPr>
          <w:ilvl w:val="0"/>
          <w:numId w:val="72"/>
        </w:numPr>
        <w:spacing w:after="0" w:line="240" w:lineRule="auto"/>
        <w:rPr>
          <w:rFonts w:ascii="Calibri" w:eastAsia="Times New Roman" w:hAnsi="Calibri" w:cs="Calibri"/>
          <w:color w:val="000000"/>
        </w:rPr>
      </w:pPr>
      <w:r w:rsidRPr="00050BA7">
        <w:rPr>
          <w:rFonts w:ascii="Calibri" w:eastAsia="Times New Roman" w:hAnsi="Calibri" w:cs="Calibri"/>
          <w:color w:val="000000"/>
        </w:rPr>
        <w:t>Increase in wages</w:t>
      </w:r>
    </w:p>
    <w:p w14:paraId="3ACB6CA5" w14:textId="77777777" w:rsidR="00581F18" w:rsidRPr="003634DA" w:rsidRDefault="00581F18" w:rsidP="00C575C8">
      <w:pPr>
        <w:pStyle w:val="ListParagraph"/>
        <w:numPr>
          <w:ilvl w:val="0"/>
          <w:numId w:val="72"/>
        </w:numPr>
        <w:spacing w:after="0" w:line="240" w:lineRule="auto"/>
        <w:rPr>
          <w:rFonts w:ascii="Calibri" w:eastAsia="Times New Roman" w:hAnsi="Calibri" w:cs="Calibri"/>
          <w:color w:val="000000"/>
        </w:rPr>
      </w:pPr>
      <w:r w:rsidRPr="00050BA7">
        <w:rPr>
          <w:rFonts w:ascii="Calibri" w:eastAsia="Times New Roman" w:hAnsi="Calibri" w:cs="Calibri"/>
          <w:color w:val="000000"/>
        </w:rPr>
        <w:t>Increase in hours worked</w:t>
      </w:r>
    </w:p>
    <w:p w14:paraId="2913CA03" w14:textId="77777777" w:rsidR="00581F18" w:rsidRPr="00B10EA1" w:rsidRDefault="00581F18" w:rsidP="00581F18">
      <w:pPr>
        <w:spacing w:before="240" w:after="0"/>
        <w:rPr>
          <w:rFonts w:ascii="Calibri" w:eastAsia="Times New Roman" w:hAnsi="Calibri" w:cs="Calibri"/>
          <w:color w:val="000000"/>
        </w:rPr>
      </w:pPr>
      <w:r w:rsidRPr="00B10EA1">
        <w:rPr>
          <w:rFonts w:ascii="Calibri" w:eastAsia="Times New Roman" w:hAnsi="Calibri" w:cs="Calibri"/>
          <w:color w:val="000000"/>
        </w:rPr>
        <w:t>Given that TCI+ is being utilized heavily in ITAA/Pilot and non-ITAA/Pilot states in a similar way, possible “cohort comparisons” can also be conducted, by grouping states to:</w:t>
      </w:r>
    </w:p>
    <w:p w14:paraId="7739A748" w14:textId="77777777" w:rsidR="00581F18" w:rsidRDefault="00581F18" w:rsidP="00C575C8">
      <w:pPr>
        <w:pStyle w:val="ListParagraph"/>
        <w:numPr>
          <w:ilvl w:val="0"/>
          <w:numId w:val="74"/>
        </w:numPr>
        <w:spacing w:after="0" w:line="240" w:lineRule="auto"/>
        <w:rPr>
          <w:rFonts w:ascii="Calibri" w:eastAsia="Times New Roman" w:hAnsi="Calibri" w:cs="Calibri"/>
          <w:color w:val="000000"/>
        </w:rPr>
      </w:pPr>
      <w:r>
        <w:rPr>
          <w:rFonts w:ascii="Calibri" w:eastAsia="Times New Roman" w:hAnsi="Calibri" w:cs="Calibri"/>
          <w:color w:val="000000"/>
        </w:rPr>
        <w:t xml:space="preserve">Compare outcome data for state programs that have higher usages of TCI+ against state programs with lower usage </w:t>
      </w:r>
    </w:p>
    <w:p w14:paraId="79D37F52" w14:textId="77777777" w:rsidR="00581F18" w:rsidRDefault="00581F18" w:rsidP="00C575C8">
      <w:pPr>
        <w:pStyle w:val="ListParagraph"/>
        <w:numPr>
          <w:ilvl w:val="0"/>
          <w:numId w:val="74"/>
        </w:numPr>
        <w:spacing w:after="0" w:line="240" w:lineRule="auto"/>
        <w:rPr>
          <w:rFonts w:ascii="Calibri" w:eastAsia="Times New Roman" w:hAnsi="Calibri" w:cs="Calibri"/>
          <w:color w:val="000000"/>
        </w:rPr>
      </w:pPr>
      <w:r>
        <w:rPr>
          <w:rFonts w:ascii="Calibri" w:eastAsia="Times New Roman" w:hAnsi="Calibri" w:cs="Calibri"/>
          <w:color w:val="000000"/>
        </w:rPr>
        <w:t>Compare outcome data for ITAA state programs before and after implementation of ITAA measures</w:t>
      </w:r>
    </w:p>
    <w:p w14:paraId="41C86AE5" w14:textId="77777777" w:rsidR="00581F18" w:rsidRPr="003634DA" w:rsidRDefault="00581F18" w:rsidP="00C575C8">
      <w:pPr>
        <w:pStyle w:val="ListParagraph"/>
        <w:numPr>
          <w:ilvl w:val="0"/>
          <w:numId w:val="74"/>
        </w:numPr>
        <w:spacing w:after="0" w:line="240" w:lineRule="auto"/>
        <w:rPr>
          <w:rFonts w:ascii="Calibri" w:eastAsia="Times New Roman" w:hAnsi="Calibri" w:cs="Calibri"/>
          <w:color w:val="000000"/>
        </w:rPr>
      </w:pPr>
      <w:r>
        <w:rPr>
          <w:rFonts w:ascii="Calibri" w:eastAsia="Times New Roman" w:hAnsi="Calibri" w:cs="Calibri"/>
          <w:color w:val="000000"/>
        </w:rPr>
        <w:t>Compare outcome data for VRCs and Clients with high and low patterns of TCI+ usage within a state</w:t>
      </w:r>
    </w:p>
    <w:p w14:paraId="40B9A1A4" w14:textId="77777777" w:rsidR="00581F18" w:rsidRPr="003634DA" w:rsidRDefault="00581F18" w:rsidP="00581F18">
      <w:pPr>
        <w:spacing w:before="240" w:after="0" w:line="240" w:lineRule="auto"/>
        <w:rPr>
          <w:rFonts w:ascii="Calibri" w:eastAsia="Times New Roman" w:hAnsi="Calibri" w:cs="Calibri"/>
          <w:color w:val="000000"/>
        </w:rPr>
      </w:pPr>
      <w:r>
        <w:rPr>
          <w:rFonts w:ascii="Calibri" w:eastAsia="Times New Roman" w:hAnsi="Calibri" w:cs="Calibri"/>
          <w:color w:val="000000"/>
        </w:rPr>
        <w:t>With enough users in a given state, one can do similar “grouped” analyses for clients and/or VRCs who are engaged in “heavier” versus “lighter” usage of TCI+ as well.  The goal is ultimately to look at the data in multiple ways and see if the same pattern evinces itself: that using LMI tools improves the numbers and diversity of client outcomes.  Over time one can also examine whether it increases the stability or retention of those successes and/or sets a client on a successful career pathway aligned to growth industries in their region.</w:t>
      </w:r>
    </w:p>
    <w:p w14:paraId="0C2437FE" w14:textId="1A1BB4D9" w:rsidR="00581F18" w:rsidRDefault="00581F18" w:rsidP="00581F18">
      <w:pPr>
        <w:ind w:firstLine="0"/>
      </w:pPr>
    </w:p>
    <w:p w14:paraId="02835418" w14:textId="77777777" w:rsidR="00D43BC9" w:rsidRDefault="00D43BC9" w:rsidP="00581F18">
      <w:pPr>
        <w:ind w:firstLine="0"/>
        <w:sectPr w:rsidR="00D43BC9" w:rsidSect="00623C47">
          <w:type w:val="continuous"/>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docGrid w:linePitch="360"/>
        </w:sectPr>
      </w:pPr>
    </w:p>
    <w:p w14:paraId="6AE7BCD5" w14:textId="09DC502D" w:rsidR="00D43BC9" w:rsidRPr="00C41B34" w:rsidRDefault="00D43BC9" w:rsidP="00D43BC9">
      <w:pPr>
        <w:pStyle w:val="Heading1"/>
        <w:pBdr>
          <w:bottom w:val="single" w:sz="18" w:space="1" w:color="auto"/>
        </w:pBdr>
        <w:shd w:val="clear" w:color="auto" w:fill="auto"/>
        <w:ind w:left="360"/>
        <w:rPr>
          <w:caps/>
          <w:szCs w:val="52"/>
        </w:rPr>
      </w:pPr>
      <w:bookmarkStart w:id="166" w:name="_Toc41940276"/>
      <w:r>
        <w:rPr>
          <w:szCs w:val="52"/>
        </w:rPr>
        <w:lastRenderedPageBreak/>
        <w:t xml:space="preserve">I. </w:t>
      </w:r>
      <w:r w:rsidRPr="00C41B34">
        <w:rPr>
          <w:szCs w:val="52"/>
        </w:rPr>
        <w:t>PEER MENTORING</w:t>
      </w:r>
      <w:bookmarkEnd w:id="166"/>
    </w:p>
    <w:p w14:paraId="5744266C" w14:textId="77777777" w:rsidR="00D43BC9" w:rsidRDefault="00D43BC9" w:rsidP="006B4C51">
      <w:pPr>
        <w:ind w:firstLine="0"/>
      </w:pPr>
      <w:r>
        <w:rPr>
          <w:noProof/>
          <w:lang w:eastAsia="ko-KR"/>
        </w:rPr>
        <w:drawing>
          <wp:inline distT="0" distB="0" distL="0" distR="0" wp14:anchorId="353491C9" wp14:editId="3CC9A21D">
            <wp:extent cx="5932805" cy="4308475"/>
            <wp:effectExtent l="0" t="0" r="0" b="0"/>
            <wp:docPr id="394" name="Picture 3" descr="Map of Peer Mentoring  ITAAs covering the states and territories of: AK, FL,ME, MO,MS V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Users/deborahlgreene/Documents/Work/SU-WINTAC/RSA Reports/Y4/Y4 year end/chapters/PM/Peer Mentoring ITA Map Y4.png"/>
                    <pic:cNvPicPr>
                      <a:picLocks/>
                    </pic:cNvPicPr>
                  </pic:nvPicPr>
                  <pic:blipFill>
                    <a:blip r:embed="rId417" cstate="print">
                      <a:extLst>
                        <a:ext uri="{28A0092B-C50C-407E-A947-70E740481C1C}">
                          <a14:useLocalDpi xmlns:a14="http://schemas.microsoft.com/office/drawing/2010/main"/>
                        </a:ext>
                      </a:extLst>
                    </a:blip>
                    <a:srcRect/>
                    <a:stretch>
                      <a:fillRect/>
                    </a:stretch>
                  </pic:blipFill>
                  <pic:spPr bwMode="auto">
                    <a:xfrm>
                      <a:off x="0" y="0"/>
                      <a:ext cx="5932805" cy="4308475"/>
                    </a:xfrm>
                    <a:prstGeom prst="rect">
                      <a:avLst/>
                    </a:prstGeom>
                    <a:noFill/>
                    <a:ln>
                      <a:noFill/>
                    </a:ln>
                  </pic:spPr>
                </pic:pic>
              </a:graphicData>
            </a:graphic>
          </wp:inline>
        </w:drawing>
      </w:r>
    </w:p>
    <w:p w14:paraId="6C82DE90" w14:textId="77777777" w:rsidR="00D43BC9" w:rsidRDefault="00D43BC9" w:rsidP="00D43BC9">
      <w:pPr>
        <w:jc w:val="center"/>
        <w:rPr>
          <w:noProof/>
        </w:rPr>
      </w:pPr>
    </w:p>
    <w:p w14:paraId="73A138A4" w14:textId="77777777" w:rsidR="00D43BC9" w:rsidRDefault="00D43BC9" w:rsidP="00D43BC9"/>
    <w:p w14:paraId="0B06CF03" w14:textId="77777777" w:rsidR="00D43BC9" w:rsidRDefault="00D43BC9" w:rsidP="00D43BC9">
      <w:pPr>
        <w:sectPr w:rsidR="00D43BC9" w:rsidSect="00EC24EB">
          <w:footerReference w:type="default" r:id="rId418"/>
          <w:pgSz w:w="12240" w:h="15840" w:code="1"/>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cols w:space="720"/>
          <w:vAlign w:val="center"/>
          <w:docGrid w:linePitch="360"/>
        </w:sectPr>
      </w:pPr>
    </w:p>
    <w:p w14:paraId="1F405B11" w14:textId="77777777" w:rsidR="00D43BC9" w:rsidRPr="00206792" w:rsidRDefault="00D43BC9" w:rsidP="00D43BC9">
      <w:pPr>
        <w:pStyle w:val="Heading2"/>
        <w:shd w:val="clear" w:color="auto" w:fill="8EAADB" w:themeFill="accent1" w:themeFillTint="99"/>
      </w:pPr>
      <w:bookmarkStart w:id="167" w:name="_Toc41940277"/>
      <w:r>
        <w:lastRenderedPageBreak/>
        <w:t>Peer Mentoring</w:t>
      </w:r>
      <w:r w:rsidRPr="00987BC7">
        <w:t xml:space="preserve"> – </w:t>
      </w:r>
      <w:r>
        <w:t xml:space="preserve">ITA </w:t>
      </w:r>
      <w:r w:rsidRPr="00987BC7">
        <w:t>Logic Model</w:t>
      </w:r>
      <w:bookmarkEnd w:id="167"/>
    </w:p>
    <w:tbl>
      <w:tblPr>
        <w:tblW w:w="5000" w:type="pct"/>
        <w:tblLook w:val="04A0" w:firstRow="1" w:lastRow="0" w:firstColumn="1" w:lastColumn="0" w:noHBand="0" w:noVBand="1"/>
      </w:tblPr>
      <w:tblGrid>
        <w:gridCol w:w="4765"/>
        <w:gridCol w:w="4585"/>
      </w:tblGrid>
      <w:tr w:rsidR="00D43BC9" w:rsidRPr="00206792" w14:paraId="18E1877E" w14:textId="77777777" w:rsidTr="00623C47">
        <w:trPr>
          <w:trHeight w:val="20"/>
          <w:tblHeader/>
        </w:trPr>
        <w:tc>
          <w:tcPr>
            <w:tcW w:w="2548" w:type="pc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2F25EC4" w14:textId="77777777" w:rsidR="00D43BC9" w:rsidRPr="00DC1B9D" w:rsidRDefault="00D43BC9" w:rsidP="00DC1B9D">
            <w:pPr>
              <w:spacing w:after="0"/>
              <w:ind w:hanging="30"/>
              <w:jc w:val="center"/>
              <w:rPr>
                <w:b/>
                <w:bCs/>
                <w:sz w:val="24"/>
                <w:szCs w:val="24"/>
              </w:rPr>
            </w:pPr>
            <w:r w:rsidRPr="00DC1B9D">
              <w:rPr>
                <w:b/>
                <w:bCs/>
                <w:sz w:val="24"/>
                <w:szCs w:val="24"/>
              </w:rPr>
              <w:t>Activity</w:t>
            </w:r>
          </w:p>
        </w:tc>
        <w:tc>
          <w:tcPr>
            <w:tcW w:w="2452"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272A3289" w14:textId="77777777" w:rsidR="00D43BC9" w:rsidRPr="00DC1B9D" w:rsidRDefault="00D43BC9" w:rsidP="00DC1B9D">
            <w:pPr>
              <w:spacing w:after="0"/>
              <w:ind w:firstLine="0"/>
              <w:jc w:val="center"/>
              <w:rPr>
                <w:b/>
                <w:bCs/>
                <w:sz w:val="24"/>
                <w:szCs w:val="24"/>
              </w:rPr>
            </w:pPr>
            <w:r w:rsidRPr="00DC1B9D">
              <w:rPr>
                <w:b/>
                <w:bCs/>
                <w:sz w:val="24"/>
                <w:szCs w:val="24"/>
              </w:rPr>
              <w:t>Output</w:t>
            </w:r>
          </w:p>
        </w:tc>
      </w:tr>
      <w:tr w:rsidR="00D43BC9" w:rsidRPr="00206792" w14:paraId="724696ED" w14:textId="77777777" w:rsidTr="00623C47">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1F17AF76" w14:textId="77777777" w:rsidR="00D43BC9" w:rsidRPr="00206792" w:rsidRDefault="00D43BC9" w:rsidP="00C575C8">
            <w:pPr>
              <w:pStyle w:val="ListParagraph"/>
              <w:numPr>
                <w:ilvl w:val="0"/>
                <w:numId w:val="82"/>
              </w:numPr>
              <w:spacing w:after="0" w:line="240" w:lineRule="auto"/>
            </w:pPr>
            <w:bookmarkStart w:id="168" w:name="_Hlk17795586"/>
            <w:r w:rsidRPr="00206792">
              <w:rPr>
                <w:rFonts w:cstheme="minorHAnsi"/>
              </w:rPr>
              <w:t>Work with SVRA to develop a plan to establish or expand a network of peer mentors to deliver services to consumers.</w:t>
            </w:r>
          </w:p>
        </w:tc>
        <w:tc>
          <w:tcPr>
            <w:tcW w:w="2452" w:type="pct"/>
            <w:tcBorders>
              <w:top w:val="nil"/>
              <w:left w:val="nil"/>
              <w:bottom w:val="single" w:sz="4" w:space="0" w:color="000000"/>
              <w:right w:val="single" w:sz="4" w:space="0" w:color="000000"/>
            </w:tcBorders>
            <w:shd w:val="clear" w:color="auto" w:fill="auto"/>
            <w:vAlign w:val="center"/>
            <w:hideMark/>
          </w:tcPr>
          <w:p w14:paraId="6AB30EAB" w14:textId="77777777" w:rsidR="00D43BC9" w:rsidRPr="00206792" w:rsidRDefault="00D43BC9" w:rsidP="00C575C8">
            <w:pPr>
              <w:pStyle w:val="ListParagraph"/>
              <w:numPr>
                <w:ilvl w:val="0"/>
                <w:numId w:val="83"/>
              </w:numPr>
              <w:spacing w:after="0" w:line="240" w:lineRule="auto"/>
            </w:pPr>
            <w:r w:rsidRPr="00206792">
              <w:rPr>
                <w:rFonts w:cstheme="minorHAnsi"/>
              </w:rPr>
              <w:t>A completed plan to establish or expand peer mentoring, outlining strategies and target dates for training and implementation</w:t>
            </w:r>
          </w:p>
        </w:tc>
      </w:tr>
      <w:tr w:rsidR="00D43BC9" w:rsidRPr="00206792" w14:paraId="305077E4" w14:textId="77777777" w:rsidTr="00623C47">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1918F604" w14:textId="77777777" w:rsidR="00D43BC9" w:rsidRPr="00206792" w:rsidRDefault="00D43BC9" w:rsidP="00C575C8">
            <w:pPr>
              <w:pStyle w:val="ListParagraph"/>
              <w:numPr>
                <w:ilvl w:val="0"/>
                <w:numId w:val="82"/>
              </w:numPr>
              <w:spacing w:after="0" w:line="240" w:lineRule="auto"/>
            </w:pPr>
            <w:r w:rsidRPr="00206792">
              <w:rPr>
                <w:rFonts w:cstheme="minorHAnsi"/>
              </w:rPr>
              <w:t>Modify the peer mentoring training curriculum to meet the unique needs of the VR program and the consumers they serve.</w:t>
            </w:r>
          </w:p>
        </w:tc>
        <w:tc>
          <w:tcPr>
            <w:tcW w:w="2452" w:type="pct"/>
            <w:tcBorders>
              <w:top w:val="nil"/>
              <w:left w:val="nil"/>
              <w:bottom w:val="single" w:sz="4" w:space="0" w:color="000000"/>
              <w:right w:val="single" w:sz="4" w:space="0" w:color="000000"/>
            </w:tcBorders>
            <w:shd w:val="clear" w:color="auto" w:fill="auto"/>
            <w:vAlign w:val="center"/>
            <w:hideMark/>
          </w:tcPr>
          <w:p w14:paraId="6DA2AAED" w14:textId="77777777" w:rsidR="00D43BC9" w:rsidRPr="00206792" w:rsidRDefault="00D43BC9" w:rsidP="00C575C8">
            <w:pPr>
              <w:pStyle w:val="ListParagraph"/>
              <w:numPr>
                <w:ilvl w:val="0"/>
                <w:numId w:val="83"/>
              </w:numPr>
              <w:spacing w:after="0" w:line="240" w:lineRule="auto"/>
              <w:ind w:left="344"/>
              <w:rPr>
                <w:rFonts w:cstheme="minorHAnsi"/>
              </w:rPr>
            </w:pPr>
            <w:r w:rsidRPr="00206792">
              <w:rPr>
                <w:rFonts w:cstheme="minorHAnsi"/>
              </w:rPr>
              <w:t>A completed peer mentoring training series that has been modified as requested</w:t>
            </w:r>
          </w:p>
          <w:p w14:paraId="14843E23" w14:textId="77777777" w:rsidR="00D43BC9" w:rsidRPr="00206792" w:rsidRDefault="00D43BC9" w:rsidP="00623C47">
            <w:pPr>
              <w:pStyle w:val="ListParagraph"/>
              <w:spacing w:after="0" w:line="240" w:lineRule="auto"/>
              <w:ind w:left="1080"/>
            </w:pPr>
          </w:p>
        </w:tc>
      </w:tr>
      <w:tr w:rsidR="00D43BC9" w:rsidRPr="00206792" w14:paraId="0E7EC83B" w14:textId="77777777" w:rsidTr="00623C47">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1A1441FE" w14:textId="77777777" w:rsidR="00D43BC9" w:rsidRPr="00206792" w:rsidRDefault="00D43BC9" w:rsidP="00C575C8">
            <w:pPr>
              <w:pStyle w:val="ListParagraph"/>
              <w:numPr>
                <w:ilvl w:val="0"/>
                <w:numId w:val="82"/>
              </w:numPr>
              <w:spacing w:after="0"/>
              <w:rPr>
                <w:rFonts w:cstheme="minorHAnsi"/>
              </w:rPr>
            </w:pPr>
            <w:r w:rsidRPr="00206792">
              <w:rPr>
                <w:rFonts w:cstheme="minorHAnsi"/>
              </w:rPr>
              <w:t>Provide training to peer mentors and coordinators that prepares them to deliver or administer peer mentoring services.</w:t>
            </w:r>
          </w:p>
          <w:p w14:paraId="163470C9" w14:textId="77777777" w:rsidR="00D43BC9" w:rsidRPr="00206792" w:rsidRDefault="00D43BC9" w:rsidP="00623C47">
            <w:pPr>
              <w:pStyle w:val="ListParagraph"/>
              <w:spacing w:after="0" w:line="240" w:lineRule="auto"/>
              <w:ind w:left="360"/>
            </w:pPr>
          </w:p>
        </w:tc>
        <w:tc>
          <w:tcPr>
            <w:tcW w:w="2452" w:type="pct"/>
            <w:tcBorders>
              <w:top w:val="nil"/>
              <w:left w:val="nil"/>
              <w:bottom w:val="single" w:sz="4" w:space="0" w:color="000000"/>
              <w:right w:val="single" w:sz="4" w:space="0" w:color="000000"/>
            </w:tcBorders>
            <w:shd w:val="clear" w:color="auto" w:fill="auto"/>
            <w:vAlign w:val="center"/>
            <w:hideMark/>
          </w:tcPr>
          <w:p w14:paraId="74D79BBE" w14:textId="77777777" w:rsidR="00D43BC9" w:rsidRPr="00206792" w:rsidRDefault="00D43BC9" w:rsidP="00C575C8">
            <w:pPr>
              <w:pStyle w:val="ListParagraph"/>
              <w:numPr>
                <w:ilvl w:val="0"/>
                <w:numId w:val="83"/>
              </w:numPr>
              <w:spacing w:after="0" w:line="240" w:lineRule="auto"/>
              <w:ind w:left="344"/>
              <w:rPr>
                <w:rFonts w:cstheme="minorHAnsi"/>
              </w:rPr>
            </w:pPr>
            <w:r w:rsidRPr="00206792">
              <w:rPr>
                <w:rFonts w:cstheme="minorHAnsi"/>
              </w:rPr>
              <w:t>The number of peer mentors and coordinators who complete the training</w:t>
            </w:r>
          </w:p>
        </w:tc>
      </w:tr>
      <w:tr w:rsidR="00D43BC9" w:rsidRPr="00206792" w14:paraId="5928DE9F" w14:textId="77777777" w:rsidTr="00623C47">
        <w:trPr>
          <w:trHeight w:val="20"/>
        </w:trPr>
        <w:tc>
          <w:tcPr>
            <w:tcW w:w="2548" w:type="pct"/>
            <w:tcBorders>
              <w:top w:val="nil"/>
              <w:left w:val="single" w:sz="4" w:space="0" w:color="000000"/>
              <w:bottom w:val="nil"/>
              <w:right w:val="single" w:sz="4" w:space="0" w:color="000000"/>
            </w:tcBorders>
            <w:shd w:val="clear" w:color="auto" w:fill="auto"/>
            <w:vAlign w:val="center"/>
            <w:hideMark/>
          </w:tcPr>
          <w:p w14:paraId="30D42AD1" w14:textId="77777777" w:rsidR="00D43BC9" w:rsidRPr="00206792" w:rsidRDefault="00D43BC9" w:rsidP="00C575C8">
            <w:pPr>
              <w:pStyle w:val="ListParagraph"/>
              <w:numPr>
                <w:ilvl w:val="0"/>
                <w:numId w:val="82"/>
              </w:numPr>
              <w:spacing w:after="0" w:line="240" w:lineRule="auto"/>
            </w:pPr>
            <w:r w:rsidRPr="00206792">
              <w:rPr>
                <w:rFonts w:cstheme="minorHAnsi"/>
              </w:rPr>
              <w:t>Assist the SVRA to develop or revise  policies or procedures for the delivery of peer mentoring as a service.</w:t>
            </w:r>
          </w:p>
        </w:tc>
        <w:tc>
          <w:tcPr>
            <w:tcW w:w="2452" w:type="pct"/>
            <w:tcBorders>
              <w:top w:val="nil"/>
              <w:left w:val="nil"/>
              <w:bottom w:val="nil"/>
              <w:right w:val="single" w:sz="4" w:space="0" w:color="000000"/>
            </w:tcBorders>
            <w:shd w:val="clear" w:color="auto" w:fill="auto"/>
            <w:vAlign w:val="center"/>
            <w:hideMark/>
          </w:tcPr>
          <w:p w14:paraId="567B7448" w14:textId="77777777" w:rsidR="00D43BC9" w:rsidRPr="00206792" w:rsidRDefault="00D43BC9" w:rsidP="00C575C8">
            <w:pPr>
              <w:pStyle w:val="ListParagraph"/>
              <w:numPr>
                <w:ilvl w:val="0"/>
                <w:numId w:val="83"/>
              </w:numPr>
              <w:spacing w:after="0" w:line="240" w:lineRule="auto"/>
              <w:ind w:left="344"/>
            </w:pPr>
            <w:r w:rsidRPr="00206792">
              <w:rPr>
                <w:rFonts w:cstheme="minorHAnsi"/>
              </w:rPr>
              <w:t>A draft of policies and  procedures for the delivery of peer mentoring services</w:t>
            </w:r>
          </w:p>
        </w:tc>
      </w:tr>
      <w:tr w:rsidR="00D43BC9" w:rsidRPr="00206792" w14:paraId="1F6BF8D2" w14:textId="77777777" w:rsidTr="00623C47">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F16C41" w14:textId="77777777" w:rsidR="00D43BC9" w:rsidRPr="00206792" w:rsidRDefault="00D43BC9" w:rsidP="00C575C8">
            <w:pPr>
              <w:pStyle w:val="ListParagraph"/>
              <w:numPr>
                <w:ilvl w:val="0"/>
                <w:numId w:val="82"/>
              </w:numPr>
              <w:spacing w:after="0" w:line="240" w:lineRule="auto"/>
            </w:pPr>
            <w:r w:rsidRPr="00206792">
              <w:rPr>
                <w:rFonts w:cstheme="minorHAnsi"/>
              </w:rPr>
              <w:t>Establish a strategy for procurement of mentoring services; assist VR agency in developing a Request for Proposals (RFP) outlining minimum requirements and expectations for the provision of peer mentoring services.</w:t>
            </w:r>
          </w:p>
        </w:tc>
        <w:tc>
          <w:tcPr>
            <w:tcW w:w="2452" w:type="pct"/>
            <w:tcBorders>
              <w:top w:val="single" w:sz="4" w:space="0" w:color="auto"/>
              <w:left w:val="nil"/>
              <w:bottom w:val="single" w:sz="4" w:space="0" w:color="auto"/>
              <w:right w:val="single" w:sz="4" w:space="0" w:color="auto"/>
            </w:tcBorders>
            <w:shd w:val="clear" w:color="auto" w:fill="auto"/>
            <w:vAlign w:val="center"/>
            <w:hideMark/>
          </w:tcPr>
          <w:p w14:paraId="3BD2C212" w14:textId="77777777" w:rsidR="00D43BC9" w:rsidRPr="00206792" w:rsidRDefault="00D43BC9" w:rsidP="00C575C8">
            <w:pPr>
              <w:pStyle w:val="ListParagraph"/>
              <w:numPr>
                <w:ilvl w:val="0"/>
                <w:numId w:val="83"/>
              </w:numPr>
              <w:spacing w:after="0" w:line="240" w:lineRule="auto"/>
              <w:ind w:left="344"/>
            </w:pPr>
            <w:r w:rsidRPr="00206792">
              <w:rPr>
                <w:rFonts w:cstheme="minorHAnsi"/>
              </w:rPr>
              <w:t>A completed procurement strategy, RFP, MOU, etc.</w:t>
            </w:r>
          </w:p>
        </w:tc>
      </w:tr>
      <w:tr w:rsidR="00D43BC9" w:rsidRPr="00206792" w14:paraId="22FE452E" w14:textId="77777777" w:rsidTr="00623C47">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tcPr>
          <w:p w14:paraId="0C354052" w14:textId="77777777" w:rsidR="00D43BC9" w:rsidRPr="00206792" w:rsidRDefault="00D43BC9" w:rsidP="00C575C8">
            <w:pPr>
              <w:pStyle w:val="ListParagraph"/>
              <w:numPr>
                <w:ilvl w:val="0"/>
                <w:numId w:val="82"/>
              </w:numPr>
            </w:pPr>
            <w:r w:rsidRPr="00206792">
              <w:t>Activity: Pre-ETS Team to work with SVRA and PM team to ensure PM model and content make it eligible as a Pre-ETS service.</w:t>
            </w:r>
          </w:p>
          <w:p w14:paraId="71F14DD2" w14:textId="77777777" w:rsidR="00D43BC9" w:rsidRPr="00206792" w:rsidRDefault="00D43BC9" w:rsidP="00623C47">
            <w:pPr>
              <w:pStyle w:val="ListParagraph"/>
              <w:spacing w:after="0" w:line="240" w:lineRule="auto"/>
              <w:ind w:left="360"/>
            </w:pP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tcPr>
          <w:p w14:paraId="51436ECB" w14:textId="77777777" w:rsidR="00D43BC9" w:rsidRPr="00206792" w:rsidRDefault="00D43BC9" w:rsidP="00C575C8">
            <w:pPr>
              <w:pStyle w:val="ListParagraph"/>
              <w:numPr>
                <w:ilvl w:val="0"/>
                <w:numId w:val="83"/>
              </w:numPr>
              <w:spacing w:after="0" w:line="240" w:lineRule="auto"/>
              <w:ind w:left="344"/>
            </w:pPr>
            <w:r w:rsidRPr="00206792">
              <w:rPr>
                <w:rFonts w:cstheme="minorHAnsi"/>
              </w:rPr>
              <w:t>Completed written procedures/processes that outline the steps VR will take with partners to deliver peer mentoring as a PreETS service</w:t>
            </w:r>
            <w:r w:rsidRPr="00206792">
              <w:t xml:space="preserve"> </w:t>
            </w:r>
          </w:p>
        </w:tc>
      </w:tr>
      <w:bookmarkEnd w:id="168"/>
      <w:tr w:rsidR="00D43BC9" w:rsidRPr="00206792" w14:paraId="48E04D3D" w14:textId="77777777" w:rsidTr="00623C47">
        <w:trPr>
          <w:trHeight w:val="20"/>
        </w:trPr>
        <w:tc>
          <w:tcPr>
            <w:tcW w:w="5000" w:type="pct"/>
            <w:gridSpan w:val="2"/>
            <w:tcBorders>
              <w:top w:val="single" w:sz="4" w:space="0" w:color="auto"/>
              <w:left w:val="single" w:sz="4" w:space="0" w:color="000000"/>
              <w:bottom w:val="single" w:sz="4" w:space="0" w:color="000000"/>
              <w:right w:val="single" w:sz="4" w:space="0" w:color="000000"/>
            </w:tcBorders>
            <w:shd w:val="clear" w:color="auto" w:fill="D9E2F3" w:themeFill="accent1" w:themeFillTint="33"/>
            <w:vAlign w:val="center"/>
          </w:tcPr>
          <w:p w14:paraId="0FB0AA9D" w14:textId="77777777" w:rsidR="00D43BC9" w:rsidRPr="00206792" w:rsidRDefault="00D43BC9" w:rsidP="008A190D">
            <w:pPr>
              <w:spacing w:after="0" w:line="240" w:lineRule="auto"/>
              <w:ind w:hanging="31"/>
              <w:jc w:val="center"/>
              <w:rPr>
                <w:b/>
              </w:rPr>
            </w:pPr>
            <w:r w:rsidRPr="00206792">
              <w:rPr>
                <w:b/>
              </w:rPr>
              <w:t>Short-Term Outcomes</w:t>
            </w:r>
          </w:p>
          <w:p w14:paraId="078E05A8" w14:textId="77777777" w:rsidR="00D43BC9" w:rsidRPr="00206792" w:rsidRDefault="00D43BC9" w:rsidP="00C575C8">
            <w:pPr>
              <w:pStyle w:val="ListParagraph"/>
              <w:numPr>
                <w:ilvl w:val="0"/>
                <w:numId w:val="2"/>
              </w:numPr>
              <w:spacing w:after="0" w:line="240" w:lineRule="auto"/>
            </w:pPr>
            <w:r w:rsidRPr="00206792">
              <w:t>The number of trained/credentialed peer mentoring program coordinators</w:t>
            </w:r>
          </w:p>
          <w:p w14:paraId="6E7BAF7B" w14:textId="77777777" w:rsidR="00D43BC9" w:rsidRPr="00206792" w:rsidRDefault="00D43BC9" w:rsidP="00C575C8">
            <w:pPr>
              <w:pStyle w:val="ListParagraph"/>
              <w:numPr>
                <w:ilvl w:val="0"/>
                <w:numId w:val="2"/>
              </w:numPr>
              <w:spacing w:after="0" w:line="240" w:lineRule="auto"/>
            </w:pPr>
            <w:r w:rsidRPr="00206792">
              <w:t>The number of trained/credentialed peer mentors</w:t>
            </w:r>
          </w:p>
          <w:p w14:paraId="1A07FD65" w14:textId="77777777" w:rsidR="00D43BC9" w:rsidRPr="00206792" w:rsidRDefault="00D43BC9" w:rsidP="00C575C8">
            <w:pPr>
              <w:numPr>
                <w:ilvl w:val="0"/>
                <w:numId w:val="2"/>
              </w:numPr>
              <w:spacing w:after="0" w:line="240" w:lineRule="auto"/>
              <w:rPr>
                <w:rFonts w:eastAsia="Times New Roman" w:cstheme="minorHAnsi"/>
              </w:rPr>
            </w:pPr>
            <w:r w:rsidRPr="00206792">
              <w:rPr>
                <w:rFonts w:eastAsia="Times New Roman" w:cstheme="minorHAnsi"/>
              </w:rPr>
              <w:t xml:space="preserve">Annual projected number of, or increase in, consumers receiving peer mentoring services </w:t>
            </w:r>
          </w:p>
          <w:p w14:paraId="3F90BAF9" w14:textId="77777777" w:rsidR="00D43BC9" w:rsidRPr="00206792" w:rsidRDefault="00D43BC9" w:rsidP="00C575C8">
            <w:pPr>
              <w:pStyle w:val="ListParagraph"/>
              <w:numPr>
                <w:ilvl w:val="0"/>
                <w:numId w:val="2"/>
              </w:numPr>
              <w:spacing w:after="0" w:line="240" w:lineRule="auto"/>
            </w:pPr>
            <w:r w:rsidRPr="00206792">
              <w:t>Increased quantity and quality of employment outcomes achieved annually by youth with disabilities who had a Peer Mentor.</w:t>
            </w:r>
          </w:p>
          <w:p w14:paraId="2E61AD89" w14:textId="77777777" w:rsidR="00D43BC9" w:rsidRPr="00206792" w:rsidRDefault="00D43BC9" w:rsidP="00C575C8">
            <w:pPr>
              <w:pStyle w:val="ListParagraph"/>
              <w:numPr>
                <w:ilvl w:val="0"/>
                <w:numId w:val="2"/>
              </w:numPr>
              <w:spacing w:after="0" w:line="240" w:lineRule="auto"/>
            </w:pPr>
            <w:r w:rsidRPr="00206792">
              <w:t>Increased percentage by X of qualifying students with disabilities per site who will receive peer mentoring services as a PreETS activity through the established peer mentoring network.</w:t>
            </w:r>
          </w:p>
          <w:p w14:paraId="744B3AC1" w14:textId="77777777" w:rsidR="00D43BC9" w:rsidRPr="00206792" w:rsidRDefault="00D43BC9" w:rsidP="00C575C8">
            <w:pPr>
              <w:pStyle w:val="ListParagraph"/>
              <w:numPr>
                <w:ilvl w:val="1"/>
                <w:numId w:val="2"/>
              </w:numPr>
              <w:spacing w:after="0" w:line="240" w:lineRule="auto"/>
            </w:pPr>
            <w:r w:rsidRPr="00206792">
              <w:t>Increased number of youth with disabilities referred from the juvenile justice system</w:t>
            </w:r>
          </w:p>
          <w:p w14:paraId="051A0417" w14:textId="77777777" w:rsidR="00D43BC9" w:rsidRPr="00206792" w:rsidRDefault="00D43BC9" w:rsidP="00C575C8">
            <w:pPr>
              <w:pStyle w:val="ListParagraph"/>
              <w:numPr>
                <w:ilvl w:val="0"/>
                <w:numId w:val="2"/>
              </w:numPr>
              <w:spacing w:after="0" w:line="240" w:lineRule="auto"/>
            </w:pPr>
            <w:r w:rsidRPr="00206792">
              <w:t>An increase in the percentage of Pre-ETS services made up of Peer Mentoring services counting towards the 15% set-aside.</w:t>
            </w:r>
          </w:p>
          <w:p w14:paraId="521B9124" w14:textId="77777777" w:rsidR="00D43BC9" w:rsidRPr="00206792" w:rsidRDefault="00D43BC9" w:rsidP="008A190D">
            <w:pPr>
              <w:spacing w:after="0" w:line="240" w:lineRule="auto"/>
              <w:ind w:hanging="31"/>
              <w:jc w:val="center"/>
              <w:rPr>
                <w:b/>
              </w:rPr>
            </w:pPr>
            <w:r w:rsidRPr="00206792">
              <w:rPr>
                <w:b/>
              </w:rPr>
              <w:t>Long-Term Outcome</w:t>
            </w:r>
          </w:p>
          <w:p w14:paraId="069BE10E" w14:textId="77777777" w:rsidR="00D43BC9" w:rsidRPr="00206792" w:rsidRDefault="00D43BC9" w:rsidP="00C575C8">
            <w:pPr>
              <w:pStyle w:val="ListParagraph"/>
              <w:numPr>
                <w:ilvl w:val="0"/>
                <w:numId w:val="2"/>
              </w:numPr>
              <w:spacing w:after="0" w:line="240" w:lineRule="auto"/>
            </w:pPr>
            <w:r w:rsidRPr="00206792">
              <w:rPr>
                <w:rFonts w:cstheme="minorHAnsi"/>
              </w:rPr>
              <w:t>Increased rate of students and youth with disabilities engaged in CIE</w:t>
            </w:r>
          </w:p>
          <w:p w14:paraId="25159ACC" w14:textId="77777777" w:rsidR="00D43BC9" w:rsidRPr="00206792" w:rsidRDefault="00D43BC9" w:rsidP="00623C47">
            <w:pPr>
              <w:pStyle w:val="ListParagraph"/>
              <w:spacing w:after="0" w:line="240" w:lineRule="auto"/>
            </w:pPr>
          </w:p>
        </w:tc>
      </w:tr>
    </w:tbl>
    <w:p w14:paraId="78B36BBA" w14:textId="77777777" w:rsidR="00D43BC9" w:rsidRDefault="00D43BC9" w:rsidP="00D43BC9">
      <w:pPr>
        <w:pStyle w:val="Heading2"/>
      </w:pPr>
      <w:r>
        <w:br w:type="page"/>
      </w:r>
    </w:p>
    <w:p w14:paraId="7FC40C20" w14:textId="7B54A10D" w:rsidR="00D43BC9" w:rsidRDefault="00D43BC9" w:rsidP="00D43BC9">
      <w:pPr>
        <w:pStyle w:val="Heading2"/>
      </w:pPr>
      <w:bookmarkStart w:id="169" w:name="_Toc41940278"/>
      <w:r>
        <w:lastRenderedPageBreak/>
        <w:t>Peer Mentoring</w:t>
      </w:r>
      <w:r>
        <w:br/>
        <w:t>Activities &amp; Outputs Progress Dashboards</w:t>
      </w:r>
      <w:bookmarkEnd w:id="169"/>
    </w:p>
    <w:p w14:paraId="1729FAC8" w14:textId="68AC8812" w:rsidR="00D43BC9" w:rsidRDefault="00D43BC9" w:rsidP="00D43BC9">
      <w:pPr>
        <w:ind w:firstLine="0"/>
        <w:rPr>
          <w:sz w:val="36"/>
        </w:rPr>
      </w:pPr>
    </w:p>
    <w:p w14:paraId="487ED162" w14:textId="69ABA6E1" w:rsidR="00B10F23" w:rsidRDefault="00B10F23" w:rsidP="00D43BC9">
      <w:pPr>
        <w:ind w:firstLine="0"/>
        <w:rPr>
          <w:sz w:val="36"/>
        </w:rPr>
      </w:pPr>
      <w:r>
        <w:rPr>
          <w:noProof/>
          <w:lang w:eastAsia="ko-KR"/>
        </w:rPr>
        <w:drawing>
          <wp:inline distT="0" distB="0" distL="0" distR="0" wp14:anchorId="792DF4A1" wp14:editId="4B92436B">
            <wp:extent cx="5943600" cy="2531745"/>
            <wp:effectExtent l="0" t="0" r="0" b="1905"/>
            <wp:docPr id="72" name="Picture 72" descr="Progress Peer Mentoring Activities showing 84%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5943600" cy="2531745"/>
                    </a:xfrm>
                    <a:prstGeom prst="rect">
                      <a:avLst/>
                    </a:prstGeom>
                  </pic:spPr>
                </pic:pic>
              </a:graphicData>
            </a:graphic>
          </wp:inline>
        </w:drawing>
      </w:r>
    </w:p>
    <w:p w14:paraId="40868C4B" w14:textId="0856329B" w:rsidR="00D43BC9" w:rsidRDefault="00D43BC9" w:rsidP="00D43BC9">
      <w:pPr>
        <w:rPr>
          <w:szCs w:val="14"/>
        </w:rPr>
      </w:pPr>
      <w:r>
        <w:rPr>
          <w:szCs w:val="14"/>
        </w:rPr>
        <w:t xml:space="preserve">Across the topic area of Peer Mentoring, we </w:t>
      </w:r>
      <w:r w:rsidRPr="00237A98">
        <w:rPr>
          <w:szCs w:val="14"/>
        </w:rPr>
        <w:t xml:space="preserve">see that the majority of activities (96%) are nearing or have reached completion, </w:t>
      </w:r>
      <w:r>
        <w:rPr>
          <w:szCs w:val="14"/>
        </w:rPr>
        <w:t>with</w:t>
      </w:r>
      <w:r w:rsidRPr="00237A98">
        <w:rPr>
          <w:szCs w:val="14"/>
        </w:rPr>
        <w:t xml:space="preserve"> completion rate</w:t>
      </w:r>
      <w:r>
        <w:rPr>
          <w:szCs w:val="14"/>
        </w:rPr>
        <w:t>s</w:t>
      </w:r>
      <w:r w:rsidRPr="00237A98">
        <w:rPr>
          <w:szCs w:val="14"/>
        </w:rPr>
        <w:t xml:space="preserve"> of 90</w:t>
      </w:r>
      <w:r>
        <w:rPr>
          <w:szCs w:val="14"/>
        </w:rPr>
        <w:t>-100</w:t>
      </w:r>
      <w:r w:rsidRPr="00237A98">
        <w:rPr>
          <w:szCs w:val="14"/>
        </w:rPr>
        <w:t>%.</w:t>
      </w:r>
    </w:p>
    <w:p w14:paraId="04C0F796" w14:textId="77777777" w:rsidR="00D43BC9" w:rsidRDefault="00D43BC9" w:rsidP="00D43BC9">
      <w:pPr>
        <w:rPr>
          <w:szCs w:val="14"/>
        </w:rPr>
      </w:pPr>
      <w:r>
        <w:rPr>
          <w:szCs w:val="14"/>
        </w:rPr>
        <w:br w:type="page"/>
      </w:r>
    </w:p>
    <w:p w14:paraId="79E6DCE7" w14:textId="77777777" w:rsidR="00D43BC9" w:rsidRDefault="00D43BC9" w:rsidP="00D43BC9">
      <w:pPr>
        <w:spacing w:after="0" w:line="240" w:lineRule="auto"/>
        <w:rPr>
          <w:rFonts w:cstheme="minorHAnsi"/>
        </w:rPr>
        <w:sectPr w:rsidR="00D43BC9" w:rsidSect="00FA0379">
          <w:headerReference w:type="even" r:id="rId420"/>
          <w:headerReference w:type="default" r:id="rId421"/>
          <w:footerReference w:type="even" r:id="rId422"/>
          <w:footerReference w:type="default" r:id="rId423"/>
          <w:headerReference w:type="first" r:id="rId424"/>
          <w:footerReference w:type="first" r:id="rId425"/>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docGrid w:linePitch="360"/>
        </w:sectPr>
      </w:pPr>
    </w:p>
    <w:p w14:paraId="28B57897" w14:textId="3C8A2015" w:rsidR="00D43BC9" w:rsidRDefault="00D43BC9" w:rsidP="00D43BC9">
      <w:pPr>
        <w:spacing w:after="0" w:line="240" w:lineRule="auto"/>
        <w:rPr>
          <w:rFonts w:cstheme="minorHAnsi"/>
        </w:rPr>
        <w:sectPr w:rsidR="00D43BC9" w:rsidSect="00623C47">
          <w:type w:val="continuous"/>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docGrid w:linePitch="360"/>
        </w:sectPr>
      </w:pPr>
      <w:r>
        <w:rPr>
          <w:rFonts w:cstheme="minorHAnsi"/>
        </w:rPr>
        <w:lastRenderedPageBreak/>
        <w:t>In the following “thermometer charts,” the progress rate is broken down by specific activity side-by-side with the linked outputs’ progress rates. Activities #1, 2 and #6 show a one-to-one correspondence between the rate of completion and its associated output, while Activity #3 does not, likely due to the nature of the activity and varied results from one state to another.</w:t>
      </w:r>
    </w:p>
    <w:p w14:paraId="54DFF745" w14:textId="77777777" w:rsidR="00D43BC9" w:rsidRDefault="00D43BC9" w:rsidP="00D43BC9">
      <w:pPr>
        <w:spacing w:after="0" w:line="240" w:lineRule="auto"/>
        <w:rPr>
          <w:rFonts w:cstheme="minorHAnsi"/>
        </w:rPr>
      </w:pPr>
    </w:p>
    <w:p w14:paraId="2F1DF7AC" w14:textId="77777777" w:rsidR="00D43BC9" w:rsidRDefault="00D43BC9" w:rsidP="00D43BC9">
      <w:pPr>
        <w:tabs>
          <w:tab w:val="left" w:pos="360"/>
        </w:tabs>
        <w:ind w:firstLine="0"/>
        <w:jc w:val="center"/>
        <w:rPr>
          <w:szCs w:val="14"/>
        </w:rPr>
      </w:pPr>
      <w:r w:rsidRPr="003A10D6">
        <w:rPr>
          <w:sz w:val="36"/>
          <w:szCs w:val="36"/>
        </w:rPr>
        <w:t xml:space="preserve">Activity </w:t>
      </w:r>
      <w:r>
        <w:rPr>
          <w:sz w:val="36"/>
          <w:szCs w:val="36"/>
        </w:rPr>
        <w:t>1</w:t>
      </w:r>
      <w:r>
        <w:rPr>
          <w:szCs w:val="14"/>
        </w:rPr>
        <w:br/>
      </w:r>
      <w:r>
        <w:rPr>
          <w:noProof/>
          <w:lang w:eastAsia="ko-KR"/>
        </w:rPr>
        <w:drawing>
          <wp:inline distT="0" distB="0" distL="0" distR="0" wp14:anchorId="6F1DAEC2" wp14:editId="42BDD6A1">
            <wp:extent cx="1536192" cy="4572000"/>
            <wp:effectExtent l="0" t="0" r="6985" b="0"/>
            <wp:docPr id="396" name="Picture 396" descr="Activity &amp; Outputs Progress 1">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1536192" cy="4572000"/>
                    </a:xfrm>
                    <a:prstGeom prst="rect">
                      <a:avLst/>
                    </a:prstGeom>
                  </pic:spPr>
                </pic:pic>
              </a:graphicData>
            </a:graphic>
          </wp:inline>
        </w:drawing>
      </w:r>
      <w:r>
        <w:rPr>
          <w:sz w:val="36"/>
          <w:szCs w:val="36"/>
        </w:rPr>
        <w:br/>
      </w:r>
      <w:r>
        <w:rPr>
          <w:noProof/>
          <w:lang w:eastAsia="ko-KR"/>
        </w:rPr>
        <w:drawing>
          <wp:inline distT="0" distB="0" distL="0" distR="0" wp14:anchorId="2D6CC02C" wp14:editId="5B6F4638">
            <wp:extent cx="2090057" cy="370114"/>
            <wp:effectExtent l="0" t="0" r="5715" b="0"/>
            <wp:docPr id="397" name="Picture 397"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2BB340A7" w14:textId="77777777" w:rsidR="00D43BC9" w:rsidRPr="00571015" w:rsidRDefault="00D43BC9" w:rsidP="00D43BC9">
      <w:pPr>
        <w:spacing w:after="0" w:line="240" w:lineRule="auto"/>
        <w:ind w:firstLine="0"/>
        <w:rPr>
          <w:rFonts w:cstheme="minorHAnsi"/>
        </w:rPr>
      </w:pPr>
      <w:r w:rsidRPr="00571015">
        <w:rPr>
          <w:rFonts w:cstheme="minorHAnsi"/>
          <w:b/>
          <w:bCs/>
        </w:rPr>
        <w:t>Activity 1:</w:t>
      </w:r>
      <w:r w:rsidRPr="00571015">
        <w:rPr>
          <w:rFonts w:cstheme="minorHAnsi"/>
        </w:rPr>
        <w:t xml:space="preserve"> Work with SVRA to develop a plan to establish or expand a network of peer mentors to deliver services to consumers.</w:t>
      </w:r>
    </w:p>
    <w:p w14:paraId="16C3FEDE" w14:textId="77777777" w:rsidR="00D43BC9" w:rsidRDefault="00D43BC9" w:rsidP="00D43BC9">
      <w:pPr>
        <w:spacing w:after="0" w:line="240" w:lineRule="auto"/>
        <w:ind w:firstLine="0"/>
        <w:rPr>
          <w:rFonts w:cstheme="minorHAnsi"/>
        </w:rPr>
      </w:pPr>
      <w:r w:rsidRPr="00571015">
        <w:rPr>
          <w:rFonts w:cstheme="minorHAnsi"/>
          <w:b/>
          <w:bCs/>
        </w:rPr>
        <w:t>Output A:</w:t>
      </w:r>
      <w:r w:rsidRPr="00571015">
        <w:rPr>
          <w:rFonts w:cstheme="minorHAnsi"/>
        </w:rPr>
        <w:t xml:space="preserve"> A completed plan to establish or expand peer mentoring, outlining strategies and target dates for training and implementation.</w:t>
      </w:r>
      <w:r>
        <w:rPr>
          <w:rFonts w:cstheme="minorHAnsi"/>
        </w:rPr>
        <w:br w:type="column"/>
      </w:r>
    </w:p>
    <w:p w14:paraId="781546F6" w14:textId="77777777" w:rsidR="00D43BC9" w:rsidRDefault="00D43BC9" w:rsidP="00D43BC9">
      <w:pPr>
        <w:tabs>
          <w:tab w:val="left" w:pos="360"/>
        </w:tabs>
        <w:ind w:firstLine="0"/>
        <w:jc w:val="center"/>
        <w:rPr>
          <w:szCs w:val="14"/>
        </w:rPr>
      </w:pPr>
      <w:r w:rsidRPr="003A10D6">
        <w:rPr>
          <w:sz w:val="36"/>
          <w:szCs w:val="36"/>
        </w:rPr>
        <w:t xml:space="preserve">Activity </w:t>
      </w:r>
      <w:r>
        <w:rPr>
          <w:sz w:val="36"/>
          <w:szCs w:val="36"/>
        </w:rPr>
        <w:t>2</w:t>
      </w:r>
      <w:r>
        <w:rPr>
          <w:szCs w:val="14"/>
        </w:rPr>
        <w:br/>
      </w:r>
      <w:r>
        <w:rPr>
          <w:noProof/>
          <w:lang w:eastAsia="ko-KR"/>
        </w:rPr>
        <w:drawing>
          <wp:inline distT="0" distB="0" distL="0" distR="0" wp14:anchorId="0678F099" wp14:editId="292A6664">
            <wp:extent cx="1600200" cy="4572000"/>
            <wp:effectExtent l="0" t="0" r="0" b="2540"/>
            <wp:docPr id="398" name="Picture 398" descr="Activity &amp; Outputs Progress 2">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1600200" cy="4572000"/>
                    </a:xfrm>
                    <a:prstGeom prst="rect">
                      <a:avLst/>
                    </a:prstGeom>
                  </pic:spPr>
                </pic:pic>
              </a:graphicData>
            </a:graphic>
          </wp:inline>
        </w:drawing>
      </w:r>
      <w:r>
        <w:rPr>
          <w:sz w:val="36"/>
          <w:szCs w:val="36"/>
        </w:rPr>
        <w:br/>
      </w:r>
      <w:r>
        <w:rPr>
          <w:noProof/>
          <w:lang w:eastAsia="ko-KR"/>
        </w:rPr>
        <w:drawing>
          <wp:inline distT="0" distB="0" distL="0" distR="0" wp14:anchorId="2F025E83" wp14:editId="1965F928">
            <wp:extent cx="2090057" cy="370114"/>
            <wp:effectExtent l="0" t="0" r="5715" b="0"/>
            <wp:docPr id="399" name="Picture 399"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63505409" w14:textId="77777777" w:rsidR="00D43BC9" w:rsidRPr="00571015" w:rsidRDefault="00D43BC9" w:rsidP="00D43BC9">
      <w:pPr>
        <w:spacing w:after="0" w:line="240" w:lineRule="auto"/>
        <w:ind w:firstLine="0"/>
        <w:rPr>
          <w:rFonts w:cstheme="minorHAnsi"/>
        </w:rPr>
      </w:pPr>
      <w:r w:rsidRPr="00571015">
        <w:rPr>
          <w:rFonts w:cstheme="minorHAnsi"/>
          <w:b/>
          <w:bCs/>
        </w:rPr>
        <w:t>Activity 2:</w:t>
      </w:r>
      <w:r w:rsidRPr="00571015">
        <w:rPr>
          <w:rFonts w:cstheme="minorHAnsi"/>
        </w:rPr>
        <w:t xml:space="preserve"> Modify the peer mentoring training curriculum to meet the unique needs of the VR program and the consumers they serve.</w:t>
      </w:r>
    </w:p>
    <w:p w14:paraId="1BB4C31A" w14:textId="77777777" w:rsidR="00D43BC9" w:rsidRPr="00571015" w:rsidRDefault="00D43BC9" w:rsidP="00D43BC9">
      <w:pPr>
        <w:spacing w:after="0" w:line="240" w:lineRule="auto"/>
        <w:ind w:firstLine="0"/>
        <w:rPr>
          <w:rFonts w:cstheme="minorHAnsi"/>
        </w:rPr>
      </w:pPr>
      <w:r w:rsidRPr="00571015">
        <w:rPr>
          <w:rFonts w:cstheme="minorHAnsi"/>
          <w:b/>
          <w:bCs/>
        </w:rPr>
        <w:t>Output B:</w:t>
      </w:r>
      <w:r w:rsidRPr="00571015">
        <w:rPr>
          <w:rFonts w:cstheme="minorHAnsi"/>
        </w:rPr>
        <w:t xml:space="preserve"> A completed peer mentoring training series that has been modified as requested.</w:t>
      </w:r>
    </w:p>
    <w:p w14:paraId="00AD6A28" w14:textId="77777777" w:rsidR="00D43BC9" w:rsidRPr="00571015" w:rsidRDefault="00D43BC9" w:rsidP="00D43BC9">
      <w:pPr>
        <w:spacing w:after="0" w:line="240" w:lineRule="auto"/>
        <w:rPr>
          <w:rFonts w:cstheme="minorHAnsi"/>
        </w:rPr>
      </w:pPr>
    </w:p>
    <w:p w14:paraId="17CE2C5E" w14:textId="77777777" w:rsidR="00D43BC9" w:rsidRPr="00571015" w:rsidRDefault="00D43BC9" w:rsidP="00D43BC9">
      <w:pPr>
        <w:spacing w:after="0" w:line="240" w:lineRule="auto"/>
        <w:rPr>
          <w:rFonts w:cstheme="minorHAnsi"/>
        </w:rPr>
      </w:pPr>
    </w:p>
    <w:p w14:paraId="5B88CF97" w14:textId="77777777" w:rsidR="00D43BC9" w:rsidRDefault="00D43BC9" w:rsidP="00D43BC9">
      <w:pPr>
        <w:tabs>
          <w:tab w:val="left" w:pos="360"/>
        </w:tabs>
        <w:ind w:firstLine="0"/>
        <w:jc w:val="center"/>
        <w:rPr>
          <w:szCs w:val="14"/>
        </w:rPr>
      </w:pPr>
      <w:r w:rsidRPr="003A10D6">
        <w:rPr>
          <w:sz w:val="36"/>
          <w:szCs w:val="36"/>
        </w:rPr>
        <w:lastRenderedPageBreak/>
        <w:t xml:space="preserve">Activity </w:t>
      </w:r>
      <w:r>
        <w:rPr>
          <w:sz w:val="36"/>
          <w:szCs w:val="36"/>
        </w:rPr>
        <w:t>3</w:t>
      </w:r>
      <w:r>
        <w:rPr>
          <w:szCs w:val="14"/>
        </w:rPr>
        <w:br/>
      </w:r>
      <w:r>
        <w:rPr>
          <w:noProof/>
          <w:lang w:eastAsia="ko-KR"/>
        </w:rPr>
        <w:drawing>
          <wp:inline distT="0" distB="0" distL="0" distR="0" wp14:anchorId="0E77184A" wp14:editId="0F34D736">
            <wp:extent cx="1895475" cy="5829300"/>
            <wp:effectExtent l="0" t="0" r="9525" b="0"/>
            <wp:docPr id="400" name="Picture 400" descr="Activity &amp; Outputs Progress 3">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1895475" cy="5829300"/>
                    </a:xfrm>
                    <a:prstGeom prst="rect">
                      <a:avLst/>
                    </a:prstGeom>
                  </pic:spPr>
                </pic:pic>
              </a:graphicData>
            </a:graphic>
          </wp:inline>
        </w:drawing>
      </w:r>
      <w:r>
        <w:rPr>
          <w:sz w:val="36"/>
          <w:szCs w:val="36"/>
        </w:rPr>
        <w:br/>
      </w:r>
      <w:r>
        <w:rPr>
          <w:noProof/>
          <w:lang w:eastAsia="ko-KR"/>
        </w:rPr>
        <w:drawing>
          <wp:inline distT="0" distB="0" distL="0" distR="0" wp14:anchorId="2A6DBB2C" wp14:editId="56B01835">
            <wp:extent cx="2090057" cy="370114"/>
            <wp:effectExtent l="0" t="0" r="5715" b="0"/>
            <wp:docPr id="401" name="Picture 401"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2A90B71A" w14:textId="77777777" w:rsidR="00D43BC9" w:rsidRPr="00571015" w:rsidRDefault="00D43BC9" w:rsidP="007645F4">
      <w:pPr>
        <w:spacing w:after="0" w:line="240" w:lineRule="auto"/>
        <w:ind w:firstLine="0"/>
        <w:rPr>
          <w:rFonts w:cstheme="minorHAnsi"/>
        </w:rPr>
      </w:pPr>
      <w:r w:rsidRPr="00571015">
        <w:rPr>
          <w:rFonts w:cstheme="minorHAnsi"/>
          <w:b/>
          <w:bCs/>
        </w:rPr>
        <w:t>Activity 3:</w:t>
      </w:r>
      <w:r w:rsidRPr="00571015">
        <w:rPr>
          <w:rFonts w:cstheme="minorHAnsi"/>
        </w:rPr>
        <w:t xml:space="preserve"> Provide training to peer mentors and coordinators that prepares them to deliver or administer peer mentoring services.</w:t>
      </w:r>
    </w:p>
    <w:p w14:paraId="571477ED" w14:textId="26624389" w:rsidR="00D43BC9" w:rsidRPr="00571015" w:rsidRDefault="00D43BC9" w:rsidP="0048500F">
      <w:pPr>
        <w:spacing w:after="0" w:line="240" w:lineRule="auto"/>
        <w:ind w:firstLine="0"/>
        <w:rPr>
          <w:rFonts w:cstheme="minorHAnsi"/>
        </w:rPr>
      </w:pPr>
      <w:r w:rsidRPr="00571015">
        <w:rPr>
          <w:rFonts w:cstheme="minorHAnsi"/>
          <w:b/>
          <w:bCs/>
        </w:rPr>
        <w:t>Output C:</w:t>
      </w:r>
      <w:r w:rsidRPr="00571015">
        <w:rPr>
          <w:rFonts w:cstheme="minorHAnsi"/>
        </w:rPr>
        <w:t xml:space="preserve"> The number of peer mentors and coordinators who complete the training.</w:t>
      </w:r>
      <w:r w:rsidR="0048500F" w:rsidRPr="00571015">
        <w:rPr>
          <w:rFonts w:cstheme="minorHAnsi"/>
        </w:rPr>
        <w:t xml:space="preserve"> </w:t>
      </w:r>
    </w:p>
    <w:p w14:paraId="4749B33D" w14:textId="77777777" w:rsidR="00D43BC9" w:rsidRDefault="00D43BC9" w:rsidP="00D43BC9">
      <w:pPr>
        <w:tabs>
          <w:tab w:val="left" w:pos="360"/>
        </w:tabs>
        <w:ind w:firstLine="0"/>
        <w:jc w:val="center"/>
        <w:rPr>
          <w:sz w:val="36"/>
          <w:szCs w:val="36"/>
        </w:rPr>
      </w:pPr>
      <w:r w:rsidRPr="003A10D6">
        <w:rPr>
          <w:sz w:val="36"/>
          <w:szCs w:val="36"/>
        </w:rPr>
        <w:t xml:space="preserve">Activity </w:t>
      </w:r>
      <w:r>
        <w:rPr>
          <w:sz w:val="36"/>
          <w:szCs w:val="36"/>
        </w:rPr>
        <w:t>6</w:t>
      </w:r>
      <w:r>
        <w:rPr>
          <w:szCs w:val="14"/>
        </w:rPr>
        <w:br/>
      </w:r>
      <w:r>
        <w:rPr>
          <w:noProof/>
          <w:lang w:eastAsia="ko-KR"/>
        </w:rPr>
        <w:drawing>
          <wp:inline distT="0" distB="0" distL="0" distR="0" wp14:anchorId="2C6FEDDE" wp14:editId="4A9200F2">
            <wp:extent cx="1877035" cy="5829300"/>
            <wp:effectExtent l="0" t="0" r="3175" b="0"/>
            <wp:docPr id="402" name="Picture 402" descr="Activity &amp; Outputs Progress 6">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1895433" cy="5886437"/>
                    </a:xfrm>
                    <a:prstGeom prst="rect">
                      <a:avLst/>
                    </a:prstGeom>
                  </pic:spPr>
                </pic:pic>
              </a:graphicData>
            </a:graphic>
          </wp:inline>
        </w:drawing>
      </w:r>
      <w:r>
        <w:rPr>
          <w:sz w:val="36"/>
          <w:szCs w:val="36"/>
        </w:rPr>
        <w:br/>
      </w:r>
      <w:r>
        <w:rPr>
          <w:noProof/>
          <w:lang w:eastAsia="ko-KR"/>
        </w:rPr>
        <w:drawing>
          <wp:inline distT="0" distB="0" distL="0" distR="0" wp14:anchorId="2BE0EB93" wp14:editId="5F52E3C7">
            <wp:extent cx="2090057" cy="370114"/>
            <wp:effectExtent l="0" t="0" r="5715" b="0"/>
            <wp:docPr id="403" name="Picture 403"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716DF377" w14:textId="77777777" w:rsidR="00D43BC9" w:rsidRPr="001E63E8" w:rsidRDefault="00D43BC9" w:rsidP="007645F4">
      <w:pPr>
        <w:tabs>
          <w:tab w:val="left" w:pos="360"/>
        </w:tabs>
        <w:spacing w:after="0"/>
        <w:ind w:firstLine="0"/>
        <w:rPr>
          <w:sz w:val="36"/>
          <w:szCs w:val="36"/>
        </w:rPr>
      </w:pPr>
      <w:r w:rsidRPr="00571015">
        <w:rPr>
          <w:rFonts w:cstheme="minorHAnsi"/>
          <w:b/>
          <w:bCs/>
        </w:rPr>
        <w:t>Activity 6:</w:t>
      </w:r>
      <w:r w:rsidRPr="00571015">
        <w:rPr>
          <w:rFonts w:cstheme="minorHAnsi"/>
        </w:rPr>
        <w:t xml:space="preserve"> Pre-ETS Team to work with SVRA and PM team to ensure PM model and content make it eligible as a Pre-ETS service.</w:t>
      </w:r>
    </w:p>
    <w:p w14:paraId="222200F0" w14:textId="77777777" w:rsidR="00D43BC9" w:rsidRPr="00D801B3" w:rsidRDefault="00D43BC9" w:rsidP="007645F4">
      <w:pPr>
        <w:spacing w:after="0" w:line="240" w:lineRule="auto"/>
        <w:ind w:firstLine="0"/>
        <w:rPr>
          <w:rFonts w:cstheme="minorHAnsi"/>
        </w:rPr>
        <w:sectPr w:rsidR="00D43BC9" w:rsidRPr="00D801B3" w:rsidSect="00623C47">
          <w:type w:val="continuous"/>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num="2" w:space="720"/>
          <w:docGrid w:linePitch="360"/>
        </w:sectPr>
      </w:pPr>
      <w:r w:rsidRPr="00571015">
        <w:rPr>
          <w:rFonts w:cstheme="minorHAnsi"/>
          <w:b/>
          <w:bCs/>
        </w:rPr>
        <w:t>Output F:</w:t>
      </w:r>
      <w:r w:rsidRPr="00571015">
        <w:rPr>
          <w:rFonts w:cstheme="minorHAnsi"/>
        </w:rPr>
        <w:t xml:space="preserve"> Completed written procedures/processes that outline the steps VR will take with partners to deliver peer mentoring as a PreETS service</w:t>
      </w:r>
    </w:p>
    <w:p w14:paraId="0D8AAF76" w14:textId="77777777" w:rsidR="00D43BC9" w:rsidRDefault="00D43BC9" w:rsidP="00D43BC9">
      <w:pPr>
        <w:pBdr>
          <w:bottom w:val="single" w:sz="24" w:space="1" w:color="auto"/>
        </w:pBdr>
        <w:tabs>
          <w:tab w:val="center" w:pos="4680"/>
          <w:tab w:val="right" w:pos="9360"/>
        </w:tabs>
        <w:rPr>
          <w:b/>
          <w:sz w:val="36"/>
        </w:rPr>
        <w:sectPr w:rsidR="00D43BC9" w:rsidSect="00623C47">
          <w:type w:val="continuous"/>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num="2" w:space="720"/>
          <w:docGrid w:linePitch="360"/>
        </w:sectPr>
      </w:pPr>
    </w:p>
    <w:p w14:paraId="1C7A0528" w14:textId="313504BF" w:rsidR="00D43BC9" w:rsidRDefault="007645F4" w:rsidP="007645F4">
      <w:pPr>
        <w:pStyle w:val="Heading2"/>
      </w:pPr>
      <w:bookmarkStart w:id="170" w:name="_Toc41940279"/>
      <w:r>
        <w:lastRenderedPageBreak/>
        <w:t>Peer Mentoring: Outcomes Progress Dashboards</w:t>
      </w:r>
      <w:bookmarkEnd w:id="170"/>
    </w:p>
    <w:p w14:paraId="1024875B" w14:textId="77777777" w:rsidR="00D43BC9" w:rsidRDefault="00D43BC9" w:rsidP="00B10F23">
      <w:pPr>
        <w:ind w:firstLine="0"/>
        <w:jc w:val="center"/>
      </w:pPr>
      <w:r>
        <w:rPr>
          <w:noProof/>
          <w:lang w:eastAsia="ko-KR"/>
        </w:rPr>
        <w:drawing>
          <wp:inline distT="0" distB="0" distL="0" distR="0" wp14:anchorId="799B8390" wp14:editId="68548651">
            <wp:extent cx="5656868" cy="3228975"/>
            <wp:effectExtent l="0" t="0" r="1270" b="0"/>
            <wp:docPr id="404" name="Picture 404" descr="Outcomes Progress speedometer showing 53% complete">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5671126" cy="3237113"/>
                    </a:xfrm>
                    <a:prstGeom prst="rect">
                      <a:avLst/>
                    </a:prstGeom>
                  </pic:spPr>
                </pic:pic>
              </a:graphicData>
            </a:graphic>
          </wp:inline>
        </w:drawing>
      </w:r>
    </w:p>
    <w:p w14:paraId="64696DE5" w14:textId="77777777" w:rsidR="00D43BC9" w:rsidRDefault="00D43BC9" w:rsidP="00D43BC9">
      <w:r>
        <w:t xml:space="preserve">This infographic shows that over half of anticipated Peer Mentoring outcomes are at least 75% achieved. Most of these outcomes involve production or updating of a written plan to </w:t>
      </w:r>
      <w:r w:rsidRPr="00571015">
        <w:rPr>
          <w:rFonts w:cstheme="minorHAnsi"/>
        </w:rPr>
        <w:t xml:space="preserve">establish or expand peer mentoring, </w:t>
      </w:r>
      <w:r>
        <w:rPr>
          <w:rFonts w:cstheme="minorHAnsi"/>
        </w:rPr>
        <w:t>with</w:t>
      </w:r>
      <w:r w:rsidRPr="00571015">
        <w:rPr>
          <w:rFonts w:cstheme="minorHAnsi"/>
        </w:rPr>
        <w:t xml:space="preserve"> strategies and target dates for training and implementation</w:t>
      </w:r>
      <w:r>
        <w:rPr>
          <w:rFonts w:cstheme="minorHAnsi"/>
        </w:rPr>
        <w:t xml:space="preserve">. The percentage of </w:t>
      </w:r>
      <w:r>
        <w:t>outcomes not started may be explained by the lag between completion of training or other activities and commencement or completion of services.</w:t>
      </w:r>
    </w:p>
    <w:p w14:paraId="3BA9E11A" w14:textId="77777777" w:rsidR="00D43BC9" w:rsidRDefault="00D43BC9" w:rsidP="00D43BC9">
      <w:r>
        <w:t>The below charts present results of two Peer Mentoring pilots supported by WINTAC’s intensive technical assistance in terms of capacity and consumers served.</w:t>
      </w:r>
    </w:p>
    <w:p w14:paraId="7F2D8665" w14:textId="77777777" w:rsidR="00D43BC9" w:rsidRDefault="00D43BC9" w:rsidP="00D43BC9">
      <w:pPr>
        <w:sectPr w:rsidR="00D43BC9" w:rsidSect="00623C47">
          <w:headerReference w:type="even" r:id="rId431"/>
          <w:headerReference w:type="default" r:id="rId432"/>
          <w:footerReference w:type="even" r:id="rId433"/>
          <w:footerReference w:type="default" r:id="rId434"/>
          <w:headerReference w:type="first" r:id="rId435"/>
          <w:footerReference w:type="first" r:id="rId436"/>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cols w:space="720"/>
          <w:docGrid w:linePitch="360"/>
        </w:sectPr>
      </w:pPr>
    </w:p>
    <w:p w14:paraId="1089DCBC" w14:textId="77777777" w:rsidR="00D43BC9" w:rsidRPr="00634824" w:rsidRDefault="00D43BC9" w:rsidP="00D43BC9">
      <w:pPr>
        <w:rPr>
          <w:sz w:val="20"/>
          <w:szCs w:val="20"/>
        </w:rPr>
      </w:pPr>
    </w:p>
    <w:p w14:paraId="13E5DE82" w14:textId="7926EBBD" w:rsidR="00D43BC9" w:rsidRDefault="00707B58" w:rsidP="007645F4">
      <w:pPr>
        <w:ind w:firstLine="0"/>
        <w:jc w:val="center"/>
      </w:pPr>
      <w:r w:rsidRPr="00634824">
        <w:rPr>
          <w:noProof/>
          <w:lang w:eastAsia="ko-KR"/>
        </w:rPr>
        <w:drawing>
          <wp:inline distT="0" distB="0" distL="0" distR="0" wp14:anchorId="652EAE1D" wp14:editId="4ADA837F">
            <wp:extent cx="2797908" cy="2495100"/>
            <wp:effectExtent l="19050" t="19050" r="21590" b="19685"/>
            <wp:docPr id="405" name="Picture 405" descr="Table showing activities and outcomes data for Peer Mentoring Pilots Pilot A: 2019-2020 Academic Year.  Capacity shows 3 mentors.  Consumers served are: 3 mentees, 37.75 cumulative contact hours, and 5.39 average contact hours per month.  Services received are in 2 sub-categories of contact type and activities in which clients engaged.  Contact type shows 64% face-to-face, 29% text, and 6% phone. Activities shows 43% study sessions, 31% social engagements like lunch, 25% liaison meetings.">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cstate="print">
                      <a:extLst>
                        <a:ext uri="{28A0092B-C50C-407E-A947-70E740481C1C}">
                          <a14:useLocalDpi xmlns:a14="http://schemas.microsoft.com/office/drawing/2010/main"/>
                        </a:ext>
                      </a:extLst>
                    </a:blip>
                    <a:stretch>
                      <a:fillRect/>
                    </a:stretch>
                  </pic:blipFill>
                  <pic:spPr>
                    <a:xfrm>
                      <a:off x="0" y="0"/>
                      <a:ext cx="2823869" cy="2518252"/>
                    </a:xfrm>
                    <a:prstGeom prst="rect">
                      <a:avLst/>
                    </a:prstGeom>
                    <a:ln>
                      <a:solidFill>
                        <a:schemeClr val="tx1"/>
                      </a:solidFill>
                    </a:ln>
                  </pic:spPr>
                </pic:pic>
              </a:graphicData>
            </a:graphic>
          </wp:inline>
        </w:drawing>
      </w:r>
    </w:p>
    <w:p w14:paraId="7495DC44" w14:textId="77777777" w:rsidR="00D43BC9" w:rsidRPr="00634824" w:rsidRDefault="00D43BC9" w:rsidP="00D43BC9">
      <w:pPr>
        <w:rPr>
          <w:sz w:val="20"/>
          <w:szCs w:val="20"/>
        </w:rPr>
      </w:pPr>
    </w:p>
    <w:p w14:paraId="34302200" w14:textId="20483EAA" w:rsidR="00D43BC9" w:rsidRDefault="00707B58" w:rsidP="007645F4">
      <w:pPr>
        <w:ind w:firstLine="0"/>
        <w:jc w:val="center"/>
      </w:pPr>
      <w:r w:rsidRPr="00634824">
        <w:rPr>
          <w:noProof/>
          <w:lang w:eastAsia="ko-KR"/>
        </w:rPr>
        <w:drawing>
          <wp:inline distT="0" distB="0" distL="0" distR="0" wp14:anchorId="0E98B4A9" wp14:editId="6CAF4AEB">
            <wp:extent cx="2914650" cy="1832271"/>
            <wp:effectExtent l="19050" t="19050" r="19050" b="15875"/>
            <wp:docPr id="406" name="Picture 406" descr="Table showing activities and outcomes data for Peer Mentoring Pilots Pilot B: 2019-2020 Academic Year.  Capacity shows 105 completed coordinator training, 41 CRPs with coordinators, 40 certified coordinators, 55 certified pending background checks, 27 certified coordinators with certified mentors to whom referrals can be made, and 10 mentors in training.  141 consumers have been served as mentees.">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2914650" cy="1832271"/>
                    </a:xfrm>
                    <a:prstGeom prst="rect">
                      <a:avLst/>
                    </a:prstGeom>
                    <a:ln>
                      <a:solidFill>
                        <a:schemeClr val="tx1"/>
                      </a:solidFill>
                    </a:ln>
                  </pic:spPr>
                </pic:pic>
              </a:graphicData>
            </a:graphic>
          </wp:inline>
        </w:drawing>
      </w:r>
    </w:p>
    <w:p w14:paraId="3595393C" w14:textId="77777777" w:rsidR="00D43BC9" w:rsidRDefault="00D43BC9" w:rsidP="00D43BC9">
      <w:r>
        <w:br w:type="page"/>
      </w:r>
    </w:p>
    <w:p w14:paraId="38C18777" w14:textId="77777777" w:rsidR="00D43BC9" w:rsidRDefault="00D43BC9" w:rsidP="00D43BC9">
      <w:pPr>
        <w:sectPr w:rsidR="00D43BC9" w:rsidSect="00623C47">
          <w:type w:val="continuous"/>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cols w:num="2" w:space="180"/>
          <w:docGrid w:linePitch="360"/>
        </w:sectPr>
      </w:pPr>
    </w:p>
    <w:p w14:paraId="7376C3CF" w14:textId="61C4565A" w:rsidR="00D43BC9" w:rsidRPr="007645F4" w:rsidRDefault="007645F4" w:rsidP="007645F4">
      <w:pPr>
        <w:pStyle w:val="Heading2"/>
      </w:pPr>
      <w:bookmarkStart w:id="171" w:name="_Toc28011461"/>
      <w:bookmarkStart w:id="172" w:name="_Toc41940280"/>
      <w:r w:rsidRPr="007645F4">
        <w:lastRenderedPageBreak/>
        <w:t>Peer Mentoring: Progress Narrative</w:t>
      </w:r>
      <w:bookmarkEnd w:id="171"/>
      <w:bookmarkEnd w:id="172"/>
    </w:p>
    <w:p w14:paraId="2E42C566" w14:textId="77777777" w:rsidR="00D43BC9" w:rsidRPr="007645F4" w:rsidRDefault="00D43BC9" w:rsidP="007645F4">
      <w:pPr>
        <w:pStyle w:val="Heading3"/>
      </w:pPr>
      <w:bookmarkStart w:id="173" w:name="_Toc41940281"/>
      <w:r w:rsidRPr="007645F4">
        <w:t>National Lens</w:t>
      </w:r>
      <w:bookmarkEnd w:id="173"/>
    </w:p>
    <w:p w14:paraId="529BB4CB" w14:textId="77777777" w:rsidR="00D43BC9" w:rsidRDefault="00D43BC9" w:rsidP="00D43BC9">
      <w:r w:rsidRPr="005D5750">
        <w:t>Research has shown that mentors, especially peer mentors, can positively affect the movement of individuals with disabilities towards self-sufficiency through the establishment of high expectations, support and empowerment (Olney, et al., 2014).</w:t>
      </w:r>
      <w:r>
        <w:t xml:space="preserve"> </w:t>
      </w:r>
      <w:r w:rsidRPr="009268E4">
        <w:t xml:space="preserve">During the past decade, mentoring has proliferated as an intervention strategy for addressing the needs that young people have for adult support and guidance throughout their development. Currently, more than 5,000 mentoring programs serve an estimated three million youths in the United States. Funding and growth imperatives continue to fuel the expansion of programs as well as the diversification of mentoring approaches and applications. </w:t>
      </w:r>
    </w:p>
    <w:p w14:paraId="3A73A850" w14:textId="77777777" w:rsidR="00D43BC9" w:rsidRDefault="00D43BC9" w:rsidP="00D43BC9">
      <w:r>
        <w:t xml:space="preserve">Studies point to mentoring as an intervention strategy that has the capacity to serve both promotion and prevention aims, with evidence of being able to affect multiple domains of youth functioning simultaneously and to improve selected outcomes of policy interest (e.g., academic achievement test scores). Of particular note is that diverse </w:t>
      </w:r>
      <w:r w:rsidRPr="009268E4">
        <w:t>program</w:t>
      </w:r>
      <w:r>
        <w:t xml:space="preserve"> modalities are found to have comparable levels of effectiveness, for example, engaging peers or adults as mentors and </w:t>
      </w:r>
      <w:r w:rsidRPr="009268E4">
        <w:t>cultivating one-to-one relationships</w:t>
      </w:r>
      <w:r>
        <w:t xml:space="preserve"> or using</w:t>
      </w:r>
      <w:r w:rsidRPr="009268E4">
        <w:t xml:space="preserve"> group formats.</w:t>
      </w:r>
      <w:r>
        <w:t xml:space="preserve"> As is the case with many practices being pilot tested under WINTAC, with peer mentoring programs, adhering to core practices deemed to be the essential elements of program quality is critical in order for program investments to yield optimal returns.</w:t>
      </w:r>
    </w:p>
    <w:p w14:paraId="020CD35E" w14:textId="77777777" w:rsidR="00D43BC9" w:rsidRPr="009268E4" w:rsidRDefault="00D43BC9" w:rsidP="00D43BC9">
      <w:r>
        <w:t>The passage of WIOA</w:t>
      </w:r>
      <w:r w:rsidRPr="00BD3C69">
        <w:rPr>
          <w:rFonts w:cstheme="minorHAnsi"/>
          <w:sz w:val="24"/>
          <w:szCs w:val="24"/>
        </w:rPr>
        <w:t xml:space="preserve"> </w:t>
      </w:r>
      <w:r w:rsidRPr="00BD3C69">
        <w:t xml:space="preserve">and the designation of a new set of required services for students with disabilities that included the use of “peer mentoring” as a delivery support for the provision of self-advocacy skills offered opportunities for the development and expansion of </w:t>
      </w:r>
      <w:r>
        <w:t xml:space="preserve">promising programs and practices which helped to shape WINTAC’s approach to intensive Peer Mentoring technical assistance. </w:t>
      </w:r>
    </w:p>
    <w:p w14:paraId="41156982" w14:textId="77777777" w:rsidR="00D43BC9" w:rsidRDefault="00D43BC9" w:rsidP="007645F4">
      <w:pPr>
        <w:pStyle w:val="Heading3"/>
      </w:pPr>
      <w:bookmarkStart w:id="174" w:name="_Toc41940282"/>
      <w:r w:rsidRPr="00035CD7">
        <w:t>WINTAC Lens</w:t>
      </w:r>
      <w:bookmarkEnd w:id="174"/>
    </w:p>
    <w:p w14:paraId="6D7D6815" w14:textId="77777777" w:rsidR="00D43BC9" w:rsidRDefault="00D43BC9" w:rsidP="00D43BC9">
      <w:r>
        <w:t>WINTAC’s work with interested states involves a pilot project approach to promoting</w:t>
      </w:r>
      <w:r w:rsidRPr="005D5750">
        <w:t xml:space="preserve"> development and use of peer mentoring networks for young people with disabilities to help them transition from secondary and postsecondary education to employment through the power and influence of high expectations, self-determination and the development of self-advocacy skills. The peer mentor</w:t>
      </w:r>
      <w:r>
        <w:t xml:space="preserve"> pilot</w:t>
      </w:r>
      <w:r w:rsidRPr="005D5750">
        <w:t xml:space="preserve">s </w:t>
      </w:r>
      <w:r>
        <w:t xml:space="preserve">are </w:t>
      </w:r>
      <w:r w:rsidRPr="005D5750">
        <w:t>demonstrat</w:t>
      </w:r>
      <w:r>
        <w:t>ing</w:t>
      </w:r>
      <w:r w:rsidRPr="005D5750">
        <w:t xml:space="preserve"> replicable model</w:t>
      </w:r>
      <w:r>
        <w:t>s</w:t>
      </w:r>
      <w:r w:rsidRPr="005D5750">
        <w:t xml:space="preserve"> </w:t>
      </w:r>
      <w:r>
        <w:t xml:space="preserve">thus far </w:t>
      </w:r>
      <w:r w:rsidRPr="005D5750">
        <w:t>underutilized by SVRAs</w:t>
      </w:r>
      <w:r>
        <w:t>. These models</w:t>
      </w:r>
      <w:r w:rsidRPr="005D5750">
        <w:t xml:space="preserve"> c</w:t>
      </w:r>
      <w:r>
        <w:t>ould</w:t>
      </w:r>
      <w:r w:rsidRPr="005D5750">
        <w:t xml:space="preserve"> significantly contribute to improvements in services and outcome</w:t>
      </w:r>
      <w:r>
        <w:t>s</w:t>
      </w:r>
      <w:r w:rsidRPr="005D5750">
        <w:t xml:space="preserve"> for young people with significant disabilities served by the workforce development system.</w:t>
      </w:r>
    </w:p>
    <w:p w14:paraId="7F0EE5E3" w14:textId="77777777" w:rsidR="00D43BC9" w:rsidRDefault="00D43BC9" w:rsidP="00D43BC9">
      <w:r w:rsidRPr="009E242D">
        <w:t>The Peer Mentor</w:t>
      </w:r>
      <w:r>
        <w:t>ing</w:t>
      </w:r>
      <w:r w:rsidRPr="009E242D">
        <w:t xml:space="preserve"> projects </w:t>
      </w:r>
      <w:r>
        <w:t xml:space="preserve">typically </w:t>
      </w:r>
      <w:r w:rsidRPr="009E242D">
        <w:t xml:space="preserve">include training for the mentors and the individuals </w:t>
      </w:r>
      <w:r>
        <w:t>who</w:t>
      </w:r>
      <w:r w:rsidRPr="009E242D">
        <w:t xml:space="preserve"> coordinate the mentoring activities. </w:t>
      </w:r>
      <w:r>
        <w:t>They are in various stages of implementation but can be grouped according to the nature of their ITAAs: Those that started early on (2017) and are expanding or intending to expand, and those that are under development and readying for initial launch.</w:t>
      </w:r>
    </w:p>
    <w:p w14:paraId="799623D5" w14:textId="77777777" w:rsidR="00D43BC9" w:rsidRDefault="00D43BC9" w:rsidP="00D43BC9">
      <w:r>
        <w:t xml:space="preserve">The team’s approach starts with discussions with senior management, identification of objectives, development of a management plan and initial training of all state and local staff and provider agencies. Additional supports include project design and implementation planning,  development and delivery of training curricula, and planning for expansion and sustainability. Implementation supports are focused on training of coordinators and mentors and initiating the state’s </w:t>
      </w:r>
      <w:r>
        <w:lastRenderedPageBreak/>
        <w:t>referral process.To ensure continuity of messaging, programming and quality, the Peer Mentoring team collaborates in these and other activities with WINTAC’s Pre-ETS team.</w:t>
      </w:r>
    </w:p>
    <w:p w14:paraId="0FE991A7" w14:textId="77777777" w:rsidR="00D43BC9" w:rsidRDefault="00D43BC9" w:rsidP="00D43BC9">
      <w:pPr>
        <w:rPr>
          <w:szCs w:val="14"/>
        </w:rPr>
      </w:pPr>
      <w:r w:rsidRPr="0010632C">
        <w:rPr>
          <w:b/>
          <w:i/>
        </w:rPr>
        <w:t>TA Progress</w:t>
      </w:r>
      <w:r>
        <w:rPr>
          <w:b/>
          <w:i/>
        </w:rPr>
        <w:t xml:space="preserve">: Activities and Outputs </w:t>
      </w:r>
      <w:r>
        <w:t>WINTAC is providing Peer Mentoring technical assistance in 7 states, involving 9 SVRAs.</w:t>
      </w:r>
      <w:r w:rsidRPr="0010632C">
        <w:rPr>
          <w:szCs w:val="14"/>
        </w:rPr>
        <w:t xml:space="preserve"> </w:t>
      </w:r>
      <w:r>
        <w:rPr>
          <w:szCs w:val="14"/>
        </w:rPr>
        <w:t>As noted in the above charts, nearly all activities have been 90-100% completed. Corresponding outputs likewise are nearing completion.</w:t>
      </w:r>
    </w:p>
    <w:p w14:paraId="0E855D1B" w14:textId="77777777" w:rsidR="00D43BC9" w:rsidRDefault="00D43BC9" w:rsidP="00D43BC9">
      <w:r>
        <w:rPr>
          <w:b/>
          <w:i/>
          <w:szCs w:val="14"/>
        </w:rPr>
        <w:t xml:space="preserve">TA Progress: Outcomes </w:t>
      </w:r>
      <w:r>
        <w:t>The goals of Peer Mentoring programs relate to providing self-advocacy skill development to ensure better retention outcomes for students in post-secondary education, and to help students develop networks and participate in the IEP process. As noted in the speedometer infographic above,</w:t>
      </w:r>
      <w:r w:rsidRPr="00E83748">
        <w:t xml:space="preserve"> </w:t>
      </w:r>
      <w:r>
        <w:t xml:space="preserve">over half of anticipated Peer Mentoring pilot outcomes are 75-100% achieved. Most of these outcomes involve production or updating of a written plan to </w:t>
      </w:r>
      <w:r w:rsidRPr="00571015">
        <w:rPr>
          <w:rFonts w:cstheme="minorHAnsi"/>
        </w:rPr>
        <w:t xml:space="preserve">establish or expand peer mentoring, </w:t>
      </w:r>
      <w:r>
        <w:rPr>
          <w:rFonts w:cstheme="minorHAnsi"/>
        </w:rPr>
        <w:t>with</w:t>
      </w:r>
      <w:r w:rsidRPr="00571015">
        <w:rPr>
          <w:rFonts w:cstheme="minorHAnsi"/>
        </w:rPr>
        <w:t xml:space="preserve"> strategies and target dates for training and implementation</w:t>
      </w:r>
      <w:r>
        <w:rPr>
          <w:rFonts w:cstheme="minorHAnsi"/>
        </w:rPr>
        <w:t xml:space="preserve">. The 44% of </w:t>
      </w:r>
      <w:r>
        <w:t>outcomes not started (especially student outcomes under PreETS) may be explained by the lag between completion of training or other activities and commencement or completion of services.</w:t>
      </w:r>
    </w:p>
    <w:p w14:paraId="2D519972" w14:textId="77777777" w:rsidR="00D43BC9" w:rsidRPr="008557D5" w:rsidRDefault="00D43BC9" w:rsidP="00D43BC9">
      <w:pPr>
        <w:rPr>
          <w:b/>
          <w:i/>
          <w:szCs w:val="14"/>
        </w:rPr>
      </w:pPr>
      <w:r>
        <w:t>The Peer Mentoring team maintains pilot-specific tracking sheets containing descriptive information as well as some capacity-building and service delivery data. From these dashboards it is possible to highlight the following data from the three states with established programs: A total of 102 coordinators have been trained and certified; 105 mentors have been certified and 246 mentees are being served. One state recorded 16 mentors having provided 160 hours of mentoring. Another state has 55 provider organizations available to deliver Peer Mentoring services. A third state conducted a statewide counselor orientation and participants included 40 university staff and statewide coordinators. Data for two individual pilots are presented above, with breakouts of service capacity and numbers served in 2019-2020.</w:t>
      </w:r>
    </w:p>
    <w:p w14:paraId="2E786C94" w14:textId="77777777" w:rsidR="00D43BC9" w:rsidRDefault="00D43BC9" w:rsidP="00D43BC9">
      <w:r>
        <w:rPr>
          <w:b/>
          <w:i/>
        </w:rPr>
        <w:t xml:space="preserve">Challenges Overcome </w:t>
      </w:r>
      <w:r>
        <w:t>Most SVRAs implementing pilots in this area were encountering challenges in meeting the Pre-ETS service delivery requirements and sought Peer Mentoring programming as a means of meeting this challenge. Among the barriers encountered as they initiated and implemented pilots were (1) staff inexperience with Peer Mentoring (2) competing workload priorities for leadership and staff and (3) establishing stable and sustainable provider capacity. The training and structural supports provided in the pilot model are directed at addressing these challenges as implementation progresses. The key facilitators for the most successful pilots were (1) ongoing commitment of senior staff and (2) clear designation of project staff. These factors allowed pilots to meet their primary objectives and begin expansion to additional organizations and partners.</w:t>
      </w:r>
    </w:p>
    <w:p w14:paraId="5CEA2C27" w14:textId="77777777" w:rsidR="00D43BC9" w:rsidRPr="00634276" w:rsidRDefault="00D43BC9" w:rsidP="00D43BC9">
      <w:pPr>
        <w:rPr>
          <w:rFonts w:cstheme="minorHAnsi"/>
        </w:rPr>
      </w:pPr>
      <w:r>
        <w:rPr>
          <w:rFonts w:cstheme="minorHAnsi"/>
          <w:b/>
          <w:i/>
        </w:rPr>
        <w:t>COVID-19 Accommodations</w:t>
      </w:r>
      <w:r>
        <w:rPr>
          <w:rFonts w:cstheme="minorHAnsi"/>
        </w:rPr>
        <w:t xml:space="preserve"> As a result of the pandemic, in particular the unpredictability of the school year and logistics, some SVRAs are experiencing delays in their ability to launch the newer pilots. Programs already in place have seen a drop in mentoring contact hours and are having to consider alternatives to in-person trainings. One state has already arranged to use a distance learning platform instead of “drive-in” training and is discovering the opportunities this format may create in the longer term, including expanded availability of training and expedited certification, offering reduced wait time for CRP staff expansion. They are also looking at the prospects of conducting virtual mentoring, for example using web-based meeting platforms. WINTAC and local partners will track and document these methods to examine their potential for broader and longer-term use.</w:t>
      </w:r>
    </w:p>
    <w:p w14:paraId="1EACAB76" w14:textId="77777777" w:rsidR="00D43BC9" w:rsidRPr="008557D5" w:rsidRDefault="00D43BC9" w:rsidP="00D43BC9">
      <w:r>
        <w:rPr>
          <w:b/>
          <w:i/>
        </w:rPr>
        <w:lastRenderedPageBreak/>
        <w:t>Sustainability</w:t>
      </w:r>
      <w:r>
        <w:t xml:space="preserve"> WINTAC’s technical assistance strategies increasingly focus on creating resources and capacity that will sustain peer mentoring programs beyond the life of the pilot. This has involved reinforcing the importance of early identification of leadership, staff training and other program sustainability measures. The team also continues to emphasize and support incorporating peer mentoring into Pre-Employment Transition Services.</w:t>
      </w:r>
    </w:p>
    <w:p w14:paraId="613A98CB" w14:textId="3D770B22" w:rsidR="00D43BC9" w:rsidRDefault="00D43BC9" w:rsidP="00D43BC9">
      <w:r>
        <w:rPr>
          <w:b/>
          <w:i/>
        </w:rPr>
        <w:t xml:space="preserve">Changes Made </w:t>
      </w:r>
      <w:r>
        <w:t xml:space="preserve">The peer mentoring pilots are in various stages of implementation, ranging from ready-to-launch/relaunch to active expansion, some with preliminary capacity and consumer outcomes. One SVRA in particular continues active implementation of peer mentoring as a PreETS enhanced service and is actively engaged in expansion of its post secondary pilot to improve outcomes and academic retention. With WINTAC support they have drafted a new fee schedule, conducted additional coordinator trainings and scheduled a referral training to heighten readiness for an anticipated uptick in demand. Active CRPs continue to participate in the in-state CoP and show ongoing interest in training and certification. As of the end of March 2020 they were developing mitigation strategies and creative alternatives to business as usual in light of the changes brought on by COVID-19. </w:t>
      </w:r>
    </w:p>
    <w:p w14:paraId="2004962A" w14:textId="77777777" w:rsidR="00D43BC9" w:rsidRDefault="00D43BC9" w:rsidP="00D43BC9">
      <w:pPr>
        <w:rPr>
          <w:rFonts w:cstheme="minorHAnsi"/>
        </w:rPr>
      </w:pPr>
      <w:r>
        <w:rPr>
          <w:b/>
          <w:i/>
        </w:rPr>
        <w:t xml:space="preserve">Evaluation Recommendations </w:t>
      </w:r>
      <w:r>
        <w:t xml:space="preserve">The Evaluation Team recommends that dashboards similar to those used for the Customized Employment pilots be designed for the Peer Mentoring pilot. This would permit activities and outcomes to be more uniformly and routinely tracked and reported, expanding on the data elements currently being recorded by the TA Team. Similar to our recommendations to the Customized Employment team, we would suggest that states not already doing so </w:t>
      </w:r>
      <w:r>
        <w:rPr>
          <w:rFonts w:cstheme="minorHAnsi"/>
        </w:rPr>
        <w:t xml:space="preserve">collaborate with WINTAC </w:t>
      </w:r>
      <w:r w:rsidRPr="0093080F">
        <w:rPr>
          <w:rFonts w:cstheme="minorHAnsi"/>
        </w:rPr>
        <w:t>to articulate targets and pre-intervention baselines, and ensure structures and processes to track and periodically review and report results.</w:t>
      </w:r>
      <w:r>
        <w:rPr>
          <w:rFonts w:cstheme="minorHAnsi"/>
        </w:rPr>
        <w:t xml:space="preserve"> Sustainability plans for the remainder of Year 5 should </w:t>
      </w:r>
      <w:r w:rsidRPr="0093080F">
        <w:rPr>
          <w:rFonts w:cstheme="minorHAnsi"/>
        </w:rPr>
        <w:t xml:space="preserve">designate an evaluation or data management lead for their pilot, </w:t>
      </w:r>
      <w:r>
        <w:rPr>
          <w:rFonts w:cstheme="minorHAnsi"/>
        </w:rPr>
        <w:t>contain</w:t>
      </w:r>
      <w:r w:rsidRPr="0093080F">
        <w:rPr>
          <w:rFonts w:cstheme="minorHAnsi"/>
        </w:rPr>
        <w:t xml:space="preserve"> a modest evaluation plan and protocols, and identify the time and resources needed to help answer basic questions about the pilot’s impact.</w:t>
      </w:r>
    </w:p>
    <w:p w14:paraId="6B018ABE" w14:textId="4431B008" w:rsidR="00D43BC9" w:rsidRPr="000A6F2C" w:rsidRDefault="00D43BC9" w:rsidP="00D43BC9">
      <w:pPr>
        <w:rPr>
          <w:rFonts w:cstheme="minorHAnsi"/>
        </w:rPr>
      </w:pPr>
      <w:r>
        <w:rPr>
          <w:rFonts w:cstheme="minorHAnsi"/>
        </w:rPr>
        <w:t xml:space="preserve">As observed with other Topic areas, the WINTAC team has anecdotal evidence of the systems and SVRA level </w:t>
      </w:r>
      <w:r w:rsidRPr="0054596F">
        <w:t>impact</w:t>
      </w:r>
      <w:r>
        <w:t>s of their work</w:t>
      </w:r>
      <w:r>
        <w:rPr>
          <w:rFonts w:cstheme="minorHAnsi"/>
        </w:rPr>
        <w:t>, but it is advisable to develop the capability to measure these gains to the extent possible. In particular, well documented capacity and consumer outcomes will provide evidence of peer mentoring’s success and guidance for future programs in promoting outcomes for young people with disabilities.</w:t>
      </w:r>
    </w:p>
    <w:p w14:paraId="5A8B76C4" w14:textId="77777777" w:rsidR="00623C47" w:rsidRDefault="00623C47" w:rsidP="00581F18">
      <w:pPr>
        <w:ind w:firstLine="0"/>
        <w:sectPr w:rsidR="00623C47" w:rsidSect="00623C47">
          <w:type w:val="continuous"/>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cols w:space="720"/>
          <w:docGrid w:linePitch="360"/>
        </w:sectPr>
      </w:pPr>
    </w:p>
    <w:p w14:paraId="00C595EC" w14:textId="6D504057" w:rsidR="00623C47" w:rsidRDefault="00623C47" w:rsidP="0048500F">
      <w:pPr>
        <w:pStyle w:val="Heading1"/>
        <w:rPr>
          <w:noProof/>
        </w:rPr>
      </w:pPr>
      <w:bookmarkStart w:id="175" w:name="_Toc41940283"/>
      <w:r>
        <w:lastRenderedPageBreak/>
        <w:t>J</w:t>
      </w:r>
      <w:r w:rsidRPr="009E708E">
        <w:t>. BUSINESS ENGAGEMENT</w:t>
      </w:r>
      <w:bookmarkEnd w:id="175"/>
    </w:p>
    <w:p w14:paraId="37152D91" w14:textId="77777777" w:rsidR="00623C47" w:rsidRDefault="00623C47" w:rsidP="00623C47">
      <w:pPr>
        <w:ind w:hanging="360"/>
      </w:pPr>
      <w:r>
        <w:rPr>
          <w:noProof/>
          <w:lang w:eastAsia="ko-KR"/>
        </w:rPr>
        <w:drawing>
          <wp:inline distT="0" distB="0" distL="0" distR="0" wp14:anchorId="2DEF769B" wp14:editId="56A5EDCD">
            <wp:extent cx="5943600" cy="4394200"/>
            <wp:effectExtent l="304800" t="304800" r="323850" b="330200"/>
            <wp:docPr id="409" name="Picture 409" descr="Map of Business Engagement  ITAAs covering the states and territories of: AK, Am.Samoa, AZ, CA, CNMI, DE, FL, GA, Guam, HI, IN, IA, KY, LA, MD, MA, MI, MN, MS, MT, NV, NH, NC, PR, RI, SC, UT, Virg.Isl., 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E-ETS ITAA MAP Y4.png"/>
                    <pic:cNvPicPr/>
                  </pic:nvPicPr>
                  <pic:blipFill>
                    <a:blip r:embed="rId439" cstate="print">
                      <a:extLst>
                        <a:ext uri="{28A0092B-C50C-407E-A947-70E740481C1C}">
                          <a14:useLocalDpi xmlns:a14="http://schemas.microsoft.com/office/drawing/2010/main"/>
                        </a:ext>
                      </a:extLst>
                    </a:blip>
                    <a:stretch>
                      <a:fillRect/>
                    </a:stretch>
                  </pic:blipFill>
                  <pic:spPr>
                    <a:xfrm>
                      <a:off x="0" y="0"/>
                      <a:ext cx="5943600" cy="43942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4281DB4F" w14:textId="77777777" w:rsidR="00623C47" w:rsidRDefault="00623C47" w:rsidP="00623C47"/>
    <w:p w14:paraId="0AC73D85" w14:textId="77777777" w:rsidR="00623C47" w:rsidRDefault="00623C47" w:rsidP="00623C47">
      <w:pPr>
        <w:sectPr w:rsidR="00623C47" w:rsidSect="00EC24EB">
          <w:headerReference w:type="even" r:id="rId440"/>
          <w:headerReference w:type="default" r:id="rId441"/>
          <w:footerReference w:type="even" r:id="rId442"/>
          <w:footerReference w:type="default" r:id="rId443"/>
          <w:headerReference w:type="first" r:id="rId444"/>
          <w:footerReference w:type="first" r:id="rId445"/>
          <w:pgSz w:w="12240" w:h="15840" w:code="1"/>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cols w:space="720"/>
          <w:vAlign w:val="center"/>
          <w:docGrid w:linePitch="360"/>
        </w:sectPr>
      </w:pPr>
    </w:p>
    <w:p w14:paraId="188FC64D" w14:textId="77777777" w:rsidR="00623C47" w:rsidRPr="00220867" w:rsidRDefault="00623C47" w:rsidP="00623C47">
      <w:pPr>
        <w:pStyle w:val="Heading2"/>
        <w:pBdr>
          <w:bottom w:val="single" w:sz="24" w:space="1" w:color="auto"/>
        </w:pBdr>
        <w:shd w:val="clear" w:color="auto" w:fill="B4C6E7" w:themeFill="accent1" w:themeFillTint="66"/>
        <w:rPr>
          <w:szCs w:val="36"/>
        </w:rPr>
      </w:pPr>
      <w:bookmarkStart w:id="176" w:name="_Toc41940284"/>
      <w:r>
        <w:rPr>
          <w:szCs w:val="36"/>
        </w:rPr>
        <w:lastRenderedPageBreak/>
        <w:t>Business Engagement</w:t>
      </w:r>
      <w:r w:rsidRPr="00220867">
        <w:rPr>
          <w:szCs w:val="36"/>
        </w:rPr>
        <w:t xml:space="preserve"> – ITA Logic Model</w:t>
      </w:r>
      <w:bookmarkEnd w:id="176"/>
    </w:p>
    <w:tbl>
      <w:tblPr>
        <w:tblW w:w="5000" w:type="pct"/>
        <w:tblLook w:val="04A0" w:firstRow="1" w:lastRow="0" w:firstColumn="1" w:lastColumn="0" w:noHBand="0" w:noVBand="1"/>
      </w:tblPr>
      <w:tblGrid>
        <w:gridCol w:w="5499"/>
        <w:gridCol w:w="5291"/>
      </w:tblGrid>
      <w:tr w:rsidR="00623C47" w:rsidRPr="00206792" w14:paraId="0AD8FD67" w14:textId="77777777" w:rsidTr="00623C47">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EB7272D" w14:textId="77777777" w:rsidR="00623C47" w:rsidRPr="00206792" w:rsidRDefault="00623C47" w:rsidP="00623C47">
            <w:pPr>
              <w:spacing w:after="0" w:line="240" w:lineRule="auto"/>
              <w:jc w:val="center"/>
              <w:rPr>
                <w:b/>
                <w:bCs/>
                <w:color w:val="000000"/>
              </w:rPr>
            </w:pPr>
            <w:r w:rsidRPr="00206792">
              <w:rPr>
                <w:b/>
                <w:bCs/>
                <w:color w:val="000000"/>
              </w:rPr>
              <w:t>Activity</w:t>
            </w:r>
          </w:p>
        </w:tc>
        <w:tc>
          <w:tcPr>
            <w:tcW w:w="2452"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3366D3D2" w14:textId="77777777" w:rsidR="00623C47" w:rsidRPr="00206792" w:rsidRDefault="00623C47" w:rsidP="00623C47">
            <w:pPr>
              <w:spacing w:after="0" w:line="240" w:lineRule="auto"/>
              <w:jc w:val="center"/>
              <w:rPr>
                <w:b/>
                <w:bCs/>
                <w:color w:val="000000"/>
              </w:rPr>
            </w:pPr>
            <w:r w:rsidRPr="00206792">
              <w:rPr>
                <w:b/>
                <w:bCs/>
                <w:color w:val="000000"/>
              </w:rPr>
              <w:t>Output</w:t>
            </w:r>
          </w:p>
        </w:tc>
      </w:tr>
      <w:tr w:rsidR="00623C47" w:rsidRPr="00206792" w14:paraId="2D3CBCCE" w14:textId="77777777" w:rsidTr="00623C47">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417E114A" w14:textId="77777777" w:rsidR="00623C47" w:rsidRPr="00206792" w:rsidRDefault="00623C47" w:rsidP="00C575C8">
            <w:pPr>
              <w:pStyle w:val="ListParagraph"/>
              <w:numPr>
                <w:ilvl w:val="0"/>
                <w:numId w:val="85"/>
              </w:numPr>
              <w:spacing w:after="0" w:line="240" w:lineRule="auto"/>
            </w:pPr>
            <w:r w:rsidRPr="00206792">
              <w:t>Review existing documentation, policies, procedures and internal controls for Pre-ETS, including the tracking and reporting of Pre-ETS</w:t>
            </w:r>
          </w:p>
        </w:tc>
        <w:tc>
          <w:tcPr>
            <w:tcW w:w="2452" w:type="pct"/>
            <w:tcBorders>
              <w:top w:val="nil"/>
              <w:left w:val="nil"/>
              <w:bottom w:val="single" w:sz="4" w:space="0" w:color="000000"/>
              <w:right w:val="single" w:sz="4" w:space="0" w:color="000000"/>
            </w:tcBorders>
            <w:shd w:val="clear" w:color="auto" w:fill="auto"/>
            <w:vAlign w:val="center"/>
            <w:hideMark/>
          </w:tcPr>
          <w:p w14:paraId="1C6A188E" w14:textId="77777777" w:rsidR="00623C47" w:rsidRPr="00206792" w:rsidRDefault="00623C47" w:rsidP="00C575C8">
            <w:pPr>
              <w:pStyle w:val="ListParagraph"/>
              <w:numPr>
                <w:ilvl w:val="0"/>
                <w:numId w:val="86"/>
              </w:numPr>
              <w:spacing w:after="0" w:line="240" w:lineRule="auto"/>
              <w:ind w:left="331" w:hanging="331"/>
            </w:pPr>
            <w:r w:rsidRPr="00206792">
              <w:t>Documented feedback on documentation, policies, procedures and internal controls for Pre-ETS, including the tracking and reporting of Pre-ETS</w:t>
            </w:r>
          </w:p>
        </w:tc>
      </w:tr>
      <w:tr w:rsidR="00623C47" w:rsidRPr="00206792" w14:paraId="2731F546" w14:textId="77777777" w:rsidTr="00623C47">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0E23EDAD" w14:textId="77777777" w:rsidR="00623C47" w:rsidRPr="00206792" w:rsidRDefault="00623C47" w:rsidP="00C575C8">
            <w:pPr>
              <w:pStyle w:val="ListParagraph"/>
              <w:numPr>
                <w:ilvl w:val="0"/>
                <w:numId w:val="85"/>
              </w:numPr>
              <w:spacing w:after="0" w:line="240" w:lineRule="auto"/>
            </w:pPr>
            <w:r w:rsidRPr="00206792">
              <w:t>Assist in the development of new or revised policies and procedures and internal controls for Pre-ETS including the expenditures, tracking and reporting of Pre-ETS</w:t>
            </w:r>
          </w:p>
        </w:tc>
        <w:tc>
          <w:tcPr>
            <w:tcW w:w="2452" w:type="pct"/>
            <w:tcBorders>
              <w:top w:val="nil"/>
              <w:left w:val="nil"/>
              <w:bottom w:val="single" w:sz="4" w:space="0" w:color="000000"/>
              <w:right w:val="single" w:sz="4" w:space="0" w:color="000000"/>
            </w:tcBorders>
            <w:shd w:val="clear" w:color="auto" w:fill="auto"/>
            <w:vAlign w:val="center"/>
            <w:hideMark/>
          </w:tcPr>
          <w:p w14:paraId="1361BA3A" w14:textId="77777777" w:rsidR="00623C47" w:rsidRPr="00206792" w:rsidRDefault="00623C47" w:rsidP="00C575C8">
            <w:pPr>
              <w:pStyle w:val="ListParagraph"/>
              <w:numPr>
                <w:ilvl w:val="0"/>
                <w:numId w:val="86"/>
              </w:numPr>
              <w:spacing w:after="0" w:line="240" w:lineRule="auto"/>
              <w:ind w:left="340"/>
            </w:pPr>
            <w:r w:rsidRPr="00206792">
              <w:t>Draft of new and/or revised policies and procedures and internal controls for Pre-ETS</w:t>
            </w:r>
          </w:p>
        </w:tc>
      </w:tr>
      <w:tr w:rsidR="00623C47" w:rsidRPr="00206792" w14:paraId="301718E4" w14:textId="77777777" w:rsidTr="00623C47">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429B4CBB" w14:textId="77777777" w:rsidR="00623C47" w:rsidRPr="00206792" w:rsidRDefault="00623C47" w:rsidP="00C575C8">
            <w:pPr>
              <w:pStyle w:val="ListParagraph"/>
              <w:numPr>
                <w:ilvl w:val="0"/>
                <w:numId w:val="85"/>
              </w:numPr>
              <w:spacing w:after="0" w:line="240" w:lineRule="auto"/>
            </w:pPr>
            <w:r w:rsidRPr="00206792">
              <w:t>Review existing expenditures allocated to the reserved funds and determine if they are allowable costs</w:t>
            </w:r>
          </w:p>
        </w:tc>
        <w:tc>
          <w:tcPr>
            <w:tcW w:w="2452" w:type="pct"/>
            <w:tcBorders>
              <w:top w:val="nil"/>
              <w:left w:val="nil"/>
              <w:bottom w:val="single" w:sz="4" w:space="0" w:color="000000"/>
              <w:right w:val="single" w:sz="4" w:space="0" w:color="000000"/>
            </w:tcBorders>
            <w:shd w:val="clear" w:color="auto" w:fill="auto"/>
            <w:vAlign w:val="center"/>
            <w:hideMark/>
          </w:tcPr>
          <w:p w14:paraId="5ADB74A7" w14:textId="77777777" w:rsidR="00623C47" w:rsidRPr="00206792" w:rsidRDefault="00623C47" w:rsidP="00C575C8">
            <w:pPr>
              <w:pStyle w:val="ListParagraph"/>
              <w:numPr>
                <w:ilvl w:val="0"/>
                <w:numId w:val="86"/>
              </w:numPr>
              <w:spacing w:after="0" w:line="240" w:lineRule="auto"/>
              <w:ind w:left="340"/>
            </w:pPr>
            <w:r w:rsidRPr="00206792">
              <w:t>Documented feedback on allowable expenditures</w:t>
            </w:r>
          </w:p>
        </w:tc>
      </w:tr>
      <w:tr w:rsidR="00623C47" w:rsidRPr="00206792" w14:paraId="1261194C" w14:textId="77777777" w:rsidTr="00623C47">
        <w:trPr>
          <w:trHeight w:val="20"/>
        </w:trPr>
        <w:tc>
          <w:tcPr>
            <w:tcW w:w="2548" w:type="pct"/>
            <w:tcBorders>
              <w:top w:val="nil"/>
              <w:left w:val="single" w:sz="4" w:space="0" w:color="000000"/>
              <w:bottom w:val="nil"/>
              <w:right w:val="single" w:sz="4" w:space="0" w:color="000000"/>
            </w:tcBorders>
            <w:shd w:val="clear" w:color="auto" w:fill="auto"/>
            <w:vAlign w:val="center"/>
            <w:hideMark/>
          </w:tcPr>
          <w:p w14:paraId="01229DBA" w14:textId="77777777" w:rsidR="00623C47" w:rsidRPr="00206792" w:rsidRDefault="00623C47" w:rsidP="00C575C8">
            <w:pPr>
              <w:pStyle w:val="ListParagraph"/>
              <w:numPr>
                <w:ilvl w:val="0"/>
                <w:numId w:val="85"/>
              </w:numPr>
              <w:spacing w:after="0" w:line="240" w:lineRule="auto"/>
            </w:pPr>
            <w:r w:rsidRPr="00206792">
              <w:t>Assist the agency in the development of processes and internal controls for accurate financial reporting of Pre-ETS</w:t>
            </w:r>
          </w:p>
        </w:tc>
        <w:tc>
          <w:tcPr>
            <w:tcW w:w="2452" w:type="pct"/>
            <w:tcBorders>
              <w:top w:val="nil"/>
              <w:left w:val="nil"/>
              <w:bottom w:val="nil"/>
              <w:right w:val="single" w:sz="4" w:space="0" w:color="000000"/>
            </w:tcBorders>
            <w:shd w:val="clear" w:color="auto" w:fill="auto"/>
            <w:vAlign w:val="center"/>
            <w:hideMark/>
          </w:tcPr>
          <w:p w14:paraId="28099335" w14:textId="77777777" w:rsidR="00623C47" w:rsidRPr="00206792" w:rsidRDefault="00623C47" w:rsidP="00C575C8">
            <w:pPr>
              <w:pStyle w:val="ListParagraph"/>
              <w:numPr>
                <w:ilvl w:val="0"/>
                <w:numId w:val="86"/>
              </w:numPr>
              <w:spacing w:after="0" w:line="240" w:lineRule="auto"/>
              <w:ind w:left="340"/>
            </w:pPr>
            <w:r w:rsidRPr="00206792">
              <w:t>Draft of written processes and internal controls provided to the agency</w:t>
            </w:r>
          </w:p>
        </w:tc>
      </w:tr>
      <w:tr w:rsidR="00623C47" w:rsidRPr="00206792" w14:paraId="668AC12B" w14:textId="77777777" w:rsidTr="00623C47">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142AB3" w14:textId="77777777" w:rsidR="00623C47" w:rsidRPr="00206792" w:rsidRDefault="00623C47" w:rsidP="00C575C8">
            <w:pPr>
              <w:pStyle w:val="ListParagraph"/>
              <w:numPr>
                <w:ilvl w:val="0"/>
                <w:numId w:val="85"/>
              </w:numPr>
              <w:spacing w:after="0" w:line="240" w:lineRule="auto"/>
            </w:pPr>
            <w:r w:rsidRPr="00206792">
              <w:t>Review current interagency agreement between VR and SEA that encompasses the required elements in WIOA</w:t>
            </w:r>
          </w:p>
        </w:tc>
        <w:tc>
          <w:tcPr>
            <w:tcW w:w="2452" w:type="pct"/>
            <w:tcBorders>
              <w:top w:val="single" w:sz="4" w:space="0" w:color="auto"/>
              <w:left w:val="nil"/>
              <w:bottom w:val="single" w:sz="4" w:space="0" w:color="auto"/>
              <w:right w:val="single" w:sz="4" w:space="0" w:color="auto"/>
            </w:tcBorders>
            <w:shd w:val="clear" w:color="auto" w:fill="auto"/>
            <w:vAlign w:val="center"/>
            <w:hideMark/>
          </w:tcPr>
          <w:p w14:paraId="4AB6EC0E" w14:textId="77777777" w:rsidR="00623C47" w:rsidRPr="00206792" w:rsidRDefault="00623C47" w:rsidP="00C575C8">
            <w:pPr>
              <w:pStyle w:val="ListParagraph"/>
              <w:numPr>
                <w:ilvl w:val="0"/>
                <w:numId w:val="86"/>
              </w:numPr>
              <w:spacing w:after="0" w:line="240" w:lineRule="auto"/>
              <w:ind w:left="340"/>
            </w:pPr>
            <w:r w:rsidRPr="00206792">
              <w:t>Documented feedback on interagency agreement</w:t>
            </w:r>
          </w:p>
        </w:tc>
      </w:tr>
      <w:tr w:rsidR="00623C47" w:rsidRPr="00206792" w14:paraId="131C4CA0" w14:textId="77777777" w:rsidTr="00623C47">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217C50" w14:textId="77777777" w:rsidR="00623C47" w:rsidRPr="00206792" w:rsidRDefault="00623C47" w:rsidP="00C575C8">
            <w:pPr>
              <w:pStyle w:val="ListParagraph"/>
              <w:numPr>
                <w:ilvl w:val="0"/>
                <w:numId w:val="85"/>
              </w:numPr>
              <w:spacing w:after="0" w:line="240" w:lineRule="auto"/>
            </w:pPr>
            <w:r w:rsidRPr="00206792">
              <w:t xml:space="preserve">Assist in the development of an updated interagency agreement between VR and SEA that encompasses the required elements in WIOA to use as a model for LEA agreements </w:t>
            </w: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AB0645" w14:textId="77777777" w:rsidR="00623C47" w:rsidRPr="00206792" w:rsidRDefault="00623C47" w:rsidP="00C575C8">
            <w:pPr>
              <w:pStyle w:val="ListParagraph"/>
              <w:numPr>
                <w:ilvl w:val="0"/>
                <w:numId w:val="86"/>
              </w:numPr>
              <w:spacing w:after="0" w:line="240" w:lineRule="auto"/>
              <w:ind w:left="340"/>
            </w:pPr>
            <w:r w:rsidRPr="00206792">
              <w:t>Draft updated agreement with recommendations</w:t>
            </w:r>
          </w:p>
        </w:tc>
      </w:tr>
      <w:tr w:rsidR="00623C47" w:rsidRPr="00206792" w14:paraId="545BE4A8" w14:textId="77777777" w:rsidTr="00623C47">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tcPr>
          <w:p w14:paraId="3FB45B82" w14:textId="77777777" w:rsidR="00623C47" w:rsidRPr="00206792" w:rsidRDefault="00623C47" w:rsidP="00C575C8">
            <w:pPr>
              <w:pStyle w:val="ListParagraph"/>
              <w:numPr>
                <w:ilvl w:val="0"/>
                <w:numId w:val="85"/>
              </w:numPr>
              <w:spacing w:after="0" w:line="240" w:lineRule="auto"/>
              <w:rPr>
                <w:color w:val="000000"/>
              </w:rPr>
            </w:pPr>
            <w:r w:rsidRPr="00206792">
              <w:t>Assist agency in demonstrating that they have met the requirement for the provision of pre-employment transition services required and coordination activities before assigning authorized services to reserved funds</w:t>
            </w: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tcPr>
          <w:p w14:paraId="05276BB6" w14:textId="77777777" w:rsidR="00623C47" w:rsidRPr="00206792" w:rsidRDefault="00623C47" w:rsidP="00C575C8">
            <w:pPr>
              <w:pStyle w:val="ListParagraph"/>
              <w:numPr>
                <w:ilvl w:val="0"/>
                <w:numId w:val="86"/>
              </w:numPr>
              <w:spacing w:after="0" w:line="240" w:lineRule="auto"/>
              <w:ind w:left="340"/>
              <w:rPr>
                <w:color w:val="000000"/>
              </w:rPr>
            </w:pPr>
            <w:r w:rsidRPr="00206792">
              <w:t>Completion of RSA approved model of movement from required to authorized activities</w:t>
            </w:r>
          </w:p>
        </w:tc>
      </w:tr>
      <w:tr w:rsidR="00623C47" w:rsidRPr="00206792" w14:paraId="7575A736" w14:textId="77777777" w:rsidTr="00623C47">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tcPr>
          <w:p w14:paraId="645FDC11" w14:textId="77777777" w:rsidR="00623C47" w:rsidRPr="00206792" w:rsidRDefault="00623C47" w:rsidP="00C575C8">
            <w:pPr>
              <w:pStyle w:val="ListParagraph"/>
              <w:numPr>
                <w:ilvl w:val="0"/>
                <w:numId w:val="85"/>
              </w:numPr>
              <w:spacing w:after="0" w:line="240" w:lineRule="auto"/>
              <w:rPr>
                <w:color w:val="000000"/>
              </w:rPr>
            </w:pPr>
            <w:r w:rsidRPr="00206792">
              <w:t>Provide training to VR staff regarding Pre-ETS and S. 113 of the Act as amended by WIOA</w:t>
            </w: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tcPr>
          <w:p w14:paraId="4C8A6C9D" w14:textId="77777777" w:rsidR="00623C47" w:rsidRPr="00206792" w:rsidRDefault="00623C47" w:rsidP="00C575C8">
            <w:pPr>
              <w:pStyle w:val="ListParagraph"/>
              <w:numPr>
                <w:ilvl w:val="0"/>
                <w:numId w:val="86"/>
              </w:numPr>
              <w:spacing w:after="0" w:line="240" w:lineRule="auto"/>
              <w:ind w:left="340"/>
              <w:rPr>
                <w:color w:val="000000"/>
              </w:rPr>
            </w:pPr>
            <w:r w:rsidRPr="00206792">
              <w:t>The number of individuals that complete the training(s).</w:t>
            </w:r>
          </w:p>
        </w:tc>
      </w:tr>
      <w:tr w:rsidR="00623C47" w:rsidRPr="00206792" w14:paraId="17CB87F6" w14:textId="77777777" w:rsidTr="00623C47">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tcPr>
          <w:p w14:paraId="3D9CBD33" w14:textId="77777777" w:rsidR="00623C47" w:rsidRPr="00206792" w:rsidRDefault="00623C47" w:rsidP="00C575C8">
            <w:pPr>
              <w:pStyle w:val="ListParagraph"/>
              <w:numPr>
                <w:ilvl w:val="0"/>
                <w:numId w:val="85"/>
              </w:numPr>
              <w:spacing w:after="0" w:line="240" w:lineRule="auto"/>
              <w:rPr>
                <w:color w:val="000000"/>
              </w:rPr>
            </w:pPr>
            <w:r w:rsidRPr="00206792">
              <w:t>Provide training to VR staff regarding Agency’s updated policies and procedures related to Pre-ETS</w:t>
            </w: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tcPr>
          <w:p w14:paraId="41132DA9" w14:textId="77777777" w:rsidR="00623C47" w:rsidRPr="00206792" w:rsidRDefault="00623C47" w:rsidP="00C575C8">
            <w:pPr>
              <w:pStyle w:val="ListParagraph"/>
              <w:numPr>
                <w:ilvl w:val="0"/>
                <w:numId w:val="86"/>
              </w:numPr>
              <w:spacing w:after="0" w:line="240" w:lineRule="auto"/>
              <w:ind w:left="340"/>
              <w:rPr>
                <w:color w:val="000000"/>
              </w:rPr>
            </w:pPr>
            <w:r w:rsidRPr="00206792">
              <w:t>The number of individuals that complete the training(s).</w:t>
            </w:r>
          </w:p>
        </w:tc>
      </w:tr>
      <w:tr w:rsidR="00623C47" w:rsidRPr="00206792" w14:paraId="0D54EF70" w14:textId="77777777" w:rsidTr="00623C47">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tcPr>
          <w:p w14:paraId="762B9A7E" w14:textId="77777777" w:rsidR="00623C47" w:rsidRPr="00206792" w:rsidRDefault="00623C47" w:rsidP="00C575C8">
            <w:pPr>
              <w:pStyle w:val="ListParagraph"/>
              <w:numPr>
                <w:ilvl w:val="0"/>
                <w:numId w:val="85"/>
              </w:numPr>
              <w:spacing w:after="0" w:line="240" w:lineRule="auto"/>
              <w:rPr>
                <w:color w:val="000000"/>
              </w:rPr>
            </w:pPr>
            <w:r w:rsidRPr="00206792">
              <w:t>Assist in the development of a strategy to explore and expand Pre-ETS service delivery including possible electronic/online options and modalities</w:t>
            </w: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tcPr>
          <w:p w14:paraId="01D2C179" w14:textId="77777777" w:rsidR="00623C47" w:rsidRPr="00206792" w:rsidRDefault="00623C47" w:rsidP="00C575C8">
            <w:pPr>
              <w:pStyle w:val="ListParagraph"/>
              <w:numPr>
                <w:ilvl w:val="0"/>
                <w:numId w:val="86"/>
              </w:numPr>
              <w:spacing w:after="0" w:line="240" w:lineRule="auto"/>
              <w:ind w:left="340"/>
              <w:rPr>
                <w:color w:val="000000"/>
              </w:rPr>
            </w:pPr>
            <w:r w:rsidRPr="00206792">
              <w:t>Disseminate Explore-Work.com to agency</w:t>
            </w:r>
          </w:p>
        </w:tc>
      </w:tr>
      <w:tr w:rsidR="00623C47" w:rsidRPr="00206792" w14:paraId="55DA5F59" w14:textId="77777777" w:rsidTr="00623C47">
        <w:trPr>
          <w:trHeight w:val="20"/>
        </w:trPr>
        <w:tc>
          <w:tcPr>
            <w:tcW w:w="5000" w:type="pct"/>
            <w:gridSpan w:val="2"/>
            <w:tcBorders>
              <w:top w:val="single" w:sz="4" w:space="0" w:color="auto"/>
              <w:left w:val="single" w:sz="4" w:space="0" w:color="000000"/>
              <w:bottom w:val="single" w:sz="4" w:space="0" w:color="auto"/>
              <w:right w:val="single" w:sz="4" w:space="0" w:color="000000"/>
            </w:tcBorders>
            <w:shd w:val="clear" w:color="auto" w:fill="D9E2F3" w:themeFill="accent1" w:themeFillTint="33"/>
            <w:vAlign w:val="center"/>
          </w:tcPr>
          <w:p w14:paraId="0E72632D" w14:textId="77777777" w:rsidR="00623C47" w:rsidRPr="00206792" w:rsidRDefault="00623C47" w:rsidP="008A190D">
            <w:pPr>
              <w:spacing w:after="0" w:line="240" w:lineRule="auto"/>
              <w:ind w:firstLine="0"/>
              <w:jc w:val="center"/>
              <w:rPr>
                <w:b/>
              </w:rPr>
            </w:pPr>
            <w:r w:rsidRPr="00206792">
              <w:rPr>
                <w:b/>
              </w:rPr>
              <w:t>Short-Term Outcomes</w:t>
            </w:r>
          </w:p>
          <w:p w14:paraId="55536464" w14:textId="77777777" w:rsidR="00623C47" w:rsidRPr="00206792" w:rsidRDefault="00623C47" w:rsidP="00C575C8">
            <w:pPr>
              <w:pStyle w:val="ListParagraph"/>
              <w:numPr>
                <w:ilvl w:val="0"/>
                <w:numId w:val="2"/>
              </w:numPr>
              <w:spacing w:after="0" w:line="240" w:lineRule="auto"/>
            </w:pPr>
            <w:r w:rsidRPr="00206792">
              <w:t>There will be an increase in the number of students with disabilities that receive at least one of the five required services from year to year.</w:t>
            </w:r>
          </w:p>
          <w:p w14:paraId="7B3F43FA" w14:textId="77777777" w:rsidR="00623C47" w:rsidRPr="00206792" w:rsidRDefault="00623C47" w:rsidP="00C575C8">
            <w:pPr>
              <w:pStyle w:val="ListParagraph"/>
              <w:numPr>
                <w:ilvl w:val="0"/>
                <w:numId w:val="2"/>
              </w:numPr>
              <w:spacing w:after="0" w:line="240" w:lineRule="auto"/>
            </w:pPr>
            <w:r w:rsidRPr="00206792">
              <w:t>The agency will completely and accurately report on the expenditure of the 15% reserve</w:t>
            </w:r>
          </w:p>
          <w:p w14:paraId="451FC8B4" w14:textId="77777777" w:rsidR="00623C47" w:rsidRPr="00206792" w:rsidRDefault="00623C47" w:rsidP="00C575C8">
            <w:pPr>
              <w:pStyle w:val="ListParagraph"/>
              <w:numPr>
                <w:ilvl w:val="0"/>
                <w:numId w:val="2"/>
              </w:numPr>
              <w:spacing w:after="0" w:line="240" w:lineRule="auto"/>
            </w:pPr>
            <w:r w:rsidRPr="00206792">
              <w:t>The VR program will increase the allocation of Pre-ETS expenditures towards the minimum 15% reserve until it is fully expended</w:t>
            </w:r>
          </w:p>
          <w:p w14:paraId="6F637708" w14:textId="77777777" w:rsidR="00623C47" w:rsidRPr="00206792" w:rsidRDefault="00623C47" w:rsidP="00C575C8">
            <w:pPr>
              <w:pStyle w:val="ListParagraph"/>
              <w:numPr>
                <w:ilvl w:val="0"/>
                <w:numId w:val="2"/>
              </w:numPr>
              <w:spacing w:after="0" w:line="240" w:lineRule="auto"/>
            </w:pPr>
            <w:r w:rsidRPr="00206792">
              <w:t>Improved interagency coordination and collaboration regarding pre-employment transition services at a state-level (systems change)</w:t>
            </w:r>
          </w:p>
        </w:tc>
      </w:tr>
    </w:tbl>
    <w:p w14:paraId="3588B379" w14:textId="77777777" w:rsidR="00623C47" w:rsidRDefault="00623C47" w:rsidP="00623C47">
      <w:pPr>
        <w:pStyle w:val="Heading2"/>
        <w:rPr>
          <w:szCs w:val="36"/>
        </w:rPr>
      </w:pPr>
      <w:r>
        <w:rPr>
          <w:szCs w:val="36"/>
        </w:rPr>
        <w:br w:type="page"/>
      </w:r>
    </w:p>
    <w:p w14:paraId="648B706C" w14:textId="5EC5DF75" w:rsidR="00623C47" w:rsidRPr="00623C47" w:rsidRDefault="00623C47" w:rsidP="00623C47">
      <w:pPr>
        <w:pStyle w:val="Heading2"/>
        <w:rPr>
          <w:szCs w:val="36"/>
        </w:rPr>
      </w:pPr>
      <w:bookmarkStart w:id="177" w:name="_Toc41940285"/>
      <w:r w:rsidRPr="009E708E">
        <w:rPr>
          <w:szCs w:val="36"/>
        </w:rPr>
        <w:lastRenderedPageBreak/>
        <w:t>Business Engagement:</w:t>
      </w:r>
      <w:r w:rsidRPr="004B327C">
        <w:rPr>
          <w:szCs w:val="36"/>
        </w:rPr>
        <w:t xml:space="preserve"> Activities &amp; Outputs Progress Dashboards</w:t>
      </w:r>
      <w:bookmarkEnd w:id="177"/>
    </w:p>
    <w:p w14:paraId="37BDD855" w14:textId="530829C7" w:rsidR="00623C47" w:rsidRDefault="00623C47" w:rsidP="00623C47">
      <w:pPr>
        <w:ind w:firstLine="0"/>
      </w:pPr>
      <w:r>
        <w:rPr>
          <w:noProof/>
          <w:lang w:eastAsia="ko-KR"/>
        </w:rPr>
        <w:drawing>
          <wp:inline distT="0" distB="0" distL="0" distR="0" wp14:anchorId="7B379FBD" wp14:editId="5BD2EE9F">
            <wp:extent cx="6705600" cy="2600325"/>
            <wp:effectExtent l="0" t="0" r="0" b="9525"/>
            <wp:docPr id="428" name="Picture 428" descr="Progress Business Engagement Activities showing 37% complete">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705600" cy="2600325"/>
                    </a:xfrm>
                    <a:prstGeom prst="rect">
                      <a:avLst/>
                    </a:prstGeom>
                  </pic:spPr>
                </pic:pic>
              </a:graphicData>
            </a:graphic>
          </wp:inline>
        </w:drawing>
      </w:r>
    </w:p>
    <w:p w14:paraId="78485C44" w14:textId="77777777" w:rsidR="00623C47" w:rsidRPr="00AF4EBF" w:rsidRDefault="00623C47" w:rsidP="00623C47">
      <w:pPr>
        <w:rPr>
          <w:sz w:val="24"/>
          <w:szCs w:val="24"/>
        </w:rPr>
      </w:pPr>
      <w:bookmarkStart w:id="178" w:name="_Hlk41705658"/>
      <w:bookmarkStart w:id="179" w:name="_Hlk27656697"/>
      <w:r>
        <w:rPr>
          <w:sz w:val="24"/>
          <w:szCs w:val="24"/>
        </w:rPr>
        <w:t>Across 8 ITAAs and 27 activities, over half of</w:t>
      </w:r>
      <w:r w:rsidRPr="00AF4EBF">
        <w:rPr>
          <w:sz w:val="24"/>
          <w:szCs w:val="24"/>
        </w:rPr>
        <w:t xml:space="preserve"> activities are complete (</w:t>
      </w:r>
      <w:r>
        <w:rPr>
          <w:sz w:val="24"/>
          <w:szCs w:val="24"/>
        </w:rPr>
        <w:t>37</w:t>
      </w:r>
      <w:r w:rsidRPr="00AF4EBF">
        <w:rPr>
          <w:sz w:val="24"/>
          <w:szCs w:val="24"/>
        </w:rPr>
        <w:t>%) or moving to completion (</w:t>
      </w:r>
      <w:r>
        <w:rPr>
          <w:sz w:val="24"/>
          <w:szCs w:val="24"/>
        </w:rPr>
        <w:t>15</w:t>
      </w:r>
      <w:r w:rsidRPr="00AF4EBF">
        <w:rPr>
          <w:sz w:val="24"/>
          <w:szCs w:val="24"/>
        </w:rPr>
        <w:t>%)</w:t>
      </w:r>
      <w:r>
        <w:rPr>
          <w:sz w:val="24"/>
          <w:szCs w:val="24"/>
        </w:rPr>
        <w:t xml:space="preserve"> for a total of 51% of activities nearly complete</w:t>
      </w:r>
      <w:r w:rsidRPr="00AF4EBF">
        <w:rPr>
          <w:sz w:val="24"/>
          <w:szCs w:val="24"/>
        </w:rPr>
        <w:t xml:space="preserve">.  </w:t>
      </w:r>
      <w:r>
        <w:rPr>
          <w:sz w:val="24"/>
          <w:szCs w:val="24"/>
        </w:rPr>
        <w:t xml:space="preserve">At the end of Year 4, this total was at just a third, reflecting strong momentum.  </w:t>
      </w:r>
      <w:r w:rsidRPr="00AF4EBF">
        <w:rPr>
          <w:sz w:val="24"/>
          <w:szCs w:val="24"/>
        </w:rPr>
        <w:t>Below, thermometers demonstrate the level of completion for the different activities and outputs as defined in the logic model.  A handful of idiosyncratic activities in the ITAAs not listed in logic models are captured together in their own thermometer.</w:t>
      </w:r>
      <w:bookmarkEnd w:id="178"/>
    </w:p>
    <w:bookmarkEnd w:id="179"/>
    <w:p w14:paraId="0B08A719" w14:textId="77777777" w:rsidR="00623C47" w:rsidRPr="00AC0D29" w:rsidRDefault="00623C47" w:rsidP="00623C47">
      <w:pPr>
        <w:spacing w:after="0"/>
        <w:rPr>
          <w:rFonts w:cstheme="minorHAnsi"/>
        </w:rPr>
        <w:sectPr w:rsidR="00623C47" w:rsidRPr="00AC0D29" w:rsidSect="00623C47">
          <w:pgSz w:w="12240" w:h="15840"/>
          <w:pgMar w:top="720" w:right="720" w:bottom="720" w:left="720" w:header="720" w:footer="720" w:gutter="0"/>
          <w:cols w:space="720"/>
          <w:docGrid w:linePitch="381"/>
        </w:sectPr>
      </w:pPr>
    </w:p>
    <w:p w14:paraId="65FF3070" w14:textId="77777777" w:rsidR="00623C47" w:rsidRPr="007904F1" w:rsidRDefault="00623C47" w:rsidP="00623C47">
      <w:pPr>
        <w:tabs>
          <w:tab w:val="left" w:pos="360"/>
        </w:tabs>
        <w:ind w:firstLine="0"/>
        <w:jc w:val="center"/>
        <w:rPr>
          <w:b/>
          <w:bCs/>
          <w:szCs w:val="14"/>
        </w:rPr>
      </w:pPr>
      <w:r w:rsidRPr="003A10D6">
        <w:rPr>
          <w:sz w:val="36"/>
          <w:szCs w:val="36"/>
        </w:rPr>
        <w:lastRenderedPageBreak/>
        <w:t xml:space="preserve">Activity </w:t>
      </w:r>
      <w:r>
        <w:rPr>
          <w:sz w:val="36"/>
          <w:szCs w:val="36"/>
        </w:rPr>
        <w:t>1</w:t>
      </w:r>
      <w:r>
        <w:rPr>
          <w:sz w:val="36"/>
          <w:szCs w:val="36"/>
        </w:rPr>
        <w:br/>
      </w:r>
      <w:r>
        <w:rPr>
          <w:noProof/>
          <w:lang w:eastAsia="ko-KR"/>
        </w:rPr>
        <w:drawing>
          <wp:inline distT="0" distB="0" distL="0" distR="0" wp14:anchorId="4AA07A95" wp14:editId="5234A60A">
            <wp:extent cx="1682496" cy="4572000"/>
            <wp:effectExtent l="0" t="0" r="0" b="0"/>
            <wp:docPr id="411" name="Picture 411" descr="Activity &amp; Outputs Progres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1682496" cy="4572000"/>
                    </a:xfrm>
                    <a:prstGeom prst="rect">
                      <a:avLst/>
                    </a:prstGeom>
                  </pic:spPr>
                </pic:pic>
              </a:graphicData>
            </a:graphic>
          </wp:inline>
        </w:drawing>
      </w:r>
      <w:r>
        <w:rPr>
          <w:sz w:val="36"/>
          <w:szCs w:val="36"/>
        </w:rPr>
        <w:br/>
      </w:r>
      <w:r>
        <w:rPr>
          <w:noProof/>
          <w:lang w:eastAsia="ko-KR"/>
        </w:rPr>
        <w:drawing>
          <wp:inline distT="0" distB="0" distL="0" distR="0" wp14:anchorId="4779E19C" wp14:editId="3539C55D">
            <wp:extent cx="2090057" cy="370114"/>
            <wp:effectExtent l="0" t="0" r="5715" b="0"/>
            <wp:docPr id="412" name="Picture 412"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09F22809" w14:textId="77777777" w:rsidR="00623C47" w:rsidRPr="00AC0D29" w:rsidRDefault="00623C47" w:rsidP="00623C47">
      <w:pPr>
        <w:spacing w:after="0"/>
        <w:ind w:firstLine="0"/>
        <w:rPr>
          <w:rFonts w:cstheme="minorHAnsi"/>
        </w:rPr>
      </w:pPr>
      <w:r w:rsidRPr="00AC0D29">
        <w:rPr>
          <w:rFonts w:cstheme="minorHAnsi"/>
          <w:b/>
          <w:bCs/>
        </w:rPr>
        <w:t>Activity 1:</w:t>
      </w:r>
      <w:r w:rsidRPr="00AC0D29">
        <w:rPr>
          <w:rFonts w:cstheme="minorHAnsi"/>
        </w:rPr>
        <w:t xml:space="preserve"> Assist the agency to assess the current effectiveness of their business engagement and/or business relations activities.</w:t>
      </w:r>
    </w:p>
    <w:p w14:paraId="29F6919A" w14:textId="77777777" w:rsidR="00623C47" w:rsidRPr="00AC0D29" w:rsidRDefault="00623C47" w:rsidP="00623C47">
      <w:pPr>
        <w:spacing w:after="0"/>
        <w:ind w:firstLine="0"/>
        <w:rPr>
          <w:rFonts w:cstheme="minorHAnsi"/>
        </w:rPr>
      </w:pPr>
      <w:r w:rsidRPr="00AC0D29">
        <w:rPr>
          <w:rFonts w:cstheme="minorHAnsi"/>
          <w:b/>
          <w:bCs/>
        </w:rPr>
        <w:t>Output A:</w:t>
      </w:r>
      <w:r w:rsidRPr="00AC0D29">
        <w:rPr>
          <w:rFonts w:cstheme="minorHAnsi"/>
        </w:rPr>
        <w:t xml:space="preserve"> A completed assessment that identifies strengths of the agency’s current business engagement and/or business relations activities and areas where development is needed.</w:t>
      </w:r>
    </w:p>
    <w:p w14:paraId="733C7A7D" w14:textId="77777777" w:rsidR="00623C47" w:rsidRPr="00AC0D29" w:rsidRDefault="00623C47" w:rsidP="00623C47">
      <w:pPr>
        <w:spacing w:after="0"/>
        <w:rPr>
          <w:rFonts w:cstheme="minorHAnsi"/>
        </w:rPr>
      </w:pPr>
    </w:p>
    <w:p w14:paraId="7233FA6E" w14:textId="77777777" w:rsidR="00623C47" w:rsidRPr="007904F1" w:rsidRDefault="00623C47" w:rsidP="00623C47">
      <w:pPr>
        <w:tabs>
          <w:tab w:val="left" w:pos="360"/>
        </w:tabs>
        <w:ind w:firstLine="0"/>
        <w:jc w:val="center"/>
        <w:rPr>
          <w:b/>
          <w:bCs/>
          <w:szCs w:val="14"/>
        </w:rPr>
      </w:pPr>
      <w:r w:rsidRPr="003A10D6">
        <w:rPr>
          <w:sz w:val="36"/>
          <w:szCs w:val="36"/>
        </w:rPr>
        <w:t xml:space="preserve">Activity </w:t>
      </w:r>
      <w:r>
        <w:rPr>
          <w:sz w:val="36"/>
          <w:szCs w:val="36"/>
        </w:rPr>
        <w:t>2</w:t>
      </w:r>
      <w:r>
        <w:rPr>
          <w:sz w:val="36"/>
          <w:szCs w:val="36"/>
        </w:rPr>
        <w:br/>
      </w:r>
      <w:r>
        <w:rPr>
          <w:noProof/>
          <w:lang w:eastAsia="ko-KR"/>
        </w:rPr>
        <w:drawing>
          <wp:inline distT="0" distB="0" distL="0" distR="0" wp14:anchorId="52B996FB" wp14:editId="0ED3AC97">
            <wp:extent cx="1627632" cy="4572000"/>
            <wp:effectExtent l="0" t="0" r="0" b="0"/>
            <wp:docPr id="413" name="Picture 413" descr="Activity &amp; Outputs Progres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1627632" cy="4572000"/>
                    </a:xfrm>
                    <a:prstGeom prst="rect">
                      <a:avLst/>
                    </a:prstGeom>
                  </pic:spPr>
                </pic:pic>
              </a:graphicData>
            </a:graphic>
          </wp:inline>
        </w:drawing>
      </w:r>
      <w:r>
        <w:rPr>
          <w:sz w:val="36"/>
          <w:szCs w:val="36"/>
        </w:rPr>
        <w:br/>
      </w:r>
      <w:r>
        <w:rPr>
          <w:noProof/>
          <w:lang w:eastAsia="ko-KR"/>
        </w:rPr>
        <w:drawing>
          <wp:inline distT="0" distB="0" distL="0" distR="0" wp14:anchorId="5F41CDA8" wp14:editId="109CA252">
            <wp:extent cx="2090057" cy="370114"/>
            <wp:effectExtent l="0" t="0" r="5715" b="0"/>
            <wp:docPr id="414" name="Picture 414"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4F1B32E4" w14:textId="77777777" w:rsidR="00623C47" w:rsidRPr="00AC0D29" w:rsidRDefault="00623C47" w:rsidP="00623C47">
      <w:pPr>
        <w:spacing w:after="0"/>
        <w:ind w:firstLine="0"/>
        <w:rPr>
          <w:rFonts w:cstheme="minorHAnsi"/>
        </w:rPr>
      </w:pPr>
      <w:r w:rsidRPr="00AC0D29">
        <w:rPr>
          <w:rFonts w:cstheme="minorHAnsi"/>
          <w:b/>
          <w:bCs/>
        </w:rPr>
        <w:t>Activity 2:</w:t>
      </w:r>
      <w:r w:rsidRPr="00AC0D29">
        <w:rPr>
          <w:rFonts w:cstheme="minorHAnsi"/>
        </w:rPr>
        <w:t xml:space="preserve"> Assist the agency to develop a Standard Operating Protocol for business engagement/relations for all staff engaged in these activities.</w:t>
      </w:r>
    </w:p>
    <w:p w14:paraId="617C2214" w14:textId="77777777" w:rsidR="00623C47" w:rsidRPr="00AC0D29" w:rsidRDefault="00623C47" w:rsidP="00623C47">
      <w:pPr>
        <w:spacing w:after="0"/>
        <w:ind w:firstLine="0"/>
        <w:rPr>
          <w:rFonts w:cstheme="minorHAnsi"/>
        </w:rPr>
      </w:pPr>
      <w:r w:rsidRPr="00AC0D29">
        <w:rPr>
          <w:rFonts w:cstheme="minorHAnsi"/>
          <w:b/>
          <w:bCs/>
        </w:rPr>
        <w:t>Output B:</w:t>
      </w:r>
      <w:r w:rsidRPr="00AC0D29">
        <w:rPr>
          <w:rFonts w:cstheme="minorHAnsi"/>
        </w:rPr>
        <w:t xml:space="preserve"> A draft SOP that includes the areas identified as essential by the agency.</w:t>
      </w:r>
    </w:p>
    <w:p w14:paraId="72343D84" w14:textId="77777777" w:rsidR="00623C47" w:rsidRPr="00AC0D29" w:rsidRDefault="00623C47" w:rsidP="00623C47">
      <w:pPr>
        <w:spacing w:after="0"/>
        <w:rPr>
          <w:rFonts w:cstheme="minorHAnsi"/>
        </w:rPr>
      </w:pPr>
    </w:p>
    <w:p w14:paraId="5928F281" w14:textId="77777777" w:rsidR="00623C47" w:rsidRPr="007904F1" w:rsidRDefault="00623C47" w:rsidP="00623C47">
      <w:pPr>
        <w:tabs>
          <w:tab w:val="left" w:pos="360"/>
        </w:tabs>
        <w:ind w:firstLine="0"/>
        <w:jc w:val="center"/>
        <w:rPr>
          <w:b/>
          <w:bCs/>
          <w:szCs w:val="14"/>
        </w:rPr>
      </w:pPr>
      <w:r w:rsidRPr="003A10D6">
        <w:rPr>
          <w:sz w:val="36"/>
          <w:szCs w:val="36"/>
        </w:rPr>
        <w:lastRenderedPageBreak/>
        <w:t xml:space="preserve">Activity </w:t>
      </w:r>
      <w:r>
        <w:rPr>
          <w:sz w:val="36"/>
          <w:szCs w:val="36"/>
        </w:rPr>
        <w:t>3</w:t>
      </w:r>
      <w:r>
        <w:rPr>
          <w:sz w:val="36"/>
          <w:szCs w:val="36"/>
        </w:rPr>
        <w:br/>
      </w:r>
      <w:r>
        <w:rPr>
          <w:noProof/>
          <w:lang w:eastAsia="ko-KR"/>
        </w:rPr>
        <w:drawing>
          <wp:inline distT="0" distB="0" distL="0" distR="0" wp14:anchorId="6F865870" wp14:editId="771A9754">
            <wp:extent cx="1581150" cy="4610100"/>
            <wp:effectExtent l="0" t="0" r="0" b="0"/>
            <wp:docPr id="415" name="Picture 415" descr="Activity &amp; Outputs Progres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1581150" cy="4610100"/>
                    </a:xfrm>
                    <a:prstGeom prst="rect">
                      <a:avLst/>
                    </a:prstGeom>
                  </pic:spPr>
                </pic:pic>
              </a:graphicData>
            </a:graphic>
          </wp:inline>
        </w:drawing>
      </w:r>
      <w:r>
        <w:rPr>
          <w:sz w:val="36"/>
          <w:szCs w:val="36"/>
        </w:rPr>
        <w:br/>
      </w:r>
      <w:r>
        <w:rPr>
          <w:noProof/>
          <w:lang w:eastAsia="ko-KR"/>
        </w:rPr>
        <w:drawing>
          <wp:inline distT="0" distB="0" distL="0" distR="0" wp14:anchorId="48013E20" wp14:editId="4D76E394">
            <wp:extent cx="2090057" cy="370114"/>
            <wp:effectExtent l="0" t="0" r="5715" b="0"/>
            <wp:docPr id="416" name="Picture 416"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12EC1AF4" w14:textId="77777777" w:rsidR="00623C47" w:rsidRPr="00AC0D29" w:rsidRDefault="00623C47" w:rsidP="00623C47">
      <w:pPr>
        <w:spacing w:after="0"/>
        <w:ind w:firstLine="0"/>
        <w:rPr>
          <w:rFonts w:cstheme="minorHAnsi"/>
        </w:rPr>
      </w:pPr>
      <w:r w:rsidRPr="00AC0D29">
        <w:rPr>
          <w:rFonts w:cstheme="minorHAnsi"/>
          <w:b/>
          <w:bCs/>
        </w:rPr>
        <w:t>Activity 3:</w:t>
      </w:r>
      <w:r w:rsidRPr="00AC0D29">
        <w:rPr>
          <w:rFonts w:cstheme="minorHAnsi"/>
        </w:rPr>
        <w:t xml:space="preserve"> Assist the agency to develop a business engagement tracking tool that will record information necessary for tracking and reporting on the effectiveness in serving employers outcome measure.</w:t>
      </w:r>
    </w:p>
    <w:p w14:paraId="06D2BF30" w14:textId="77777777" w:rsidR="00623C47" w:rsidRPr="00AC0D29" w:rsidRDefault="00623C47" w:rsidP="00623C47">
      <w:pPr>
        <w:spacing w:after="0"/>
        <w:ind w:firstLine="0"/>
        <w:rPr>
          <w:rFonts w:cstheme="minorHAnsi"/>
        </w:rPr>
      </w:pPr>
      <w:r w:rsidRPr="00AC0D29">
        <w:rPr>
          <w:rFonts w:cstheme="minorHAnsi"/>
          <w:b/>
          <w:bCs/>
        </w:rPr>
        <w:t>Output C:</w:t>
      </w:r>
      <w:r w:rsidRPr="00AC0D29">
        <w:rPr>
          <w:rFonts w:cstheme="minorHAnsi"/>
        </w:rPr>
        <w:t xml:space="preserve"> A completed draft of the tool.</w:t>
      </w:r>
    </w:p>
    <w:p w14:paraId="5DFD3EEC" w14:textId="77777777" w:rsidR="00623C47" w:rsidRPr="00AC0D29" w:rsidRDefault="00623C47" w:rsidP="00623C47">
      <w:pPr>
        <w:spacing w:after="0"/>
        <w:rPr>
          <w:rFonts w:cstheme="minorHAnsi"/>
        </w:rPr>
      </w:pPr>
    </w:p>
    <w:p w14:paraId="5763BD33" w14:textId="77777777" w:rsidR="00623C47" w:rsidRPr="007904F1" w:rsidRDefault="00623C47" w:rsidP="00623C47">
      <w:pPr>
        <w:tabs>
          <w:tab w:val="left" w:pos="360"/>
        </w:tabs>
        <w:ind w:firstLine="0"/>
        <w:jc w:val="center"/>
        <w:rPr>
          <w:b/>
          <w:bCs/>
          <w:szCs w:val="14"/>
        </w:rPr>
      </w:pPr>
      <w:r w:rsidRPr="003A10D6">
        <w:rPr>
          <w:sz w:val="36"/>
          <w:szCs w:val="36"/>
        </w:rPr>
        <w:t xml:space="preserve">Activity </w:t>
      </w:r>
      <w:r>
        <w:rPr>
          <w:sz w:val="36"/>
          <w:szCs w:val="36"/>
        </w:rPr>
        <w:t>4</w:t>
      </w:r>
      <w:r>
        <w:rPr>
          <w:sz w:val="36"/>
          <w:szCs w:val="36"/>
        </w:rPr>
        <w:br/>
      </w:r>
      <w:r>
        <w:rPr>
          <w:noProof/>
          <w:lang w:eastAsia="ko-KR"/>
        </w:rPr>
        <w:drawing>
          <wp:inline distT="0" distB="0" distL="0" distR="0" wp14:anchorId="4768C783" wp14:editId="7EA158C7">
            <wp:extent cx="1737360" cy="4572000"/>
            <wp:effectExtent l="0" t="0" r="0" b="0"/>
            <wp:docPr id="417" name="Picture 417" descr="Activity &amp; Outputs Progres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0"/>
                    <a:srcRect/>
                    <a:stretch/>
                  </pic:blipFill>
                  <pic:spPr bwMode="auto">
                    <a:xfrm>
                      <a:off x="0" y="0"/>
                      <a:ext cx="1737360" cy="4572000"/>
                    </a:xfrm>
                    <a:prstGeom prst="rect">
                      <a:avLst/>
                    </a:prstGeom>
                    <a:ln>
                      <a:noFill/>
                    </a:ln>
                    <a:extLst>
                      <a:ext uri="{53640926-AAD7-44D8-BBD7-CCE9431645EC}">
                        <a14:shadowObscured xmlns:a14="http://schemas.microsoft.com/office/drawing/2010/main"/>
                      </a:ext>
                    </a:extLst>
                  </pic:spPr>
                </pic:pic>
              </a:graphicData>
            </a:graphic>
          </wp:inline>
        </w:drawing>
      </w:r>
      <w:r>
        <w:rPr>
          <w:sz w:val="36"/>
          <w:szCs w:val="36"/>
        </w:rPr>
        <w:br/>
      </w:r>
      <w:r>
        <w:rPr>
          <w:noProof/>
          <w:lang w:eastAsia="ko-KR"/>
        </w:rPr>
        <w:drawing>
          <wp:inline distT="0" distB="0" distL="0" distR="0" wp14:anchorId="2BE58C72" wp14:editId="7B84ED55">
            <wp:extent cx="2090057" cy="370114"/>
            <wp:effectExtent l="0" t="0" r="5715" b="0"/>
            <wp:docPr id="418" name="Picture 418"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285E22B9" w14:textId="77777777" w:rsidR="00623C47" w:rsidRPr="00AC0D29" w:rsidRDefault="00623C47" w:rsidP="00623C47">
      <w:pPr>
        <w:spacing w:after="0"/>
        <w:ind w:firstLine="0"/>
        <w:rPr>
          <w:rFonts w:cstheme="minorHAnsi"/>
        </w:rPr>
      </w:pPr>
      <w:r w:rsidRPr="00AC0D29">
        <w:rPr>
          <w:rFonts w:cstheme="minorHAnsi"/>
          <w:b/>
          <w:bCs/>
        </w:rPr>
        <w:t>Activity 4:</w:t>
      </w:r>
      <w:r w:rsidRPr="00AC0D29">
        <w:rPr>
          <w:rFonts w:cstheme="minorHAnsi"/>
        </w:rPr>
        <w:t xml:space="preserve"> Assist the agency to develop training curriculum that will increase staff capacity and competency to engage in business engagement and/or relations.</w:t>
      </w:r>
    </w:p>
    <w:p w14:paraId="3E66DAD7" w14:textId="77777777" w:rsidR="00623C47" w:rsidRPr="00AC0D29" w:rsidRDefault="00623C47" w:rsidP="00623C47">
      <w:pPr>
        <w:spacing w:after="0"/>
        <w:ind w:firstLine="0"/>
        <w:rPr>
          <w:rFonts w:cstheme="minorHAnsi"/>
        </w:rPr>
      </w:pPr>
      <w:r w:rsidRPr="00AC0D29">
        <w:rPr>
          <w:rFonts w:cstheme="minorHAnsi"/>
          <w:b/>
          <w:bCs/>
        </w:rPr>
        <w:t>Output D:</w:t>
      </w:r>
      <w:r w:rsidRPr="00AC0D29">
        <w:rPr>
          <w:rFonts w:cstheme="minorHAnsi"/>
        </w:rPr>
        <w:t xml:space="preserve"> Draft of curriculum.</w:t>
      </w:r>
    </w:p>
    <w:p w14:paraId="0AE63676" w14:textId="77777777" w:rsidR="00623C47" w:rsidRPr="00AC0D29" w:rsidRDefault="00623C47" w:rsidP="00623C47">
      <w:pPr>
        <w:spacing w:after="0"/>
        <w:rPr>
          <w:rFonts w:cstheme="minorHAnsi"/>
        </w:rPr>
      </w:pPr>
    </w:p>
    <w:p w14:paraId="3CC403DD" w14:textId="77777777" w:rsidR="00623C47" w:rsidRPr="007904F1" w:rsidRDefault="00623C47" w:rsidP="00623C47">
      <w:pPr>
        <w:tabs>
          <w:tab w:val="left" w:pos="360"/>
        </w:tabs>
        <w:ind w:firstLine="0"/>
        <w:jc w:val="center"/>
        <w:rPr>
          <w:b/>
          <w:bCs/>
          <w:szCs w:val="14"/>
        </w:rPr>
      </w:pPr>
      <w:r w:rsidRPr="003A10D6">
        <w:rPr>
          <w:sz w:val="36"/>
          <w:szCs w:val="36"/>
        </w:rPr>
        <w:lastRenderedPageBreak/>
        <w:t xml:space="preserve">Activity </w:t>
      </w:r>
      <w:r>
        <w:rPr>
          <w:sz w:val="36"/>
          <w:szCs w:val="36"/>
        </w:rPr>
        <w:t>5</w:t>
      </w:r>
      <w:r>
        <w:rPr>
          <w:sz w:val="36"/>
          <w:szCs w:val="36"/>
        </w:rPr>
        <w:br/>
      </w:r>
      <w:r>
        <w:rPr>
          <w:noProof/>
          <w:lang w:eastAsia="ko-KR"/>
        </w:rPr>
        <w:drawing>
          <wp:inline distT="0" distB="0" distL="0" distR="0" wp14:anchorId="49C25163" wp14:editId="7A2664D6">
            <wp:extent cx="1508760" cy="4572000"/>
            <wp:effectExtent l="0" t="0" r="0" b="0"/>
            <wp:docPr id="419" name="Picture 419" descr="Activity &amp; Outputs Progres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1508760" cy="4572000"/>
                    </a:xfrm>
                    <a:prstGeom prst="rect">
                      <a:avLst/>
                    </a:prstGeom>
                  </pic:spPr>
                </pic:pic>
              </a:graphicData>
            </a:graphic>
          </wp:inline>
        </w:drawing>
      </w:r>
      <w:r>
        <w:rPr>
          <w:sz w:val="36"/>
          <w:szCs w:val="36"/>
        </w:rPr>
        <w:br/>
      </w:r>
      <w:r>
        <w:rPr>
          <w:noProof/>
          <w:lang w:eastAsia="ko-KR"/>
        </w:rPr>
        <w:drawing>
          <wp:inline distT="0" distB="0" distL="0" distR="0" wp14:anchorId="61D47700" wp14:editId="3F4454A0">
            <wp:extent cx="2090057" cy="370114"/>
            <wp:effectExtent l="0" t="0" r="5715" b="0"/>
            <wp:docPr id="420" name="Picture 420"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46D51B90" w14:textId="77777777" w:rsidR="00623C47" w:rsidRPr="00AC0D29" w:rsidRDefault="00623C47" w:rsidP="00623C47">
      <w:pPr>
        <w:spacing w:after="0"/>
        <w:ind w:firstLine="0"/>
        <w:rPr>
          <w:rFonts w:cstheme="minorHAnsi"/>
        </w:rPr>
      </w:pPr>
      <w:r w:rsidRPr="00AC0D29">
        <w:rPr>
          <w:rFonts w:cstheme="minorHAnsi"/>
          <w:b/>
          <w:bCs/>
        </w:rPr>
        <w:t>Activity 5:</w:t>
      </w:r>
      <w:r w:rsidRPr="00AC0D29">
        <w:rPr>
          <w:rFonts w:cstheme="minorHAnsi"/>
        </w:rPr>
        <w:t xml:space="preserve"> Provide training on effective business engagement/relations to agency staff.</w:t>
      </w:r>
    </w:p>
    <w:p w14:paraId="788F3AD3" w14:textId="77777777" w:rsidR="00623C47" w:rsidRPr="00AC0D29" w:rsidRDefault="00623C47" w:rsidP="00623C47">
      <w:pPr>
        <w:spacing w:after="0"/>
        <w:ind w:firstLine="0"/>
        <w:rPr>
          <w:rFonts w:cstheme="minorHAnsi"/>
        </w:rPr>
      </w:pPr>
      <w:r w:rsidRPr="00AC0D29">
        <w:rPr>
          <w:rFonts w:cstheme="minorHAnsi"/>
          <w:b/>
          <w:bCs/>
        </w:rPr>
        <w:t>Output E:</w:t>
      </w:r>
      <w:r w:rsidRPr="00AC0D29">
        <w:rPr>
          <w:rFonts w:cstheme="minorHAnsi"/>
        </w:rPr>
        <w:t xml:space="preserve"> The number of individuals that complete the training.</w:t>
      </w:r>
    </w:p>
    <w:p w14:paraId="29D0B6DA" w14:textId="77777777" w:rsidR="00623C47" w:rsidRPr="007904F1" w:rsidRDefault="00623C47" w:rsidP="00623C47">
      <w:pPr>
        <w:tabs>
          <w:tab w:val="left" w:pos="360"/>
        </w:tabs>
        <w:ind w:firstLine="0"/>
        <w:jc w:val="center"/>
        <w:rPr>
          <w:b/>
          <w:bCs/>
          <w:szCs w:val="14"/>
        </w:rPr>
      </w:pPr>
      <w:r w:rsidRPr="003A10D6">
        <w:rPr>
          <w:sz w:val="36"/>
          <w:szCs w:val="36"/>
        </w:rPr>
        <w:t xml:space="preserve">Activity </w:t>
      </w:r>
      <w:r>
        <w:rPr>
          <w:sz w:val="36"/>
          <w:szCs w:val="36"/>
        </w:rPr>
        <w:t>6</w:t>
      </w:r>
      <w:r>
        <w:rPr>
          <w:sz w:val="36"/>
          <w:szCs w:val="36"/>
        </w:rPr>
        <w:br/>
      </w:r>
      <w:r>
        <w:rPr>
          <w:noProof/>
          <w:lang w:eastAsia="ko-KR"/>
        </w:rPr>
        <w:drawing>
          <wp:inline distT="0" distB="0" distL="0" distR="0" wp14:anchorId="5088966D" wp14:editId="5894C090">
            <wp:extent cx="1446449" cy="4581525"/>
            <wp:effectExtent l="0" t="0" r="1905" b="0"/>
            <wp:docPr id="421" name="Picture 421" descr="Activity &amp; Outputs Progres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2" cstate="print">
                      <a:extLst>
                        <a:ext uri="{28A0092B-C50C-407E-A947-70E740481C1C}">
                          <a14:useLocalDpi xmlns:a14="http://schemas.microsoft.com/office/drawing/2010/main"/>
                        </a:ext>
                      </a:extLst>
                    </a:blip>
                    <a:srcRect b="3711"/>
                    <a:stretch/>
                  </pic:blipFill>
                  <pic:spPr bwMode="auto">
                    <a:xfrm>
                      <a:off x="0" y="0"/>
                      <a:ext cx="1461865" cy="4630355"/>
                    </a:xfrm>
                    <a:prstGeom prst="rect">
                      <a:avLst/>
                    </a:prstGeom>
                    <a:ln>
                      <a:noFill/>
                    </a:ln>
                    <a:extLst>
                      <a:ext uri="{53640926-AAD7-44D8-BBD7-CCE9431645EC}">
                        <a14:shadowObscured xmlns:a14="http://schemas.microsoft.com/office/drawing/2010/main"/>
                      </a:ext>
                    </a:extLst>
                  </pic:spPr>
                </pic:pic>
              </a:graphicData>
            </a:graphic>
          </wp:inline>
        </w:drawing>
      </w:r>
      <w:r>
        <w:rPr>
          <w:sz w:val="36"/>
          <w:szCs w:val="36"/>
        </w:rPr>
        <w:br/>
      </w:r>
      <w:r>
        <w:rPr>
          <w:noProof/>
          <w:lang w:eastAsia="ko-KR"/>
        </w:rPr>
        <w:drawing>
          <wp:inline distT="0" distB="0" distL="0" distR="0" wp14:anchorId="45BEB295" wp14:editId="49CE146E">
            <wp:extent cx="2090057" cy="370114"/>
            <wp:effectExtent l="0" t="0" r="5715" b="0"/>
            <wp:docPr id="422" name="Picture 422"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470388F6" w14:textId="77777777" w:rsidR="00623C47" w:rsidRPr="00AC0D29" w:rsidRDefault="00623C47" w:rsidP="00623C47">
      <w:pPr>
        <w:spacing w:after="0"/>
        <w:rPr>
          <w:rFonts w:cstheme="minorHAnsi"/>
        </w:rPr>
      </w:pPr>
    </w:p>
    <w:p w14:paraId="6DAA0EF2" w14:textId="77777777" w:rsidR="00623C47" w:rsidRPr="00AC0D29" w:rsidRDefault="00623C47" w:rsidP="00623C47">
      <w:pPr>
        <w:spacing w:after="0"/>
        <w:ind w:firstLine="0"/>
        <w:rPr>
          <w:rFonts w:cstheme="minorHAnsi"/>
        </w:rPr>
      </w:pPr>
      <w:r w:rsidRPr="00AC0D29">
        <w:rPr>
          <w:rFonts w:cstheme="minorHAnsi"/>
          <w:b/>
          <w:bCs/>
        </w:rPr>
        <w:t>Activity 6:</w:t>
      </w:r>
      <w:r w:rsidRPr="00AC0D29">
        <w:rPr>
          <w:rFonts w:cstheme="minorHAnsi"/>
        </w:rPr>
        <w:t xml:space="preserve"> Assist the agency to develop educational and/or marketing materials for use with businesses.</w:t>
      </w:r>
    </w:p>
    <w:p w14:paraId="300C41FE" w14:textId="77777777" w:rsidR="00623C47" w:rsidRPr="00AC0D29" w:rsidRDefault="00623C47" w:rsidP="00623C47">
      <w:pPr>
        <w:spacing w:after="0"/>
        <w:ind w:firstLine="0"/>
        <w:rPr>
          <w:rFonts w:cstheme="minorHAnsi"/>
        </w:rPr>
      </w:pPr>
      <w:r w:rsidRPr="00AC0D29">
        <w:rPr>
          <w:rFonts w:cstheme="minorHAnsi"/>
          <w:b/>
          <w:bCs/>
        </w:rPr>
        <w:t>Output F:</w:t>
      </w:r>
      <w:r w:rsidRPr="00AC0D29">
        <w:rPr>
          <w:rFonts w:cstheme="minorHAnsi"/>
        </w:rPr>
        <w:t xml:space="preserve"> A draft of completed educational and/or marketing materials.</w:t>
      </w:r>
    </w:p>
    <w:p w14:paraId="614C6C49" w14:textId="77777777" w:rsidR="00623C47" w:rsidRPr="007904F1" w:rsidRDefault="00623C47" w:rsidP="00623C47">
      <w:pPr>
        <w:tabs>
          <w:tab w:val="left" w:pos="360"/>
        </w:tabs>
        <w:ind w:firstLine="0"/>
        <w:jc w:val="center"/>
        <w:rPr>
          <w:b/>
          <w:bCs/>
          <w:szCs w:val="14"/>
        </w:rPr>
      </w:pPr>
      <w:r w:rsidRPr="003A10D6">
        <w:rPr>
          <w:sz w:val="36"/>
          <w:szCs w:val="36"/>
        </w:rPr>
        <w:lastRenderedPageBreak/>
        <w:t xml:space="preserve">Activity </w:t>
      </w:r>
      <w:r>
        <w:rPr>
          <w:sz w:val="36"/>
          <w:szCs w:val="36"/>
        </w:rPr>
        <w:t>Unique</w:t>
      </w:r>
      <w:r>
        <w:rPr>
          <w:sz w:val="36"/>
          <w:szCs w:val="36"/>
        </w:rPr>
        <w:br/>
      </w:r>
      <w:r>
        <w:rPr>
          <w:noProof/>
          <w:lang w:eastAsia="ko-KR"/>
        </w:rPr>
        <w:drawing>
          <wp:inline distT="0" distB="0" distL="0" distR="0" wp14:anchorId="0BC50002" wp14:editId="1A4F0D64">
            <wp:extent cx="1471930" cy="4524375"/>
            <wp:effectExtent l="0" t="0" r="0" b="9525"/>
            <wp:docPr id="423" name="Picture 423" descr="Activity &amp; Outputs Progress un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3" cstate="hqprint">
                      <a:extLst>
                        <a:ext uri="{28A0092B-C50C-407E-A947-70E740481C1C}">
                          <a14:useLocalDpi xmlns:a14="http://schemas.microsoft.com/office/drawing/2010/main"/>
                        </a:ext>
                      </a:extLst>
                    </a:blip>
                    <a:srcRect/>
                    <a:stretch/>
                  </pic:blipFill>
                  <pic:spPr bwMode="auto">
                    <a:xfrm>
                      <a:off x="0" y="0"/>
                      <a:ext cx="1472184" cy="4525156"/>
                    </a:xfrm>
                    <a:prstGeom prst="rect">
                      <a:avLst/>
                    </a:prstGeom>
                    <a:ln>
                      <a:noFill/>
                    </a:ln>
                    <a:extLst>
                      <a:ext uri="{53640926-AAD7-44D8-BBD7-CCE9431645EC}">
                        <a14:shadowObscured xmlns:a14="http://schemas.microsoft.com/office/drawing/2010/main"/>
                      </a:ext>
                    </a:extLst>
                  </pic:spPr>
                </pic:pic>
              </a:graphicData>
            </a:graphic>
          </wp:inline>
        </w:drawing>
      </w:r>
      <w:r>
        <w:rPr>
          <w:sz w:val="36"/>
          <w:szCs w:val="36"/>
        </w:rPr>
        <w:br/>
      </w:r>
      <w:r>
        <w:rPr>
          <w:noProof/>
          <w:lang w:eastAsia="ko-KR"/>
        </w:rPr>
        <w:drawing>
          <wp:inline distT="0" distB="0" distL="0" distR="0" wp14:anchorId="0BF35722" wp14:editId="0406680F">
            <wp:extent cx="2090057" cy="370114"/>
            <wp:effectExtent l="0" t="0" r="5715" b="0"/>
            <wp:docPr id="424" name="Picture 424"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4BE32381" w14:textId="77777777" w:rsidR="00623C47" w:rsidRPr="00AC0D29" w:rsidRDefault="00623C47" w:rsidP="00623C47">
      <w:pPr>
        <w:spacing w:after="0"/>
        <w:ind w:firstLine="0"/>
        <w:rPr>
          <w:rFonts w:cstheme="minorHAnsi"/>
        </w:rPr>
      </w:pPr>
      <w:r w:rsidRPr="00AC0D29">
        <w:rPr>
          <w:rFonts w:cstheme="minorHAnsi"/>
          <w:b/>
          <w:bCs/>
        </w:rPr>
        <w:t xml:space="preserve">Activity </w:t>
      </w:r>
      <w:r>
        <w:rPr>
          <w:rFonts w:cstheme="minorHAnsi"/>
          <w:b/>
          <w:bCs/>
        </w:rPr>
        <w:t>Unique</w:t>
      </w:r>
      <w:r w:rsidRPr="00AC0D29">
        <w:rPr>
          <w:rFonts w:cstheme="minorHAnsi"/>
          <w:b/>
          <w:bCs/>
        </w:rPr>
        <w:t>:</w:t>
      </w:r>
      <w:r w:rsidRPr="00AC0D29">
        <w:rPr>
          <w:rFonts w:cstheme="minorHAnsi"/>
        </w:rPr>
        <w:t xml:space="preserve"> Form regional collaboratives for business engagement in concert with </w:t>
      </w:r>
      <w:r>
        <w:rPr>
          <w:rFonts w:cstheme="minorHAnsi"/>
        </w:rPr>
        <w:t>state</w:t>
      </w:r>
      <w:r w:rsidRPr="00AC0D29">
        <w:rPr>
          <w:rFonts w:cstheme="minorHAnsi"/>
        </w:rPr>
        <w:t>, Behavioral Health, Education and other partners.</w:t>
      </w:r>
    </w:p>
    <w:p w14:paraId="63D5F6C9" w14:textId="77777777" w:rsidR="00623C47" w:rsidRPr="00AC0D29" w:rsidRDefault="00623C47" w:rsidP="00623C47">
      <w:pPr>
        <w:spacing w:after="0"/>
        <w:ind w:firstLine="0"/>
        <w:rPr>
          <w:rFonts w:cstheme="minorHAnsi"/>
        </w:rPr>
      </w:pPr>
      <w:r w:rsidRPr="00AC0D29">
        <w:rPr>
          <w:rFonts w:cstheme="minorHAnsi"/>
          <w:b/>
          <w:bCs/>
        </w:rPr>
        <w:t xml:space="preserve">Output </w:t>
      </w:r>
      <w:r>
        <w:rPr>
          <w:rFonts w:cstheme="minorHAnsi"/>
          <w:b/>
          <w:bCs/>
        </w:rPr>
        <w:t>Unique</w:t>
      </w:r>
      <w:r w:rsidRPr="00AC0D29">
        <w:rPr>
          <w:rFonts w:cstheme="minorHAnsi"/>
          <w:b/>
          <w:bCs/>
        </w:rPr>
        <w:t>:</w:t>
      </w:r>
      <w:r w:rsidRPr="00AC0D29">
        <w:rPr>
          <w:rFonts w:cstheme="minorHAnsi"/>
        </w:rPr>
        <w:t xml:space="preserve"> Develop and implement a system of 4 regional collaboratives as focal points for business engagement activities.</w:t>
      </w:r>
    </w:p>
    <w:p w14:paraId="22695E94" w14:textId="77777777" w:rsidR="00623C47" w:rsidRDefault="00623C47" w:rsidP="00623C47"/>
    <w:p w14:paraId="3F5E1A46" w14:textId="77777777" w:rsidR="00623C47" w:rsidRDefault="00623C47" w:rsidP="00623C47">
      <w:pPr>
        <w:jc w:val="center"/>
        <w:rPr>
          <w:szCs w:val="14"/>
        </w:rPr>
      </w:pPr>
    </w:p>
    <w:p w14:paraId="1822C659" w14:textId="77777777" w:rsidR="00623C47" w:rsidRDefault="00623C47" w:rsidP="00623C47">
      <w:pPr>
        <w:jc w:val="center"/>
        <w:rPr>
          <w:szCs w:val="14"/>
        </w:rPr>
        <w:sectPr w:rsidR="00623C47" w:rsidSect="0042504C">
          <w:headerReference w:type="even" r:id="rId454"/>
          <w:headerReference w:type="default" r:id="rId455"/>
          <w:footerReference w:type="even" r:id="rId456"/>
          <w:footerReference w:type="default" r:id="rId457"/>
          <w:headerReference w:type="first" r:id="rId458"/>
          <w:footerReference w:type="first" r:id="rId459"/>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num="2" w:space="720"/>
          <w:docGrid w:linePitch="360"/>
        </w:sectPr>
      </w:pPr>
    </w:p>
    <w:p w14:paraId="092012C9" w14:textId="723E41B6" w:rsidR="00623C47" w:rsidRDefault="00623C47" w:rsidP="00623C47">
      <w:pPr>
        <w:pStyle w:val="Heading2"/>
      </w:pPr>
      <w:bookmarkStart w:id="180" w:name="_Toc41940286"/>
      <w:r w:rsidRPr="009E708E">
        <w:lastRenderedPageBreak/>
        <w:t>Business Engagement:</w:t>
      </w:r>
      <w:r>
        <w:t xml:space="preserve"> Outcomes Progress Dashboards</w:t>
      </w:r>
      <w:bookmarkEnd w:id="180"/>
      <w:r>
        <w:tab/>
      </w:r>
    </w:p>
    <w:p w14:paraId="2E7D6351" w14:textId="77777777" w:rsidR="00623C47" w:rsidRDefault="00623C47" w:rsidP="00623C47">
      <w:pPr>
        <w:jc w:val="center"/>
        <w:rPr>
          <w:sz w:val="24"/>
          <w:szCs w:val="24"/>
        </w:rPr>
      </w:pPr>
    </w:p>
    <w:p w14:paraId="1B57DA0B" w14:textId="77777777" w:rsidR="00623C47" w:rsidRPr="00E47117" w:rsidRDefault="00623C47" w:rsidP="00623C47">
      <w:pPr>
        <w:jc w:val="center"/>
        <w:rPr>
          <w:sz w:val="24"/>
          <w:szCs w:val="24"/>
        </w:rPr>
      </w:pPr>
      <w:r>
        <w:rPr>
          <w:noProof/>
          <w:lang w:eastAsia="ko-KR"/>
        </w:rPr>
        <w:drawing>
          <wp:inline distT="0" distB="0" distL="0" distR="0" wp14:anchorId="09CD0523" wp14:editId="4AD5565E">
            <wp:extent cx="4714875" cy="2390775"/>
            <wp:effectExtent l="0" t="0" r="9525" b="9525"/>
            <wp:docPr id="425" name="Picture 425" descr="&quot;Speed Dial&quot; Chart (half-donut chart) reflecting progress on outcomes for Business Engagement:&#10;89% have not yet started;&#10;6% are 25% complete;&#10;6% are complete.&#10;(Numbers do not add to 100 because of rou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4714875" cy="2390775"/>
                    </a:xfrm>
                    <a:prstGeom prst="rect">
                      <a:avLst/>
                    </a:prstGeom>
                  </pic:spPr>
                </pic:pic>
              </a:graphicData>
            </a:graphic>
          </wp:inline>
        </w:drawing>
      </w:r>
      <w:r>
        <w:rPr>
          <w:sz w:val="24"/>
          <w:szCs w:val="24"/>
        </w:rPr>
        <w:br/>
      </w:r>
      <w:r>
        <w:rPr>
          <w:noProof/>
          <w:lang w:eastAsia="ko-KR"/>
        </w:rPr>
        <w:drawing>
          <wp:inline distT="0" distB="0" distL="0" distR="0" wp14:anchorId="62E74F37" wp14:editId="5ED6D3CF">
            <wp:extent cx="5086350" cy="266700"/>
            <wp:effectExtent l="0" t="0" r="0" b="0"/>
            <wp:docPr id="426" name="Picture 426" descr="&quot;Speed Dial&quot; Chart (half-donut chart) reflecting progress on outcomes for Business Engagement:&#10;89% have not yet started;&#10;6% are 25% complete;&#10;6% are complete.&#10;(Numbers do not add to 100 because of rounding.)"/>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233" cstate="hqprint">
                      <a:extLst>
                        <a:ext uri="{28A0092B-C50C-407E-A947-70E740481C1C}">
                          <a14:useLocalDpi xmlns:a14="http://schemas.microsoft.com/office/drawing/2010/main"/>
                        </a:ext>
                      </a:extLst>
                    </a:blip>
                    <a:srcRect/>
                    <a:stretch/>
                  </pic:blipFill>
                  <pic:spPr bwMode="auto">
                    <a:xfrm>
                      <a:off x="0" y="0"/>
                      <a:ext cx="5086350" cy="266700"/>
                    </a:xfrm>
                    <a:prstGeom prst="rect">
                      <a:avLst/>
                    </a:prstGeom>
                    <a:noFill/>
                    <a:ln>
                      <a:noFill/>
                    </a:ln>
                    <a:extLst>
                      <a:ext uri="{53640926-AAD7-44D8-BBD7-CCE9431645EC}">
                        <a14:shadowObscured xmlns:a14="http://schemas.microsoft.com/office/drawing/2010/main"/>
                      </a:ext>
                    </a:extLst>
                  </pic:spPr>
                </pic:pic>
              </a:graphicData>
            </a:graphic>
          </wp:inline>
        </w:drawing>
      </w:r>
    </w:p>
    <w:p w14:paraId="145493A4" w14:textId="77777777" w:rsidR="00623C47" w:rsidRDefault="00623C47" w:rsidP="00623C47">
      <w:r>
        <w:t xml:space="preserve">The speedometer dashboard above shows the progress on outcomes, which has increased over the past two quarters since the end of Year 4, from 7% to 11% overall.  Ten percent of activities are completed or nearly complete, up from 6% at the end of the year.  </w:t>
      </w:r>
    </w:p>
    <w:p w14:paraId="0BB0C489" w14:textId="77777777" w:rsidR="00623C47" w:rsidRDefault="00623C47" w:rsidP="00623C47">
      <w:r>
        <w:t xml:space="preserve">Below, a dashboard of outcomes presents changes in SVRA staff capacity, services to business, and services to consumers related to the engagement of businesses shows data from three agencies.  In many instances, one sees increases from pre-TA or baseline levels on the metrics as well as targets being met or exceeded.  </w:t>
      </w:r>
    </w:p>
    <w:tbl>
      <w:tblPr>
        <w:tblW w:w="5000" w:type="pct"/>
        <w:tblLook w:val="04A0" w:firstRow="1" w:lastRow="0" w:firstColumn="1" w:lastColumn="0" w:noHBand="0" w:noVBand="1"/>
      </w:tblPr>
      <w:tblGrid>
        <w:gridCol w:w="9340"/>
      </w:tblGrid>
      <w:tr w:rsidR="00623C47" w:rsidRPr="00282E59" w14:paraId="5103A310" w14:textId="77777777" w:rsidTr="00623C47">
        <w:trPr>
          <w:trHeight w:val="600"/>
        </w:trPr>
        <w:tc>
          <w:tcPr>
            <w:tcW w:w="5000" w:type="pct"/>
            <w:tcBorders>
              <w:top w:val="single" w:sz="8" w:space="0" w:color="auto"/>
              <w:left w:val="single" w:sz="8" w:space="0" w:color="auto"/>
              <w:bottom w:val="single" w:sz="4" w:space="0" w:color="auto"/>
              <w:right w:val="single" w:sz="8" w:space="0" w:color="000000"/>
            </w:tcBorders>
            <w:shd w:val="clear" w:color="000000" w:fill="A9D08E"/>
            <w:vAlign w:val="bottom"/>
            <w:hideMark/>
          </w:tcPr>
          <w:p w14:paraId="177079F6" w14:textId="77777777" w:rsidR="00623C47" w:rsidRPr="00282E59" w:rsidRDefault="00623C47" w:rsidP="00623C47">
            <w:pPr>
              <w:spacing w:after="0" w:line="240" w:lineRule="auto"/>
              <w:jc w:val="center"/>
              <w:rPr>
                <w:rFonts w:eastAsia="Times New Roman" w:cstheme="minorHAnsi"/>
                <w:b/>
                <w:bCs/>
                <w:color w:val="000000"/>
              </w:rPr>
            </w:pPr>
            <w:r w:rsidRPr="00282E59">
              <w:rPr>
                <w:rFonts w:eastAsia="Times New Roman" w:cstheme="minorHAnsi"/>
                <w:b/>
                <w:bCs/>
                <w:color w:val="000000"/>
              </w:rPr>
              <w:t>BUSINESS ENGAGEMENT OUTCOMES</w:t>
            </w:r>
          </w:p>
        </w:tc>
      </w:tr>
    </w:tbl>
    <w:p w14:paraId="13938EB5" w14:textId="77777777" w:rsidR="00623C47" w:rsidRDefault="00623C47" w:rsidP="00623C47">
      <w:pPr>
        <w:spacing w:after="0" w:line="40" w:lineRule="exact"/>
      </w:pPr>
    </w:p>
    <w:tbl>
      <w:tblPr>
        <w:tblW w:w="5000" w:type="pct"/>
        <w:tblLook w:val="04A0" w:firstRow="1" w:lastRow="0" w:firstColumn="1" w:lastColumn="0" w:noHBand="0" w:noVBand="1"/>
      </w:tblPr>
      <w:tblGrid>
        <w:gridCol w:w="2637"/>
        <w:gridCol w:w="590"/>
        <w:gridCol w:w="695"/>
        <w:gridCol w:w="771"/>
        <w:gridCol w:w="590"/>
        <w:gridCol w:w="695"/>
        <w:gridCol w:w="1280"/>
        <w:gridCol w:w="616"/>
        <w:gridCol w:w="695"/>
        <w:gridCol w:w="771"/>
      </w:tblGrid>
      <w:tr w:rsidR="00623C47" w:rsidRPr="00282E59" w14:paraId="1CBF5694" w14:textId="77777777" w:rsidTr="00623C47">
        <w:trPr>
          <w:trHeight w:val="400"/>
          <w:tblHeader/>
        </w:trPr>
        <w:tc>
          <w:tcPr>
            <w:tcW w:w="1412" w:type="pct"/>
            <w:tcBorders>
              <w:top w:val="nil"/>
              <w:left w:val="single" w:sz="8" w:space="0" w:color="auto"/>
              <w:bottom w:val="single" w:sz="4" w:space="0" w:color="auto"/>
              <w:right w:val="single" w:sz="12" w:space="0" w:color="auto"/>
            </w:tcBorders>
            <w:shd w:val="clear" w:color="000000" w:fill="ED7D31"/>
            <w:vAlign w:val="bottom"/>
            <w:hideMark/>
          </w:tcPr>
          <w:p w14:paraId="1ED66CD4" w14:textId="77777777" w:rsidR="00623C47" w:rsidRPr="00282E59" w:rsidRDefault="00623C47" w:rsidP="00623C47">
            <w:pPr>
              <w:spacing w:after="0" w:line="240" w:lineRule="auto"/>
              <w:ind w:firstLine="0"/>
              <w:rPr>
                <w:rFonts w:eastAsia="Times New Roman" w:cstheme="minorHAnsi"/>
                <w:color w:val="000000"/>
              </w:rPr>
            </w:pPr>
            <w:r w:rsidRPr="00282E59">
              <w:rPr>
                <w:rFonts w:eastAsia="Times New Roman" w:cstheme="minorHAnsi"/>
                <w:color w:val="000000"/>
              </w:rPr>
              <w:t> </w:t>
            </w:r>
          </w:p>
        </w:tc>
        <w:tc>
          <w:tcPr>
            <w:tcW w:w="1101" w:type="pct"/>
            <w:gridSpan w:val="3"/>
            <w:tcBorders>
              <w:top w:val="single" w:sz="4" w:space="0" w:color="auto"/>
              <w:left w:val="nil"/>
              <w:bottom w:val="single" w:sz="4" w:space="0" w:color="auto"/>
              <w:right w:val="single" w:sz="12" w:space="0" w:color="000000"/>
            </w:tcBorders>
            <w:shd w:val="clear" w:color="000000" w:fill="ED7D31"/>
            <w:vAlign w:val="bottom"/>
            <w:hideMark/>
          </w:tcPr>
          <w:p w14:paraId="2319C7E6" w14:textId="77777777" w:rsidR="00623C47" w:rsidRPr="00282E59" w:rsidRDefault="00623C47" w:rsidP="00623C47">
            <w:pPr>
              <w:spacing w:after="0" w:line="240" w:lineRule="auto"/>
              <w:ind w:firstLine="0"/>
              <w:jc w:val="center"/>
              <w:rPr>
                <w:rFonts w:eastAsia="Times New Roman" w:cstheme="minorHAnsi"/>
                <w:b/>
                <w:bCs/>
                <w:color w:val="000000"/>
              </w:rPr>
            </w:pPr>
            <w:r w:rsidRPr="00282E59">
              <w:rPr>
                <w:rFonts w:eastAsia="Times New Roman" w:cstheme="minorHAnsi"/>
                <w:b/>
                <w:bCs/>
                <w:color w:val="000000"/>
              </w:rPr>
              <w:t>Agency 1 - Blind</w:t>
            </w:r>
          </w:p>
        </w:tc>
        <w:tc>
          <w:tcPr>
            <w:tcW w:w="1373" w:type="pct"/>
            <w:gridSpan w:val="3"/>
            <w:tcBorders>
              <w:top w:val="single" w:sz="4" w:space="0" w:color="auto"/>
              <w:left w:val="nil"/>
              <w:bottom w:val="single" w:sz="4" w:space="0" w:color="auto"/>
              <w:right w:val="single" w:sz="12" w:space="0" w:color="000000"/>
            </w:tcBorders>
            <w:shd w:val="clear" w:color="000000" w:fill="ED7D31"/>
            <w:vAlign w:val="bottom"/>
            <w:hideMark/>
          </w:tcPr>
          <w:p w14:paraId="2F1695F4" w14:textId="77777777" w:rsidR="00623C47" w:rsidRPr="00282E59" w:rsidRDefault="00623C47" w:rsidP="00623C47">
            <w:pPr>
              <w:spacing w:after="0" w:line="240" w:lineRule="auto"/>
              <w:ind w:firstLine="0"/>
              <w:jc w:val="center"/>
              <w:rPr>
                <w:rFonts w:eastAsia="Times New Roman" w:cstheme="minorHAnsi"/>
                <w:b/>
                <w:bCs/>
                <w:color w:val="000000"/>
              </w:rPr>
            </w:pPr>
            <w:r w:rsidRPr="00282E59">
              <w:rPr>
                <w:rFonts w:eastAsia="Times New Roman" w:cstheme="minorHAnsi"/>
                <w:b/>
                <w:bCs/>
                <w:color w:val="000000"/>
              </w:rPr>
              <w:t>Agency 2 - General</w:t>
            </w:r>
          </w:p>
        </w:tc>
        <w:tc>
          <w:tcPr>
            <w:tcW w:w="1115" w:type="pct"/>
            <w:gridSpan w:val="3"/>
            <w:tcBorders>
              <w:top w:val="single" w:sz="4" w:space="0" w:color="auto"/>
              <w:left w:val="nil"/>
              <w:bottom w:val="single" w:sz="4" w:space="0" w:color="auto"/>
              <w:right w:val="single" w:sz="8" w:space="0" w:color="000000"/>
            </w:tcBorders>
            <w:shd w:val="clear" w:color="000000" w:fill="ED7D31"/>
            <w:vAlign w:val="bottom"/>
            <w:hideMark/>
          </w:tcPr>
          <w:p w14:paraId="10836B7D" w14:textId="77777777" w:rsidR="00623C47" w:rsidRPr="00282E59" w:rsidRDefault="00623C47" w:rsidP="00623C47">
            <w:pPr>
              <w:spacing w:after="0" w:line="240" w:lineRule="auto"/>
              <w:ind w:firstLine="0"/>
              <w:jc w:val="center"/>
              <w:rPr>
                <w:rFonts w:eastAsia="Times New Roman" w:cstheme="minorHAnsi"/>
                <w:b/>
                <w:bCs/>
                <w:color w:val="000000"/>
              </w:rPr>
            </w:pPr>
            <w:r w:rsidRPr="00282E59">
              <w:rPr>
                <w:rFonts w:eastAsia="Times New Roman" w:cstheme="minorHAnsi"/>
                <w:b/>
                <w:bCs/>
                <w:color w:val="000000"/>
              </w:rPr>
              <w:t>Agency 3 - General</w:t>
            </w:r>
          </w:p>
        </w:tc>
      </w:tr>
      <w:tr w:rsidR="00623C47" w:rsidRPr="00BA2FEF" w14:paraId="2BA37CC3" w14:textId="77777777" w:rsidTr="00623C47">
        <w:trPr>
          <w:trHeight w:val="610"/>
          <w:tblHeader/>
        </w:trPr>
        <w:tc>
          <w:tcPr>
            <w:tcW w:w="1412" w:type="pct"/>
            <w:tcBorders>
              <w:top w:val="nil"/>
              <w:left w:val="single" w:sz="8" w:space="0" w:color="auto"/>
              <w:bottom w:val="single" w:sz="4" w:space="0" w:color="auto"/>
              <w:right w:val="single" w:sz="12" w:space="0" w:color="auto"/>
            </w:tcBorders>
            <w:shd w:val="clear" w:color="000000" w:fill="FCE4D6"/>
            <w:vAlign w:val="bottom"/>
            <w:hideMark/>
          </w:tcPr>
          <w:p w14:paraId="73694022" w14:textId="77777777" w:rsidR="00623C47" w:rsidRPr="00282E59" w:rsidRDefault="00623C47" w:rsidP="00623C47">
            <w:pPr>
              <w:spacing w:after="0" w:line="240" w:lineRule="auto"/>
              <w:ind w:firstLine="0"/>
              <w:jc w:val="center"/>
              <w:rPr>
                <w:rFonts w:eastAsia="Times New Roman" w:cstheme="minorHAnsi"/>
                <w:b/>
                <w:bCs/>
                <w:color w:val="000000"/>
              </w:rPr>
            </w:pPr>
            <w:r w:rsidRPr="00282E59">
              <w:rPr>
                <w:rFonts w:eastAsia="Times New Roman" w:cstheme="minorHAnsi"/>
                <w:b/>
                <w:bCs/>
                <w:color w:val="000000"/>
              </w:rPr>
              <w:t>Item</w:t>
            </w:r>
          </w:p>
        </w:tc>
        <w:tc>
          <w:tcPr>
            <w:tcW w:w="316" w:type="pct"/>
            <w:tcBorders>
              <w:top w:val="nil"/>
              <w:left w:val="nil"/>
              <w:bottom w:val="single" w:sz="4" w:space="0" w:color="auto"/>
              <w:right w:val="single" w:sz="4" w:space="0" w:color="auto"/>
            </w:tcBorders>
            <w:shd w:val="clear" w:color="000000" w:fill="FFF2CC"/>
            <w:vAlign w:val="bottom"/>
            <w:hideMark/>
          </w:tcPr>
          <w:p w14:paraId="27CE466C" w14:textId="77777777" w:rsidR="00623C47" w:rsidRPr="00282E59" w:rsidRDefault="00623C47" w:rsidP="00623C47">
            <w:pPr>
              <w:spacing w:after="0" w:line="240" w:lineRule="auto"/>
              <w:ind w:firstLine="0"/>
              <w:jc w:val="center"/>
              <w:rPr>
                <w:rFonts w:eastAsia="Times New Roman" w:cstheme="minorHAnsi"/>
                <w:b/>
                <w:bCs/>
                <w:color w:val="000000"/>
              </w:rPr>
            </w:pPr>
            <w:r w:rsidRPr="00282E59">
              <w:rPr>
                <w:rFonts w:eastAsia="Times New Roman" w:cstheme="minorHAnsi"/>
                <w:b/>
                <w:bCs/>
                <w:color w:val="000000"/>
              </w:rPr>
              <w:t>Pre-TA</w:t>
            </w:r>
          </w:p>
        </w:tc>
        <w:tc>
          <w:tcPr>
            <w:tcW w:w="372" w:type="pct"/>
            <w:tcBorders>
              <w:top w:val="nil"/>
              <w:left w:val="nil"/>
              <w:bottom w:val="single" w:sz="4" w:space="0" w:color="auto"/>
              <w:right w:val="single" w:sz="4" w:space="0" w:color="auto"/>
            </w:tcBorders>
            <w:shd w:val="clear" w:color="000000" w:fill="D9E1F2"/>
            <w:vAlign w:val="bottom"/>
            <w:hideMark/>
          </w:tcPr>
          <w:p w14:paraId="2F7070A2" w14:textId="77777777" w:rsidR="00623C47" w:rsidRPr="00282E59" w:rsidRDefault="00623C47" w:rsidP="00623C47">
            <w:pPr>
              <w:spacing w:after="0" w:line="240" w:lineRule="auto"/>
              <w:ind w:firstLine="0"/>
              <w:jc w:val="center"/>
              <w:rPr>
                <w:rFonts w:eastAsia="Times New Roman" w:cstheme="minorHAnsi"/>
                <w:b/>
                <w:bCs/>
                <w:color w:val="000000"/>
              </w:rPr>
            </w:pPr>
            <w:r w:rsidRPr="00282E59">
              <w:rPr>
                <w:rFonts w:eastAsia="Times New Roman" w:cstheme="minorHAnsi"/>
                <w:b/>
                <w:bCs/>
                <w:color w:val="000000"/>
              </w:rPr>
              <w:t>Since TA</w:t>
            </w:r>
          </w:p>
        </w:tc>
        <w:tc>
          <w:tcPr>
            <w:tcW w:w="413" w:type="pct"/>
            <w:tcBorders>
              <w:top w:val="nil"/>
              <w:left w:val="nil"/>
              <w:bottom w:val="single" w:sz="4" w:space="0" w:color="auto"/>
              <w:right w:val="single" w:sz="12" w:space="0" w:color="auto"/>
            </w:tcBorders>
            <w:shd w:val="clear" w:color="000000" w:fill="E2EFDA"/>
            <w:vAlign w:val="bottom"/>
            <w:hideMark/>
          </w:tcPr>
          <w:p w14:paraId="079DB0B3" w14:textId="77777777" w:rsidR="00623C47" w:rsidRPr="00282E59" w:rsidRDefault="00623C47" w:rsidP="00623C47">
            <w:pPr>
              <w:spacing w:after="0" w:line="240" w:lineRule="auto"/>
              <w:ind w:firstLine="0"/>
              <w:jc w:val="center"/>
              <w:rPr>
                <w:rFonts w:eastAsia="Times New Roman" w:cstheme="minorHAnsi"/>
                <w:b/>
                <w:bCs/>
                <w:color w:val="000000"/>
              </w:rPr>
            </w:pPr>
            <w:r w:rsidRPr="00282E59">
              <w:rPr>
                <w:rFonts w:eastAsia="Times New Roman" w:cstheme="minorHAnsi"/>
                <w:b/>
                <w:bCs/>
                <w:color w:val="000000"/>
              </w:rPr>
              <w:t>ITAA target</w:t>
            </w:r>
          </w:p>
        </w:tc>
        <w:tc>
          <w:tcPr>
            <w:tcW w:w="316" w:type="pct"/>
            <w:tcBorders>
              <w:top w:val="nil"/>
              <w:left w:val="nil"/>
              <w:bottom w:val="single" w:sz="4" w:space="0" w:color="auto"/>
              <w:right w:val="single" w:sz="4" w:space="0" w:color="auto"/>
            </w:tcBorders>
            <w:shd w:val="clear" w:color="000000" w:fill="FFF2CC"/>
            <w:vAlign w:val="bottom"/>
            <w:hideMark/>
          </w:tcPr>
          <w:p w14:paraId="47907F32" w14:textId="77777777" w:rsidR="00623C47" w:rsidRPr="00282E59" w:rsidRDefault="00623C47" w:rsidP="00623C47">
            <w:pPr>
              <w:spacing w:after="0" w:line="240" w:lineRule="auto"/>
              <w:ind w:firstLine="0"/>
              <w:jc w:val="center"/>
              <w:rPr>
                <w:rFonts w:eastAsia="Times New Roman" w:cstheme="minorHAnsi"/>
                <w:b/>
                <w:bCs/>
                <w:color w:val="000000"/>
              </w:rPr>
            </w:pPr>
            <w:r w:rsidRPr="00282E59">
              <w:rPr>
                <w:rFonts w:eastAsia="Times New Roman" w:cstheme="minorHAnsi"/>
                <w:b/>
                <w:bCs/>
                <w:color w:val="000000"/>
              </w:rPr>
              <w:t>Pre-TA</w:t>
            </w:r>
          </w:p>
        </w:tc>
        <w:tc>
          <w:tcPr>
            <w:tcW w:w="372" w:type="pct"/>
            <w:tcBorders>
              <w:top w:val="nil"/>
              <w:left w:val="single" w:sz="4" w:space="0" w:color="auto"/>
              <w:bottom w:val="single" w:sz="4" w:space="0" w:color="auto"/>
              <w:right w:val="single" w:sz="4" w:space="0" w:color="auto"/>
            </w:tcBorders>
            <w:shd w:val="clear" w:color="000000" w:fill="D9E1F2"/>
            <w:vAlign w:val="bottom"/>
            <w:hideMark/>
          </w:tcPr>
          <w:p w14:paraId="0D6C7589" w14:textId="77777777" w:rsidR="00623C47" w:rsidRPr="00282E59" w:rsidRDefault="00623C47" w:rsidP="00623C47">
            <w:pPr>
              <w:spacing w:after="0" w:line="240" w:lineRule="auto"/>
              <w:ind w:firstLine="0"/>
              <w:jc w:val="center"/>
              <w:rPr>
                <w:rFonts w:eastAsia="Times New Roman" w:cstheme="minorHAnsi"/>
                <w:b/>
                <w:bCs/>
                <w:color w:val="000000"/>
              </w:rPr>
            </w:pPr>
            <w:r w:rsidRPr="00282E59">
              <w:rPr>
                <w:rFonts w:eastAsia="Times New Roman" w:cstheme="minorHAnsi"/>
                <w:b/>
                <w:bCs/>
                <w:color w:val="000000"/>
              </w:rPr>
              <w:t>Since TA</w:t>
            </w:r>
          </w:p>
        </w:tc>
        <w:tc>
          <w:tcPr>
            <w:tcW w:w="685" w:type="pct"/>
            <w:tcBorders>
              <w:top w:val="nil"/>
              <w:left w:val="nil"/>
              <w:bottom w:val="single" w:sz="4" w:space="0" w:color="auto"/>
              <w:right w:val="single" w:sz="12" w:space="0" w:color="auto"/>
            </w:tcBorders>
            <w:shd w:val="clear" w:color="000000" w:fill="E2EFDA"/>
            <w:vAlign w:val="bottom"/>
            <w:hideMark/>
          </w:tcPr>
          <w:p w14:paraId="14E5D07B" w14:textId="77777777" w:rsidR="00623C47" w:rsidRPr="00282E59" w:rsidRDefault="00623C47" w:rsidP="00623C47">
            <w:pPr>
              <w:spacing w:after="0" w:line="240" w:lineRule="auto"/>
              <w:ind w:firstLine="0"/>
              <w:jc w:val="center"/>
              <w:rPr>
                <w:rFonts w:eastAsia="Times New Roman" w:cstheme="minorHAnsi"/>
                <w:b/>
                <w:bCs/>
                <w:color w:val="000000"/>
              </w:rPr>
            </w:pPr>
            <w:r w:rsidRPr="00282E59">
              <w:rPr>
                <w:rFonts w:eastAsia="Times New Roman" w:cstheme="minorHAnsi"/>
                <w:b/>
                <w:bCs/>
                <w:color w:val="000000"/>
              </w:rPr>
              <w:t>ITAA target</w:t>
            </w:r>
          </w:p>
        </w:tc>
        <w:tc>
          <w:tcPr>
            <w:tcW w:w="330" w:type="pct"/>
            <w:tcBorders>
              <w:top w:val="nil"/>
              <w:left w:val="nil"/>
              <w:bottom w:val="single" w:sz="4" w:space="0" w:color="auto"/>
              <w:right w:val="single" w:sz="4" w:space="0" w:color="auto"/>
            </w:tcBorders>
            <w:shd w:val="clear" w:color="000000" w:fill="FFF2CC"/>
            <w:vAlign w:val="bottom"/>
            <w:hideMark/>
          </w:tcPr>
          <w:p w14:paraId="4F7BABA4" w14:textId="77777777" w:rsidR="00623C47" w:rsidRPr="00282E59" w:rsidRDefault="00623C47" w:rsidP="00623C47">
            <w:pPr>
              <w:spacing w:after="0" w:line="240" w:lineRule="auto"/>
              <w:ind w:firstLine="0"/>
              <w:jc w:val="center"/>
              <w:rPr>
                <w:rFonts w:eastAsia="Times New Roman" w:cstheme="minorHAnsi"/>
                <w:b/>
                <w:bCs/>
                <w:color w:val="000000"/>
              </w:rPr>
            </w:pPr>
            <w:r w:rsidRPr="00282E59">
              <w:rPr>
                <w:rFonts w:eastAsia="Times New Roman" w:cstheme="minorHAnsi"/>
                <w:b/>
                <w:bCs/>
                <w:color w:val="000000"/>
              </w:rPr>
              <w:t>Pre-TA</w:t>
            </w:r>
          </w:p>
        </w:tc>
        <w:tc>
          <w:tcPr>
            <w:tcW w:w="372" w:type="pct"/>
            <w:tcBorders>
              <w:top w:val="nil"/>
              <w:left w:val="nil"/>
              <w:bottom w:val="single" w:sz="4" w:space="0" w:color="auto"/>
              <w:right w:val="single" w:sz="4" w:space="0" w:color="auto"/>
            </w:tcBorders>
            <w:shd w:val="clear" w:color="000000" w:fill="D9E1F2"/>
            <w:vAlign w:val="bottom"/>
            <w:hideMark/>
          </w:tcPr>
          <w:p w14:paraId="56748BD1" w14:textId="77777777" w:rsidR="00623C47" w:rsidRPr="00282E59" w:rsidRDefault="00623C47" w:rsidP="00623C47">
            <w:pPr>
              <w:spacing w:after="0" w:line="240" w:lineRule="auto"/>
              <w:ind w:firstLine="0"/>
              <w:jc w:val="center"/>
              <w:rPr>
                <w:rFonts w:eastAsia="Times New Roman" w:cstheme="minorHAnsi"/>
                <w:b/>
                <w:bCs/>
                <w:color w:val="000000"/>
              </w:rPr>
            </w:pPr>
            <w:r w:rsidRPr="00282E59">
              <w:rPr>
                <w:rFonts w:eastAsia="Times New Roman" w:cstheme="minorHAnsi"/>
                <w:b/>
                <w:bCs/>
                <w:color w:val="000000"/>
              </w:rPr>
              <w:t>Since TA</w:t>
            </w:r>
          </w:p>
        </w:tc>
        <w:tc>
          <w:tcPr>
            <w:tcW w:w="413" w:type="pct"/>
            <w:tcBorders>
              <w:top w:val="nil"/>
              <w:left w:val="nil"/>
              <w:bottom w:val="single" w:sz="4" w:space="0" w:color="auto"/>
              <w:right w:val="single" w:sz="8" w:space="0" w:color="auto"/>
            </w:tcBorders>
            <w:shd w:val="clear" w:color="000000" w:fill="E2EFDA"/>
            <w:vAlign w:val="bottom"/>
            <w:hideMark/>
          </w:tcPr>
          <w:p w14:paraId="5024B794" w14:textId="77777777" w:rsidR="00623C47" w:rsidRPr="00282E59" w:rsidRDefault="00623C47" w:rsidP="00623C47">
            <w:pPr>
              <w:spacing w:after="0" w:line="240" w:lineRule="auto"/>
              <w:ind w:firstLine="0"/>
              <w:jc w:val="center"/>
              <w:rPr>
                <w:rFonts w:eastAsia="Times New Roman" w:cstheme="minorHAnsi"/>
                <w:b/>
                <w:bCs/>
                <w:color w:val="000000"/>
              </w:rPr>
            </w:pPr>
            <w:r w:rsidRPr="00282E59">
              <w:rPr>
                <w:rFonts w:eastAsia="Times New Roman" w:cstheme="minorHAnsi"/>
                <w:b/>
                <w:bCs/>
                <w:color w:val="000000"/>
              </w:rPr>
              <w:t>ITAA target</w:t>
            </w:r>
          </w:p>
        </w:tc>
      </w:tr>
      <w:tr w:rsidR="00623C47" w:rsidRPr="00282E59" w14:paraId="2FD3441A" w14:textId="77777777" w:rsidTr="00623C47">
        <w:trPr>
          <w:trHeight w:val="340"/>
        </w:trPr>
        <w:tc>
          <w:tcPr>
            <w:tcW w:w="5000" w:type="pct"/>
            <w:gridSpan w:val="10"/>
            <w:tcBorders>
              <w:top w:val="single" w:sz="4" w:space="0" w:color="auto"/>
              <w:left w:val="single" w:sz="8" w:space="0" w:color="auto"/>
              <w:bottom w:val="single" w:sz="4" w:space="0" w:color="auto"/>
              <w:right w:val="single" w:sz="8" w:space="0" w:color="000000"/>
            </w:tcBorders>
            <w:shd w:val="clear" w:color="000000" w:fill="EDEDED"/>
            <w:vAlign w:val="bottom"/>
            <w:hideMark/>
          </w:tcPr>
          <w:p w14:paraId="39F61012" w14:textId="77777777" w:rsidR="00623C47" w:rsidRPr="00282E59" w:rsidRDefault="00623C47" w:rsidP="00623C47">
            <w:pPr>
              <w:spacing w:after="0" w:line="240" w:lineRule="auto"/>
              <w:ind w:firstLine="0"/>
              <w:jc w:val="center"/>
              <w:rPr>
                <w:rFonts w:eastAsia="Times New Roman" w:cstheme="minorHAnsi"/>
                <w:b/>
                <w:bCs/>
                <w:color w:val="000000"/>
              </w:rPr>
            </w:pPr>
            <w:r w:rsidRPr="00282E59">
              <w:rPr>
                <w:rFonts w:eastAsia="Times New Roman" w:cstheme="minorHAnsi"/>
                <w:b/>
                <w:bCs/>
                <w:color w:val="000000"/>
              </w:rPr>
              <w:t>VR Staff Capacity</w:t>
            </w:r>
          </w:p>
        </w:tc>
      </w:tr>
      <w:tr w:rsidR="00623C47" w:rsidRPr="00BA2FEF" w14:paraId="3C2265A7" w14:textId="77777777" w:rsidTr="00623C47">
        <w:trPr>
          <w:trHeight w:val="620"/>
        </w:trPr>
        <w:tc>
          <w:tcPr>
            <w:tcW w:w="1412" w:type="pct"/>
            <w:tcBorders>
              <w:top w:val="nil"/>
              <w:left w:val="single" w:sz="8" w:space="0" w:color="auto"/>
              <w:bottom w:val="single" w:sz="4" w:space="0" w:color="auto"/>
              <w:right w:val="single" w:sz="12" w:space="0" w:color="auto"/>
            </w:tcBorders>
            <w:shd w:val="clear" w:color="000000" w:fill="FCE4D6"/>
            <w:vAlign w:val="bottom"/>
            <w:hideMark/>
          </w:tcPr>
          <w:p w14:paraId="56E870D0" w14:textId="77777777" w:rsidR="00623C47" w:rsidRPr="00282E59" w:rsidRDefault="00623C47" w:rsidP="00623C47">
            <w:pPr>
              <w:spacing w:after="0" w:line="240" w:lineRule="auto"/>
              <w:ind w:firstLine="0"/>
              <w:rPr>
                <w:rFonts w:eastAsia="Times New Roman" w:cstheme="minorHAnsi"/>
                <w:color w:val="000000"/>
              </w:rPr>
            </w:pPr>
            <w:r w:rsidRPr="00282E59">
              <w:rPr>
                <w:rFonts w:eastAsia="Times New Roman" w:cstheme="minorHAnsi"/>
                <w:color w:val="000000"/>
              </w:rPr>
              <w:t>Total number of SVRA staff who perform solely BE functions</w:t>
            </w:r>
          </w:p>
        </w:tc>
        <w:tc>
          <w:tcPr>
            <w:tcW w:w="316" w:type="pct"/>
            <w:tcBorders>
              <w:top w:val="nil"/>
              <w:left w:val="nil"/>
              <w:bottom w:val="single" w:sz="4" w:space="0" w:color="auto"/>
              <w:right w:val="single" w:sz="4" w:space="0" w:color="auto"/>
            </w:tcBorders>
            <w:shd w:val="clear" w:color="000000" w:fill="FFF2CC"/>
            <w:vAlign w:val="center"/>
            <w:hideMark/>
          </w:tcPr>
          <w:p w14:paraId="2E3CAD76"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w:t>
            </w:r>
          </w:p>
        </w:tc>
        <w:tc>
          <w:tcPr>
            <w:tcW w:w="372" w:type="pct"/>
            <w:tcBorders>
              <w:top w:val="nil"/>
              <w:left w:val="nil"/>
              <w:bottom w:val="single" w:sz="4" w:space="0" w:color="auto"/>
              <w:right w:val="single" w:sz="4" w:space="0" w:color="auto"/>
            </w:tcBorders>
            <w:shd w:val="clear" w:color="000000" w:fill="D9E1F2"/>
            <w:vAlign w:val="center"/>
            <w:hideMark/>
          </w:tcPr>
          <w:p w14:paraId="68D74FCC"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w:t>
            </w:r>
          </w:p>
        </w:tc>
        <w:tc>
          <w:tcPr>
            <w:tcW w:w="413" w:type="pct"/>
            <w:tcBorders>
              <w:top w:val="nil"/>
              <w:left w:val="nil"/>
              <w:bottom w:val="single" w:sz="4" w:space="0" w:color="auto"/>
              <w:right w:val="single" w:sz="12" w:space="0" w:color="auto"/>
            </w:tcBorders>
            <w:shd w:val="clear" w:color="000000" w:fill="E2EFDA"/>
            <w:vAlign w:val="center"/>
            <w:hideMark/>
          </w:tcPr>
          <w:p w14:paraId="271D2D56"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w:t>
            </w:r>
          </w:p>
        </w:tc>
        <w:tc>
          <w:tcPr>
            <w:tcW w:w="316" w:type="pct"/>
            <w:tcBorders>
              <w:top w:val="nil"/>
              <w:left w:val="nil"/>
              <w:bottom w:val="single" w:sz="4" w:space="0" w:color="auto"/>
              <w:right w:val="single" w:sz="4" w:space="0" w:color="auto"/>
            </w:tcBorders>
            <w:shd w:val="clear" w:color="000000" w:fill="FFF2CC"/>
            <w:vAlign w:val="center"/>
            <w:hideMark/>
          </w:tcPr>
          <w:p w14:paraId="2561091F"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w:t>
            </w:r>
          </w:p>
        </w:tc>
        <w:tc>
          <w:tcPr>
            <w:tcW w:w="372" w:type="pct"/>
            <w:tcBorders>
              <w:top w:val="nil"/>
              <w:left w:val="nil"/>
              <w:bottom w:val="single" w:sz="4" w:space="0" w:color="auto"/>
              <w:right w:val="single" w:sz="4" w:space="0" w:color="auto"/>
            </w:tcBorders>
            <w:shd w:val="clear" w:color="000000" w:fill="D9E1F2"/>
            <w:vAlign w:val="center"/>
            <w:hideMark/>
          </w:tcPr>
          <w:p w14:paraId="16A7ABAD"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w:t>
            </w:r>
          </w:p>
        </w:tc>
        <w:tc>
          <w:tcPr>
            <w:tcW w:w="685" w:type="pct"/>
            <w:tcBorders>
              <w:top w:val="nil"/>
              <w:left w:val="nil"/>
              <w:bottom w:val="single" w:sz="4" w:space="0" w:color="auto"/>
              <w:right w:val="single" w:sz="12" w:space="0" w:color="auto"/>
            </w:tcBorders>
            <w:shd w:val="clear" w:color="000000" w:fill="E2EFDA"/>
            <w:vAlign w:val="center"/>
            <w:hideMark/>
          </w:tcPr>
          <w:p w14:paraId="3971D547"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N/A</w:t>
            </w:r>
          </w:p>
        </w:tc>
        <w:tc>
          <w:tcPr>
            <w:tcW w:w="330" w:type="pct"/>
            <w:tcBorders>
              <w:top w:val="nil"/>
              <w:left w:val="nil"/>
              <w:bottom w:val="single" w:sz="4" w:space="0" w:color="auto"/>
              <w:right w:val="single" w:sz="4" w:space="0" w:color="auto"/>
            </w:tcBorders>
            <w:shd w:val="clear" w:color="000000" w:fill="FFF2CC"/>
            <w:vAlign w:val="center"/>
            <w:hideMark/>
          </w:tcPr>
          <w:p w14:paraId="5F0FDEEE"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7EE83E01"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413" w:type="pct"/>
            <w:tcBorders>
              <w:top w:val="nil"/>
              <w:left w:val="nil"/>
              <w:bottom w:val="single" w:sz="4" w:space="0" w:color="auto"/>
              <w:right w:val="single" w:sz="8" w:space="0" w:color="auto"/>
            </w:tcBorders>
            <w:shd w:val="clear" w:color="000000" w:fill="E2EFDA"/>
            <w:vAlign w:val="center"/>
            <w:hideMark/>
          </w:tcPr>
          <w:p w14:paraId="2E9F9BA2"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r>
      <w:tr w:rsidR="00623C47" w:rsidRPr="00BA2FEF" w14:paraId="1DBE40DA" w14:textId="77777777" w:rsidTr="00623C47">
        <w:trPr>
          <w:trHeight w:val="620"/>
        </w:trPr>
        <w:tc>
          <w:tcPr>
            <w:tcW w:w="1412" w:type="pct"/>
            <w:tcBorders>
              <w:top w:val="nil"/>
              <w:left w:val="single" w:sz="8" w:space="0" w:color="auto"/>
              <w:bottom w:val="single" w:sz="4" w:space="0" w:color="auto"/>
              <w:right w:val="single" w:sz="12" w:space="0" w:color="auto"/>
            </w:tcBorders>
            <w:shd w:val="clear" w:color="000000" w:fill="FCE4D6"/>
            <w:vAlign w:val="center"/>
            <w:hideMark/>
          </w:tcPr>
          <w:p w14:paraId="0EA27C4E" w14:textId="77777777" w:rsidR="00623C47" w:rsidRPr="00282E59" w:rsidRDefault="00623C47" w:rsidP="00623C47">
            <w:pPr>
              <w:spacing w:after="0" w:line="240" w:lineRule="auto"/>
              <w:ind w:firstLine="0"/>
              <w:rPr>
                <w:rFonts w:eastAsia="Times New Roman" w:cstheme="minorHAnsi"/>
                <w:color w:val="000000"/>
              </w:rPr>
            </w:pPr>
            <w:r w:rsidRPr="00282E59">
              <w:rPr>
                <w:rFonts w:eastAsia="Times New Roman" w:cstheme="minorHAnsi"/>
                <w:color w:val="000000"/>
              </w:rPr>
              <w:t>Number of new hires or reassignment of existing staff dedicated to BE-only functions</w:t>
            </w:r>
          </w:p>
        </w:tc>
        <w:tc>
          <w:tcPr>
            <w:tcW w:w="316" w:type="pct"/>
            <w:tcBorders>
              <w:top w:val="nil"/>
              <w:left w:val="nil"/>
              <w:bottom w:val="single" w:sz="4" w:space="0" w:color="auto"/>
              <w:right w:val="single" w:sz="4" w:space="0" w:color="auto"/>
            </w:tcBorders>
            <w:shd w:val="clear" w:color="000000" w:fill="FFF2CC"/>
            <w:vAlign w:val="center"/>
            <w:hideMark/>
          </w:tcPr>
          <w:p w14:paraId="0A877E80"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0B0CB6E4"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413" w:type="pct"/>
            <w:tcBorders>
              <w:top w:val="nil"/>
              <w:left w:val="nil"/>
              <w:bottom w:val="single" w:sz="4" w:space="0" w:color="auto"/>
              <w:right w:val="single" w:sz="12" w:space="0" w:color="auto"/>
            </w:tcBorders>
            <w:shd w:val="clear" w:color="000000" w:fill="E2EFDA"/>
            <w:vAlign w:val="center"/>
            <w:hideMark/>
          </w:tcPr>
          <w:p w14:paraId="01D0F9C3"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16" w:type="pct"/>
            <w:tcBorders>
              <w:top w:val="nil"/>
              <w:left w:val="nil"/>
              <w:bottom w:val="single" w:sz="4" w:space="0" w:color="auto"/>
              <w:right w:val="single" w:sz="4" w:space="0" w:color="auto"/>
            </w:tcBorders>
            <w:shd w:val="clear" w:color="000000" w:fill="FFF2CC"/>
            <w:vAlign w:val="center"/>
            <w:hideMark/>
          </w:tcPr>
          <w:p w14:paraId="490A5268"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2C082BD6"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685" w:type="pct"/>
            <w:tcBorders>
              <w:top w:val="nil"/>
              <w:left w:val="nil"/>
              <w:bottom w:val="single" w:sz="4" w:space="0" w:color="auto"/>
              <w:right w:val="single" w:sz="12" w:space="0" w:color="auto"/>
            </w:tcBorders>
            <w:shd w:val="clear" w:color="000000" w:fill="E2EFDA"/>
            <w:vAlign w:val="center"/>
            <w:hideMark/>
          </w:tcPr>
          <w:p w14:paraId="5086893B" w14:textId="6357FBA1"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hideMark/>
          </w:tcPr>
          <w:p w14:paraId="544B8A21"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70FEEAD4"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413" w:type="pct"/>
            <w:tcBorders>
              <w:top w:val="nil"/>
              <w:left w:val="nil"/>
              <w:bottom w:val="single" w:sz="4" w:space="0" w:color="auto"/>
              <w:right w:val="single" w:sz="8" w:space="0" w:color="auto"/>
            </w:tcBorders>
            <w:shd w:val="clear" w:color="000000" w:fill="E2EFDA"/>
            <w:vAlign w:val="center"/>
            <w:hideMark/>
          </w:tcPr>
          <w:p w14:paraId="7E83B4DB"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r>
      <w:tr w:rsidR="00623C47" w:rsidRPr="00BA2FEF" w14:paraId="717B3D7E" w14:textId="77777777" w:rsidTr="00623C47">
        <w:trPr>
          <w:trHeight w:val="620"/>
        </w:trPr>
        <w:tc>
          <w:tcPr>
            <w:tcW w:w="1412" w:type="pct"/>
            <w:tcBorders>
              <w:top w:val="nil"/>
              <w:left w:val="single" w:sz="8" w:space="0" w:color="auto"/>
              <w:bottom w:val="single" w:sz="4" w:space="0" w:color="auto"/>
              <w:right w:val="single" w:sz="12" w:space="0" w:color="auto"/>
            </w:tcBorders>
            <w:shd w:val="clear" w:color="000000" w:fill="FCE4D6"/>
            <w:vAlign w:val="center"/>
            <w:hideMark/>
          </w:tcPr>
          <w:p w14:paraId="26CAB873" w14:textId="77777777" w:rsidR="00623C47" w:rsidRPr="00282E59" w:rsidRDefault="00623C47" w:rsidP="00623C47">
            <w:pPr>
              <w:spacing w:after="0" w:line="240" w:lineRule="auto"/>
              <w:ind w:firstLine="0"/>
              <w:rPr>
                <w:rFonts w:eastAsia="Times New Roman" w:cstheme="minorHAnsi"/>
                <w:color w:val="000000"/>
              </w:rPr>
            </w:pPr>
            <w:r w:rsidRPr="00282E59">
              <w:rPr>
                <w:rFonts w:eastAsia="Times New Roman" w:cstheme="minorHAnsi"/>
                <w:color w:val="000000"/>
              </w:rPr>
              <w:t>Number of new/reclassified OPEN/Unfilled positions dedicated to BE-only</w:t>
            </w:r>
          </w:p>
        </w:tc>
        <w:tc>
          <w:tcPr>
            <w:tcW w:w="316" w:type="pct"/>
            <w:tcBorders>
              <w:top w:val="nil"/>
              <w:left w:val="nil"/>
              <w:bottom w:val="single" w:sz="4" w:space="0" w:color="auto"/>
              <w:right w:val="single" w:sz="4" w:space="0" w:color="auto"/>
            </w:tcBorders>
            <w:shd w:val="clear" w:color="000000" w:fill="FFF2CC"/>
            <w:vAlign w:val="center"/>
            <w:hideMark/>
          </w:tcPr>
          <w:p w14:paraId="4A12D1AB"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4F02684F"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413" w:type="pct"/>
            <w:tcBorders>
              <w:top w:val="nil"/>
              <w:left w:val="nil"/>
              <w:bottom w:val="single" w:sz="4" w:space="0" w:color="auto"/>
              <w:right w:val="single" w:sz="12" w:space="0" w:color="auto"/>
            </w:tcBorders>
            <w:shd w:val="clear" w:color="000000" w:fill="E2EFDA"/>
            <w:vAlign w:val="center"/>
            <w:hideMark/>
          </w:tcPr>
          <w:p w14:paraId="2A687AB6"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16" w:type="pct"/>
            <w:tcBorders>
              <w:top w:val="nil"/>
              <w:left w:val="nil"/>
              <w:bottom w:val="single" w:sz="4" w:space="0" w:color="auto"/>
              <w:right w:val="single" w:sz="4" w:space="0" w:color="auto"/>
            </w:tcBorders>
            <w:shd w:val="clear" w:color="000000" w:fill="FFF2CC"/>
            <w:vAlign w:val="center"/>
            <w:hideMark/>
          </w:tcPr>
          <w:p w14:paraId="0538740F"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61C9120E"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w:t>
            </w:r>
          </w:p>
        </w:tc>
        <w:tc>
          <w:tcPr>
            <w:tcW w:w="685" w:type="pct"/>
            <w:tcBorders>
              <w:top w:val="nil"/>
              <w:left w:val="nil"/>
              <w:bottom w:val="single" w:sz="4" w:space="0" w:color="auto"/>
              <w:right w:val="single" w:sz="12" w:space="0" w:color="auto"/>
            </w:tcBorders>
            <w:shd w:val="clear" w:color="000000" w:fill="E2EFDA"/>
            <w:vAlign w:val="center"/>
            <w:hideMark/>
          </w:tcPr>
          <w:p w14:paraId="79C67C2C"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N/A</w:t>
            </w:r>
          </w:p>
        </w:tc>
        <w:tc>
          <w:tcPr>
            <w:tcW w:w="330" w:type="pct"/>
            <w:tcBorders>
              <w:top w:val="nil"/>
              <w:left w:val="nil"/>
              <w:bottom w:val="single" w:sz="4" w:space="0" w:color="auto"/>
              <w:right w:val="single" w:sz="4" w:space="0" w:color="auto"/>
            </w:tcBorders>
            <w:shd w:val="clear" w:color="000000" w:fill="FFF2CC"/>
            <w:vAlign w:val="center"/>
            <w:hideMark/>
          </w:tcPr>
          <w:p w14:paraId="4E96A310"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03FA790E"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413" w:type="pct"/>
            <w:tcBorders>
              <w:top w:val="nil"/>
              <w:left w:val="nil"/>
              <w:bottom w:val="single" w:sz="4" w:space="0" w:color="auto"/>
              <w:right w:val="single" w:sz="8" w:space="0" w:color="auto"/>
            </w:tcBorders>
            <w:shd w:val="clear" w:color="000000" w:fill="E2EFDA"/>
            <w:vAlign w:val="center"/>
            <w:hideMark/>
          </w:tcPr>
          <w:p w14:paraId="3B02B234"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r>
      <w:tr w:rsidR="00623C47" w:rsidRPr="00BA2FEF" w14:paraId="2FD28DA6" w14:textId="77777777" w:rsidTr="00623C47">
        <w:trPr>
          <w:trHeight w:val="930"/>
        </w:trPr>
        <w:tc>
          <w:tcPr>
            <w:tcW w:w="1412" w:type="pct"/>
            <w:tcBorders>
              <w:top w:val="nil"/>
              <w:left w:val="single" w:sz="8" w:space="0" w:color="auto"/>
              <w:bottom w:val="single" w:sz="4" w:space="0" w:color="auto"/>
              <w:right w:val="single" w:sz="12" w:space="0" w:color="auto"/>
            </w:tcBorders>
            <w:shd w:val="clear" w:color="000000" w:fill="FCE4D6"/>
            <w:vAlign w:val="bottom"/>
            <w:hideMark/>
          </w:tcPr>
          <w:p w14:paraId="1FF30B5A" w14:textId="77777777" w:rsidR="00623C47" w:rsidRPr="00282E59" w:rsidRDefault="00623C47" w:rsidP="00623C47">
            <w:pPr>
              <w:spacing w:after="0" w:line="240" w:lineRule="auto"/>
              <w:ind w:firstLine="0"/>
              <w:rPr>
                <w:rFonts w:eastAsia="Times New Roman" w:cstheme="minorHAnsi"/>
                <w:color w:val="000000"/>
              </w:rPr>
            </w:pPr>
            <w:r w:rsidRPr="00282E59">
              <w:rPr>
                <w:rFonts w:eastAsia="Times New Roman" w:cstheme="minorHAnsi"/>
                <w:color w:val="000000"/>
              </w:rPr>
              <w:lastRenderedPageBreak/>
              <w:t>Number of SVRA staff with BE functions as part of their responsibilities NOT INCLUDING those who ONLY do BE</w:t>
            </w:r>
          </w:p>
        </w:tc>
        <w:tc>
          <w:tcPr>
            <w:tcW w:w="316" w:type="pct"/>
            <w:tcBorders>
              <w:top w:val="nil"/>
              <w:left w:val="nil"/>
              <w:bottom w:val="single" w:sz="4" w:space="0" w:color="auto"/>
              <w:right w:val="single" w:sz="4" w:space="0" w:color="auto"/>
            </w:tcBorders>
            <w:shd w:val="clear" w:color="000000" w:fill="FFF2CC"/>
            <w:vAlign w:val="center"/>
            <w:hideMark/>
          </w:tcPr>
          <w:p w14:paraId="4A0749D8"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10</w:t>
            </w:r>
          </w:p>
        </w:tc>
        <w:tc>
          <w:tcPr>
            <w:tcW w:w="372" w:type="pct"/>
            <w:tcBorders>
              <w:top w:val="nil"/>
              <w:left w:val="nil"/>
              <w:bottom w:val="single" w:sz="4" w:space="0" w:color="auto"/>
              <w:right w:val="single" w:sz="4" w:space="0" w:color="auto"/>
            </w:tcBorders>
            <w:shd w:val="clear" w:color="000000" w:fill="D9E1F2"/>
            <w:vAlign w:val="center"/>
            <w:hideMark/>
          </w:tcPr>
          <w:p w14:paraId="14A8CE9F"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15</w:t>
            </w:r>
          </w:p>
        </w:tc>
        <w:tc>
          <w:tcPr>
            <w:tcW w:w="413" w:type="pct"/>
            <w:tcBorders>
              <w:top w:val="nil"/>
              <w:left w:val="nil"/>
              <w:bottom w:val="single" w:sz="4" w:space="0" w:color="auto"/>
              <w:right w:val="single" w:sz="12" w:space="0" w:color="auto"/>
            </w:tcBorders>
            <w:shd w:val="clear" w:color="000000" w:fill="E2EFDA"/>
            <w:vAlign w:val="center"/>
            <w:hideMark/>
          </w:tcPr>
          <w:p w14:paraId="2B0B5380"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&gt;10</w:t>
            </w:r>
          </w:p>
        </w:tc>
        <w:tc>
          <w:tcPr>
            <w:tcW w:w="316" w:type="pct"/>
            <w:tcBorders>
              <w:top w:val="nil"/>
              <w:left w:val="nil"/>
              <w:bottom w:val="single" w:sz="4" w:space="0" w:color="auto"/>
              <w:right w:val="single" w:sz="4" w:space="0" w:color="auto"/>
            </w:tcBorders>
            <w:shd w:val="clear" w:color="000000" w:fill="FFF2CC"/>
            <w:vAlign w:val="center"/>
            <w:hideMark/>
          </w:tcPr>
          <w:p w14:paraId="6C8F0FA4"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475804FB"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685" w:type="pct"/>
            <w:tcBorders>
              <w:top w:val="nil"/>
              <w:left w:val="nil"/>
              <w:bottom w:val="single" w:sz="4" w:space="0" w:color="auto"/>
              <w:right w:val="single" w:sz="12" w:space="0" w:color="auto"/>
            </w:tcBorders>
            <w:shd w:val="clear" w:color="000000" w:fill="E2EFDA"/>
            <w:vAlign w:val="center"/>
            <w:hideMark/>
          </w:tcPr>
          <w:p w14:paraId="16C3FB82" w14:textId="415D3205"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hideMark/>
          </w:tcPr>
          <w:p w14:paraId="77947A66"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15</w:t>
            </w:r>
          </w:p>
        </w:tc>
        <w:tc>
          <w:tcPr>
            <w:tcW w:w="372" w:type="pct"/>
            <w:tcBorders>
              <w:top w:val="nil"/>
              <w:left w:val="nil"/>
              <w:bottom w:val="single" w:sz="4" w:space="0" w:color="auto"/>
              <w:right w:val="single" w:sz="4" w:space="0" w:color="auto"/>
            </w:tcBorders>
            <w:shd w:val="clear" w:color="000000" w:fill="D9E1F2"/>
            <w:vAlign w:val="center"/>
            <w:hideMark/>
          </w:tcPr>
          <w:p w14:paraId="16288289"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15</w:t>
            </w:r>
          </w:p>
        </w:tc>
        <w:tc>
          <w:tcPr>
            <w:tcW w:w="413" w:type="pct"/>
            <w:tcBorders>
              <w:top w:val="nil"/>
              <w:left w:val="nil"/>
              <w:bottom w:val="single" w:sz="4" w:space="0" w:color="auto"/>
              <w:right w:val="single" w:sz="8" w:space="0" w:color="auto"/>
            </w:tcBorders>
            <w:shd w:val="clear" w:color="000000" w:fill="E2EFDA"/>
            <w:vAlign w:val="center"/>
            <w:hideMark/>
          </w:tcPr>
          <w:p w14:paraId="2B246F67"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12</w:t>
            </w:r>
          </w:p>
        </w:tc>
      </w:tr>
      <w:tr w:rsidR="00623C47" w:rsidRPr="00282E59" w14:paraId="3F294E04" w14:textId="77777777" w:rsidTr="00623C47">
        <w:trPr>
          <w:trHeight w:val="340"/>
        </w:trPr>
        <w:tc>
          <w:tcPr>
            <w:tcW w:w="5000" w:type="pct"/>
            <w:gridSpan w:val="10"/>
            <w:tcBorders>
              <w:top w:val="single" w:sz="4" w:space="0" w:color="auto"/>
              <w:left w:val="single" w:sz="8" w:space="0" w:color="auto"/>
              <w:bottom w:val="single" w:sz="4" w:space="0" w:color="auto"/>
              <w:right w:val="single" w:sz="8" w:space="0" w:color="000000"/>
            </w:tcBorders>
            <w:shd w:val="clear" w:color="000000" w:fill="EDEDED"/>
            <w:vAlign w:val="bottom"/>
            <w:hideMark/>
          </w:tcPr>
          <w:p w14:paraId="3B90DADE" w14:textId="77777777" w:rsidR="00623C47" w:rsidRPr="00282E59" w:rsidRDefault="00623C47" w:rsidP="00623C47">
            <w:pPr>
              <w:spacing w:after="0" w:line="240" w:lineRule="auto"/>
              <w:ind w:firstLine="0"/>
              <w:jc w:val="center"/>
              <w:rPr>
                <w:rFonts w:eastAsia="Times New Roman" w:cstheme="minorHAnsi"/>
                <w:b/>
                <w:bCs/>
                <w:color w:val="000000"/>
              </w:rPr>
            </w:pPr>
            <w:r w:rsidRPr="00282E59">
              <w:rPr>
                <w:rFonts w:eastAsia="Times New Roman" w:cstheme="minorHAnsi"/>
                <w:b/>
                <w:bCs/>
                <w:color w:val="000000"/>
              </w:rPr>
              <w:t>Services to Businesses</w:t>
            </w:r>
          </w:p>
        </w:tc>
      </w:tr>
      <w:tr w:rsidR="00623C47" w:rsidRPr="00BA2FEF" w14:paraId="312B3399" w14:textId="77777777" w:rsidTr="00623C47">
        <w:trPr>
          <w:trHeight w:val="620"/>
        </w:trPr>
        <w:tc>
          <w:tcPr>
            <w:tcW w:w="1412" w:type="pct"/>
            <w:tcBorders>
              <w:top w:val="nil"/>
              <w:left w:val="single" w:sz="8" w:space="0" w:color="auto"/>
              <w:bottom w:val="single" w:sz="4" w:space="0" w:color="auto"/>
              <w:right w:val="single" w:sz="12" w:space="0" w:color="auto"/>
            </w:tcBorders>
            <w:shd w:val="clear" w:color="000000" w:fill="FCE4D6"/>
            <w:vAlign w:val="center"/>
            <w:hideMark/>
          </w:tcPr>
          <w:p w14:paraId="2EA2C15A" w14:textId="77777777" w:rsidR="00623C47" w:rsidRPr="00282E59" w:rsidRDefault="00623C47" w:rsidP="00623C47">
            <w:pPr>
              <w:spacing w:after="0" w:line="240" w:lineRule="auto"/>
              <w:ind w:firstLine="0"/>
              <w:rPr>
                <w:rFonts w:eastAsia="Times New Roman" w:cstheme="minorHAnsi"/>
                <w:color w:val="000000"/>
              </w:rPr>
            </w:pPr>
            <w:r w:rsidRPr="00282E59">
              <w:rPr>
                <w:rFonts w:eastAsia="Times New Roman" w:cstheme="minorHAnsi"/>
                <w:color w:val="000000"/>
              </w:rPr>
              <w:t xml:space="preserve">Number of business relationships on record  </w:t>
            </w:r>
          </w:p>
        </w:tc>
        <w:tc>
          <w:tcPr>
            <w:tcW w:w="316" w:type="pct"/>
            <w:tcBorders>
              <w:top w:val="nil"/>
              <w:left w:val="nil"/>
              <w:bottom w:val="single" w:sz="4" w:space="0" w:color="auto"/>
              <w:right w:val="single" w:sz="4" w:space="0" w:color="auto"/>
            </w:tcBorders>
            <w:shd w:val="clear" w:color="000000" w:fill="FCE4D6"/>
            <w:vAlign w:val="center"/>
            <w:hideMark/>
          </w:tcPr>
          <w:p w14:paraId="34E061A1" w14:textId="2F54BE30"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FCE4D6"/>
            <w:vAlign w:val="center"/>
            <w:hideMark/>
          </w:tcPr>
          <w:p w14:paraId="1F0E1F5A" w14:textId="6110FF24"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4" w:space="0" w:color="auto"/>
            </w:tcBorders>
            <w:shd w:val="clear" w:color="000000" w:fill="FCE4D6"/>
            <w:vAlign w:val="center"/>
            <w:hideMark/>
          </w:tcPr>
          <w:p w14:paraId="7BD58C92" w14:textId="641901C3" w:rsidR="00623C47" w:rsidRPr="00282E59" w:rsidRDefault="00623C47" w:rsidP="00623C47">
            <w:pPr>
              <w:spacing w:after="0" w:line="240" w:lineRule="auto"/>
              <w:ind w:firstLine="0"/>
              <w:jc w:val="center"/>
              <w:rPr>
                <w:rFonts w:eastAsia="Times New Roman" w:cstheme="minorHAnsi"/>
                <w:color w:val="000000"/>
              </w:rPr>
            </w:pPr>
          </w:p>
        </w:tc>
        <w:tc>
          <w:tcPr>
            <w:tcW w:w="316" w:type="pct"/>
            <w:tcBorders>
              <w:top w:val="nil"/>
              <w:left w:val="nil"/>
              <w:bottom w:val="single" w:sz="4" w:space="0" w:color="auto"/>
              <w:right w:val="single" w:sz="4" w:space="0" w:color="auto"/>
            </w:tcBorders>
            <w:shd w:val="clear" w:color="000000" w:fill="FCE4D6"/>
            <w:vAlign w:val="center"/>
            <w:hideMark/>
          </w:tcPr>
          <w:p w14:paraId="4A7EA4D0"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44</w:t>
            </w:r>
          </w:p>
        </w:tc>
        <w:tc>
          <w:tcPr>
            <w:tcW w:w="372" w:type="pct"/>
            <w:tcBorders>
              <w:top w:val="nil"/>
              <w:left w:val="nil"/>
              <w:bottom w:val="single" w:sz="4" w:space="0" w:color="auto"/>
              <w:right w:val="single" w:sz="4" w:space="0" w:color="auto"/>
            </w:tcBorders>
            <w:shd w:val="clear" w:color="000000" w:fill="FCE4D6"/>
            <w:vAlign w:val="center"/>
            <w:hideMark/>
          </w:tcPr>
          <w:p w14:paraId="7785AF6D"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146</w:t>
            </w:r>
          </w:p>
        </w:tc>
        <w:tc>
          <w:tcPr>
            <w:tcW w:w="685" w:type="pct"/>
            <w:tcBorders>
              <w:top w:val="nil"/>
              <w:left w:val="nil"/>
              <w:bottom w:val="single" w:sz="4" w:space="0" w:color="auto"/>
              <w:right w:val="single" w:sz="4" w:space="0" w:color="auto"/>
            </w:tcBorders>
            <w:shd w:val="clear" w:color="000000" w:fill="FCE4D6"/>
            <w:vAlign w:val="center"/>
            <w:hideMark/>
          </w:tcPr>
          <w:p w14:paraId="5EA7F011"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10% increase/yr.</w:t>
            </w:r>
          </w:p>
        </w:tc>
        <w:tc>
          <w:tcPr>
            <w:tcW w:w="330" w:type="pct"/>
            <w:tcBorders>
              <w:top w:val="nil"/>
              <w:left w:val="nil"/>
              <w:bottom w:val="single" w:sz="4" w:space="0" w:color="auto"/>
              <w:right w:val="single" w:sz="4" w:space="0" w:color="auto"/>
            </w:tcBorders>
            <w:shd w:val="clear" w:color="000000" w:fill="FCE4D6"/>
            <w:vAlign w:val="center"/>
            <w:hideMark/>
          </w:tcPr>
          <w:p w14:paraId="6BB1A599" w14:textId="2E656F15"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FCE4D6"/>
            <w:vAlign w:val="center"/>
            <w:hideMark/>
          </w:tcPr>
          <w:p w14:paraId="192ACE3A" w14:textId="046338EC"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8" w:space="0" w:color="auto"/>
            </w:tcBorders>
            <w:shd w:val="clear" w:color="000000" w:fill="FCE4D6"/>
            <w:vAlign w:val="center"/>
            <w:hideMark/>
          </w:tcPr>
          <w:p w14:paraId="1A36536D" w14:textId="6D8B635D"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282CAD03" w14:textId="77777777" w:rsidTr="00623C47">
        <w:trPr>
          <w:trHeight w:val="620"/>
        </w:trPr>
        <w:tc>
          <w:tcPr>
            <w:tcW w:w="1412" w:type="pct"/>
            <w:tcBorders>
              <w:top w:val="nil"/>
              <w:left w:val="single" w:sz="8" w:space="0" w:color="auto"/>
              <w:bottom w:val="single" w:sz="4" w:space="0" w:color="auto"/>
              <w:right w:val="single" w:sz="12" w:space="0" w:color="auto"/>
            </w:tcBorders>
            <w:shd w:val="clear" w:color="auto" w:fill="auto"/>
            <w:vAlign w:val="center"/>
            <w:hideMark/>
          </w:tcPr>
          <w:p w14:paraId="6167347F"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xml:space="preserve">• Preliminary  (initial contact only) </w:t>
            </w:r>
          </w:p>
        </w:tc>
        <w:tc>
          <w:tcPr>
            <w:tcW w:w="316" w:type="pct"/>
            <w:tcBorders>
              <w:top w:val="nil"/>
              <w:left w:val="nil"/>
              <w:bottom w:val="single" w:sz="4" w:space="0" w:color="auto"/>
              <w:right w:val="single" w:sz="4" w:space="0" w:color="auto"/>
            </w:tcBorders>
            <w:shd w:val="clear" w:color="000000" w:fill="FFF2CC"/>
            <w:vAlign w:val="center"/>
            <w:hideMark/>
          </w:tcPr>
          <w:p w14:paraId="4F55C3A7"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&lt;10</w:t>
            </w:r>
          </w:p>
        </w:tc>
        <w:tc>
          <w:tcPr>
            <w:tcW w:w="372" w:type="pct"/>
            <w:tcBorders>
              <w:top w:val="nil"/>
              <w:left w:val="nil"/>
              <w:bottom w:val="single" w:sz="4" w:space="0" w:color="auto"/>
              <w:right w:val="single" w:sz="4" w:space="0" w:color="auto"/>
            </w:tcBorders>
            <w:shd w:val="clear" w:color="000000" w:fill="D9E1F2"/>
            <w:vAlign w:val="center"/>
            <w:hideMark/>
          </w:tcPr>
          <w:p w14:paraId="283FBD81"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89</w:t>
            </w:r>
          </w:p>
        </w:tc>
        <w:tc>
          <w:tcPr>
            <w:tcW w:w="413" w:type="pct"/>
            <w:tcBorders>
              <w:top w:val="nil"/>
              <w:left w:val="nil"/>
              <w:bottom w:val="single" w:sz="4" w:space="0" w:color="auto"/>
              <w:right w:val="single" w:sz="12" w:space="0" w:color="auto"/>
            </w:tcBorders>
            <w:shd w:val="clear" w:color="000000" w:fill="E2EFDA"/>
            <w:vAlign w:val="center"/>
            <w:hideMark/>
          </w:tcPr>
          <w:p w14:paraId="3055BD8E"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15</w:t>
            </w:r>
          </w:p>
        </w:tc>
        <w:tc>
          <w:tcPr>
            <w:tcW w:w="316" w:type="pct"/>
            <w:tcBorders>
              <w:top w:val="nil"/>
              <w:left w:val="nil"/>
              <w:bottom w:val="single" w:sz="4" w:space="0" w:color="auto"/>
              <w:right w:val="single" w:sz="4" w:space="0" w:color="auto"/>
            </w:tcBorders>
            <w:shd w:val="clear" w:color="000000" w:fill="FFF2CC"/>
            <w:vAlign w:val="center"/>
            <w:hideMark/>
          </w:tcPr>
          <w:p w14:paraId="6455B332"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10</w:t>
            </w:r>
          </w:p>
        </w:tc>
        <w:tc>
          <w:tcPr>
            <w:tcW w:w="372" w:type="pct"/>
            <w:tcBorders>
              <w:top w:val="nil"/>
              <w:left w:val="nil"/>
              <w:bottom w:val="single" w:sz="4" w:space="0" w:color="auto"/>
              <w:right w:val="single" w:sz="4" w:space="0" w:color="auto"/>
            </w:tcBorders>
            <w:shd w:val="clear" w:color="000000" w:fill="D9E1F2"/>
            <w:vAlign w:val="center"/>
            <w:hideMark/>
          </w:tcPr>
          <w:p w14:paraId="46C8715C"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50</w:t>
            </w:r>
          </w:p>
        </w:tc>
        <w:tc>
          <w:tcPr>
            <w:tcW w:w="685" w:type="pct"/>
            <w:tcBorders>
              <w:top w:val="nil"/>
              <w:left w:val="nil"/>
              <w:bottom w:val="single" w:sz="4" w:space="0" w:color="auto"/>
              <w:right w:val="single" w:sz="12" w:space="0" w:color="auto"/>
            </w:tcBorders>
            <w:shd w:val="clear" w:color="000000" w:fill="E2EFDA"/>
            <w:vAlign w:val="center"/>
            <w:hideMark/>
          </w:tcPr>
          <w:p w14:paraId="12B1BB5A"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10% increase/yr.</w:t>
            </w:r>
          </w:p>
        </w:tc>
        <w:tc>
          <w:tcPr>
            <w:tcW w:w="330" w:type="pct"/>
            <w:tcBorders>
              <w:top w:val="nil"/>
              <w:left w:val="nil"/>
              <w:bottom w:val="single" w:sz="4" w:space="0" w:color="auto"/>
              <w:right w:val="single" w:sz="4" w:space="0" w:color="auto"/>
            </w:tcBorders>
            <w:shd w:val="clear" w:color="000000" w:fill="FFF2CC"/>
            <w:vAlign w:val="center"/>
          </w:tcPr>
          <w:p w14:paraId="476D38DF"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442BA04C"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587</w:t>
            </w:r>
          </w:p>
        </w:tc>
        <w:tc>
          <w:tcPr>
            <w:tcW w:w="413" w:type="pct"/>
            <w:tcBorders>
              <w:top w:val="nil"/>
              <w:left w:val="nil"/>
              <w:bottom w:val="single" w:sz="4" w:space="0" w:color="auto"/>
              <w:right w:val="single" w:sz="8" w:space="0" w:color="auto"/>
            </w:tcBorders>
            <w:shd w:val="clear" w:color="000000" w:fill="E2EFDA"/>
            <w:vAlign w:val="center"/>
            <w:hideMark/>
          </w:tcPr>
          <w:p w14:paraId="58B162EB"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600</w:t>
            </w:r>
          </w:p>
        </w:tc>
      </w:tr>
      <w:tr w:rsidR="00623C47" w:rsidRPr="00BA2FEF" w14:paraId="13579414" w14:textId="77777777" w:rsidTr="00623C47">
        <w:trPr>
          <w:trHeight w:val="930"/>
        </w:trPr>
        <w:tc>
          <w:tcPr>
            <w:tcW w:w="1412" w:type="pct"/>
            <w:tcBorders>
              <w:top w:val="nil"/>
              <w:left w:val="single" w:sz="8" w:space="0" w:color="auto"/>
              <w:bottom w:val="single" w:sz="4" w:space="0" w:color="auto"/>
              <w:right w:val="single" w:sz="12" w:space="0" w:color="auto"/>
            </w:tcBorders>
            <w:shd w:val="clear" w:color="auto" w:fill="auto"/>
            <w:vAlign w:val="center"/>
            <w:hideMark/>
          </w:tcPr>
          <w:p w14:paraId="54F6052F"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Moderate (open to referrals/regular communication, requested information or training on Disabilities or adaptive devices, etc.)</w:t>
            </w:r>
          </w:p>
        </w:tc>
        <w:tc>
          <w:tcPr>
            <w:tcW w:w="316" w:type="pct"/>
            <w:tcBorders>
              <w:top w:val="nil"/>
              <w:left w:val="nil"/>
              <w:bottom w:val="single" w:sz="4" w:space="0" w:color="auto"/>
              <w:right w:val="single" w:sz="4" w:space="0" w:color="auto"/>
            </w:tcBorders>
            <w:shd w:val="clear" w:color="000000" w:fill="FFF2CC"/>
            <w:vAlign w:val="center"/>
            <w:hideMark/>
          </w:tcPr>
          <w:p w14:paraId="7D31C5A5"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&lt;7</w:t>
            </w:r>
          </w:p>
        </w:tc>
        <w:tc>
          <w:tcPr>
            <w:tcW w:w="372" w:type="pct"/>
            <w:tcBorders>
              <w:top w:val="nil"/>
              <w:left w:val="nil"/>
              <w:bottom w:val="single" w:sz="4" w:space="0" w:color="auto"/>
              <w:right w:val="single" w:sz="4" w:space="0" w:color="auto"/>
            </w:tcBorders>
            <w:shd w:val="clear" w:color="000000" w:fill="D9E1F2"/>
            <w:vAlign w:val="center"/>
            <w:hideMark/>
          </w:tcPr>
          <w:p w14:paraId="79784885"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37</w:t>
            </w:r>
          </w:p>
        </w:tc>
        <w:tc>
          <w:tcPr>
            <w:tcW w:w="413" w:type="pct"/>
            <w:tcBorders>
              <w:top w:val="nil"/>
              <w:left w:val="nil"/>
              <w:bottom w:val="single" w:sz="4" w:space="0" w:color="auto"/>
              <w:right w:val="single" w:sz="12" w:space="0" w:color="auto"/>
            </w:tcBorders>
            <w:shd w:val="clear" w:color="000000" w:fill="E2EFDA"/>
            <w:vAlign w:val="center"/>
            <w:hideMark/>
          </w:tcPr>
          <w:p w14:paraId="168300A4"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12</w:t>
            </w:r>
          </w:p>
        </w:tc>
        <w:tc>
          <w:tcPr>
            <w:tcW w:w="316" w:type="pct"/>
            <w:tcBorders>
              <w:top w:val="nil"/>
              <w:left w:val="nil"/>
              <w:bottom w:val="single" w:sz="4" w:space="0" w:color="auto"/>
              <w:right w:val="single" w:sz="4" w:space="0" w:color="auto"/>
            </w:tcBorders>
            <w:shd w:val="clear" w:color="000000" w:fill="FFF2CC"/>
            <w:vAlign w:val="center"/>
            <w:hideMark/>
          </w:tcPr>
          <w:p w14:paraId="3ABC63D4"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20</w:t>
            </w:r>
          </w:p>
        </w:tc>
        <w:tc>
          <w:tcPr>
            <w:tcW w:w="372" w:type="pct"/>
            <w:tcBorders>
              <w:top w:val="nil"/>
              <w:left w:val="nil"/>
              <w:bottom w:val="single" w:sz="4" w:space="0" w:color="auto"/>
              <w:right w:val="single" w:sz="4" w:space="0" w:color="auto"/>
            </w:tcBorders>
            <w:shd w:val="clear" w:color="000000" w:fill="D9E1F2"/>
            <w:vAlign w:val="center"/>
            <w:hideMark/>
          </w:tcPr>
          <w:p w14:paraId="684E8418"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65</w:t>
            </w:r>
          </w:p>
        </w:tc>
        <w:tc>
          <w:tcPr>
            <w:tcW w:w="685" w:type="pct"/>
            <w:tcBorders>
              <w:top w:val="nil"/>
              <w:left w:val="nil"/>
              <w:bottom w:val="single" w:sz="4" w:space="0" w:color="auto"/>
              <w:right w:val="single" w:sz="12" w:space="0" w:color="auto"/>
            </w:tcBorders>
            <w:shd w:val="clear" w:color="000000" w:fill="E2EFDA"/>
            <w:vAlign w:val="center"/>
            <w:hideMark/>
          </w:tcPr>
          <w:p w14:paraId="272E82E2"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10% increase/yr.</w:t>
            </w:r>
          </w:p>
        </w:tc>
        <w:tc>
          <w:tcPr>
            <w:tcW w:w="330" w:type="pct"/>
            <w:tcBorders>
              <w:top w:val="nil"/>
              <w:left w:val="nil"/>
              <w:bottom w:val="single" w:sz="4" w:space="0" w:color="auto"/>
              <w:right w:val="single" w:sz="4" w:space="0" w:color="auto"/>
            </w:tcBorders>
            <w:shd w:val="clear" w:color="000000" w:fill="FFF2CC"/>
            <w:vAlign w:val="center"/>
          </w:tcPr>
          <w:p w14:paraId="3E5FDCBC"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tcPr>
          <w:p w14:paraId="7EA400D1" w14:textId="77777777"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8" w:space="0" w:color="auto"/>
            </w:tcBorders>
            <w:shd w:val="clear" w:color="000000" w:fill="E2EFDA"/>
            <w:vAlign w:val="center"/>
          </w:tcPr>
          <w:p w14:paraId="74C06109" w14:textId="77777777"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338A2CB2" w14:textId="77777777" w:rsidTr="00623C47">
        <w:trPr>
          <w:trHeight w:val="930"/>
        </w:trPr>
        <w:tc>
          <w:tcPr>
            <w:tcW w:w="1412" w:type="pct"/>
            <w:tcBorders>
              <w:top w:val="nil"/>
              <w:left w:val="single" w:sz="8" w:space="0" w:color="auto"/>
              <w:bottom w:val="single" w:sz="4" w:space="0" w:color="auto"/>
              <w:right w:val="single" w:sz="12" w:space="0" w:color="auto"/>
            </w:tcBorders>
            <w:shd w:val="clear" w:color="auto" w:fill="auto"/>
            <w:vAlign w:val="center"/>
            <w:hideMark/>
          </w:tcPr>
          <w:p w14:paraId="21D875D8"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Strong (has hired or offered work-based learning experience, participates in other agency- sponsored activities, served on committees, etc.)</w:t>
            </w:r>
          </w:p>
        </w:tc>
        <w:tc>
          <w:tcPr>
            <w:tcW w:w="316" w:type="pct"/>
            <w:tcBorders>
              <w:top w:val="nil"/>
              <w:left w:val="nil"/>
              <w:bottom w:val="single" w:sz="4" w:space="0" w:color="auto"/>
              <w:right w:val="single" w:sz="4" w:space="0" w:color="auto"/>
            </w:tcBorders>
            <w:shd w:val="clear" w:color="000000" w:fill="FFF2CC"/>
            <w:vAlign w:val="center"/>
            <w:hideMark/>
          </w:tcPr>
          <w:p w14:paraId="082DAA40"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&lt;5</w:t>
            </w:r>
          </w:p>
        </w:tc>
        <w:tc>
          <w:tcPr>
            <w:tcW w:w="372" w:type="pct"/>
            <w:tcBorders>
              <w:top w:val="nil"/>
              <w:left w:val="nil"/>
              <w:bottom w:val="single" w:sz="4" w:space="0" w:color="auto"/>
              <w:right w:val="single" w:sz="4" w:space="0" w:color="auto"/>
            </w:tcBorders>
            <w:shd w:val="clear" w:color="000000" w:fill="D9E1F2"/>
            <w:vAlign w:val="center"/>
            <w:hideMark/>
          </w:tcPr>
          <w:p w14:paraId="5AE9175D"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16</w:t>
            </w:r>
          </w:p>
        </w:tc>
        <w:tc>
          <w:tcPr>
            <w:tcW w:w="413" w:type="pct"/>
            <w:tcBorders>
              <w:top w:val="nil"/>
              <w:left w:val="nil"/>
              <w:bottom w:val="single" w:sz="4" w:space="0" w:color="auto"/>
              <w:right w:val="single" w:sz="12" w:space="0" w:color="auto"/>
            </w:tcBorders>
            <w:shd w:val="clear" w:color="000000" w:fill="E2EFDA"/>
            <w:vAlign w:val="center"/>
            <w:hideMark/>
          </w:tcPr>
          <w:p w14:paraId="3B323AE1"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8</w:t>
            </w:r>
          </w:p>
        </w:tc>
        <w:tc>
          <w:tcPr>
            <w:tcW w:w="316" w:type="pct"/>
            <w:tcBorders>
              <w:top w:val="nil"/>
              <w:left w:val="nil"/>
              <w:bottom w:val="single" w:sz="4" w:space="0" w:color="auto"/>
              <w:right w:val="single" w:sz="4" w:space="0" w:color="auto"/>
            </w:tcBorders>
            <w:shd w:val="clear" w:color="000000" w:fill="FFF2CC"/>
            <w:vAlign w:val="center"/>
            <w:hideMark/>
          </w:tcPr>
          <w:p w14:paraId="11099964"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14</w:t>
            </w:r>
          </w:p>
        </w:tc>
        <w:tc>
          <w:tcPr>
            <w:tcW w:w="372" w:type="pct"/>
            <w:tcBorders>
              <w:top w:val="nil"/>
              <w:left w:val="nil"/>
              <w:bottom w:val="single" w:sz="4" w:space="0" w:color="auto"/>
              <w:right w:val="single" w:sz="4" w:space="0" w:color="auto"/>
            </w:tcBorders>
            <w:shd w:val="clear" w:color="000000" w:fill="D9E1F2"/>
            <w:vAlign w:val="center"/>
            <w:hideMark/>
          </w:tcPr>
          <w:p w14:paraId="384E4807"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31</w:t>
            </w:r>
          </w:p>
        </w:tc>
        <w:tc>
          <w:tcPr>
            <w:tcW w:w="685" w:type="pct"/>
            <w:tcBorders>
              <w:top w:val="nil"/>
              <w:left w:val="nil"/>
              <w:bottom w:val="single" w:sz="4" w:space="0" w:color="auto"/>
              <w:right w:val="single" w:sz="12" w:space="0" w:color="auto"/>
            </w:tcBorders>
            <w:shd w:val="clear" w:color="000000" w:fill="E2EFDA"/>
            <w:vAlign w:val="center"/>
            <w:hideMark/>
          </w:tcPr>
          <w:p w14:paraId="2E2DFEF3"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10% increase/yr.</w:t>
            </w:r>
          </w:p>
        </w:tc>
        <w:tc>
          <w:tcPr>
            <w:tcW w:w="330" w:type="pct"/>
            <w:tcBorders>
              <w:top w:val="nil"/>
              <w:left w:val="nil"/>
              <w:bottom w:val="single" w:sz="4" w:space="0" w:color="auto"/>
              <w:right w:val="single" w:sz="4" w:space="0" w:color="auto"/>
            </w:tcBorders>
            <w:shd w:val="clear" w:color="000000" w:fill="FFF2CC"/>
            <w:vAlign w:val="center"/>
          </w:tcPr>
          <w:p w14:paraId="359A71EA"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0110FC59"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344</w:t>
            </w:r>
          </w:p>
        </w:tc>
        <w:tc>
          <w:tcPr>
            <w:tcW w:w="413" w:type="pct"/>
            <w:tcBorders>
              <w:top w:val="nil"/>
              <w:left w:val="nil"/>
              <w:bottom w:val="single" w:sz="4" w:space="0" w:color="auto"/>
              <w:right w:val="single" w:sz="8" w:space="0" w:color="auto"/>
            </w:tcBorders>
            <w:shd w:val="clear" w:color="000000" w:fill="E2EFDA"/>
            <w:vAlign w:val="center"/>
            <w:hideMark/>
          </w:tcPr>
          <w:p w14:paraId="03AD89C0"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300</w:t>
            </w:r>
          </w:p>
        </w:tc>
      </w:tr>
      <w:tr w:rsidR="00623C47" w:rsidRPr="00BA2FEF" w14:paraId="165E5117" w14:textId="77777777" w:rsidTr="00623C47">
        <w:trPr>
          <w:trHeight w:val="310"/>
        </w:trPr>
        <w:tc>
          <w:tcPr>
            <w:tcW w:w="1412" w:type="pct"/>
            <w:tcBorders>
              <w:top w:val="nil"/>
              <w:left w:val="single" w:sz="8" w:space="0" w:color="auto"/>
              <w:bottom w:val="single" w:sz="4" w:space="0" w:color="auto"/>
              <w:right w:val="single" w:sz="12" w:space="0" w:color="auto"/>
            </w:tcBorders>
            <w:shd w:val="clear" w:color="000000" w:fill="FCE4D6"/>
            <w:vAlign w:val="center"/>
            <w:hideMark/>
          </w:tcPr>
          <w:p w14:paraId="56E17280" w14:textId="77777777" w:rsidR="00623C47" w:rsidRPr="00282E59" w:rsidRDefault="00623C47" w:rsidP="00623C47">
            <w:pPr>
              <w:spacing w:after="0" w:line="240" w:lineRule="auto"/>
              <w:ind w:firstLine="0"/>
              <w:rPr>
                <w:rFonts w:eastAsia="Times New Roman" w:cstheme="minorHAnsi"/>
                <w:color w:val="000000"/>
              </w:rPr>
            </w:pPr>
            <w:r w:rsidRPr="00282E59">
              <w:rPr>
                <w:rFonts w:eastAsia="Times New Roman" w:cstheme="minorHAnsi"/>
                <w:color w:val="000000"/>
              </w:rPr>
              <w:t>Number of businesses served by type of services</w:t>
            </w:r>
          </w:p>
        </w:tc>
        <w:tc>
          <w:tcPr>
            <w:tcW w:w="316" w:type="pct"/>
            <w:tcBorders>
              <w:top w:val="nil"/>
              <w:left w:val="nil"/>
              <w:bottom w:val="single" w:sz="4" w:space="0" w:color="auto"/>
              <w:right w:val="single" w:sz="4" w:space="0" w:color="auto"/>
            </w:tcBorders>
            <w:shd w:val="clear" w:color="000000" w:fill="FCE4D6"/>
            <w:vAlign w:val="center"/>
            <w:hideMark/>
          </w:tcPr>
          <w:p w14:paraId="21F27E24" w14:textId="176FD861"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FCE4D6"/>
            <w:vAlign w:val="center"/>
            <w:hideMark/>
          </w:tcPr>
          <w:p w14:paraId="6EDE00F2" w14:textId="38CCC2CD"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12" w:space="0" w:color="auto"/>
            </w:tcBorders>
            <w:shd w:val="clear" w:color="000000" w:fill="FCE4D6"/>
            <w:vAlign w:val="center"/>
            <w:hideMark/>
          </w:tcPr>
          <w:p w14:paraId="55D723E5" w14:textId="225A09D7" w:rsidR="00623C47" w:rsidRPr="00282E59" w:rsidRDefault="00623C47" w:rsidP="00623C47">
            <w:pPr>
              <w:spacing w:after="0" w:line="240" w:lineRule="auto"/>
              <w:ind w:firstLine="0"/>
              <w:jc w:val="center"/>
              <w:rPr>
                <w:rFonts w:eastAsia="Times New Roman" w:cstheme="minorHAnsi"/>
                <w:color w:val="000000"/>
              </w:rPr>
            </w:pPr>
          </w:p>
        </w:tc>
        <w:tc>
          <w:tcPr>
            <w:tcW w:w="316" w:type="pct"/>
            <w:tcBorders>
              <w:top w:val="nil"/>
              <w:left w:val="nil"/>
              <w:bottom w:val="single" w:sz="4" w:space="0" w:color="auto"/>
              <w:right w:val="single" w:sz="4" w:space="0" w:color="auto"/>
            </w:tcBorders>
            <w:shd w:val="clear" w:color="000000" w:fill="FCE4D6"/>
            <w:vAlign w:val="center"/>
            <w:hideMark/>
          </w:tcPr>
          <w:p w14:paraId="3988FC42" w14:textId="73384F00"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FCE4D6"/>
            <w:vAlign w:val="center"/>
            <w:hideMark/>
          </w:tcPr>
          <w:p w14:paraId="57423150" w14:textId="523BA14B"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FCE4D6"/>
            <w:vAlign w:val="center"/>
            <w:hideMark/>
          </w:tcPr>
          <w:p w14:paraId="216AB2E4" w14:textId="54A7A278"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CE4D6"/>
            <w:vAlign w:val="center"/>
          </w:tcPr>
          <w:p w14:paraId="155D8CBA"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FCE4D6"/>
            <w:vAlign w:val="center"/>
            <w:hideMark/>
          </w:tcPr>
          <w:p w14:paraId="40EC8261" w14:textId="3E10C8D5"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8" w:space="0" w:color="auto"/>
            </w:tcBorders>
            <w:shd w:val="clear" w:color="000000" w:fill="FCE4D6"/>
            <w:vAlign w:val="center"/>
            <w:hideMark/>
          </w:tcPr>
          <w:p w14:paraId="4C528FAA" w14:textId="24F57B28"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2B820AA0"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center"/>
            <w:hideMark/>
          </w:tcPr>
          <w:p w14:paraId="3B599B26"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xml:space="preserve">• Assistance with Recruitment/Referral </w:t>
            </w:r>
          </w:p>
        </w:tc>
        <w:tc>
          <w:tcPr>
            <w:tcW w:w="316" w:type="pct"/>
            <w:tcBorders>
              <w:top w:val="nil"/>
              <w:left w:val="nil"/>
              <w:bottom w:val="single" w:sz="4" w:space="0" w:color="auto"/>
              <w:right w:val="single" w:sz="4" w:space="0" w:color="auto"/>
            </w:tcBorders>
            <w:shd w:val="clear" w:color="000000" w:fill="FFF2CC"/>
            <w:vAlign w:val="center"/>
          </w:tcPr>
          <w:p w14:paraId="77A1D8B1"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170300FB"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27</w:t>
            </w:r>
          </w:p>
        </w:tc>
        <w:tc>
          <w:tcPr>
            <w:tcW w:w="413" w:type="pct"/>
            <w:tcBorders>
              <w:top w:val="nil"/>
              <w:left w:val="nil"/>
              <w:bottom w:val="single" w:sz="4" w:space="0" w:color="auto"/>
              <w:right w:val="single" w:sz="12" w:space="0" w:color="auto"/>
            </w:tcBorders>
            <w:shd w:val="clear" w:color="000000" w:fill="E2EFDA"/>
            <w:vAlign w:val="center"/>
            <w:hideMark/>
          </w:tcPr>
          <w:p w14:paraId="69494844"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5</w:t>
            </w:r>
          </w:p>
        </w:tc>
        <w:tc>
          <w:tcPr>
            <w:tcW w:w="316" w:type="pct"/>
            <w:tcBorders>
              <w:top w:val="nil"/>
              <w:left w:val="nil"/>
              <w:bottom w:val="single" w:sz="4" w:space="0" w:color="auto"/>
              <w:right w:val="single" w:sz="4" w:space="0" w:color="auto"/>
            </w:tcBorders>
            <w:shd w:val="clear" w:color="000000" w:fill="FFF2CC"/>
            <w:vAlign w:val="center"/>
            <w:hideMark/>
          </w:tcPr>
          <w:p w14:paraId="3B66438D" w14:textId="788276F5"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5D3A52CF" w14:textId="401A9582"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2187C031" w14:textId="56E6637B"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tcPr>
          <w:p w14:paraId="6FE4EE57"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3C9877F1"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8</w:t>
            </w:r>
          </w:p>
        </w:tc>
        <w:tc>
          <w:tcPr>
            <w:tcW w:w="413" w:type="pct"/>
            <w:tcBorders>
              <w:top w:val="nil"/>
              <w:left w:val="nil"/>
              <w:bottom w:val="single" w:sz="4" w:space="0" w:color="auto"/>
              <w:right w:val="single" w:sz="8" w:space="0" w:color="auto"/>
            </w:tcBorders>
            <w:shd w:val="clear" w:color="000000" w:fill="E2EFDA"/>
            <w:vAlign w:val="center"/>
            <w:hideMark/>
          </w:tcPr>
          <w:p w14:paraId="403E279A" w14:textId="5F835BEB"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5A2C7D16"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center"/>
            <w:hideMark/>
          </w:tcPr>
          <w:p w14:paraId="36DE6123"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xml:space="preserve">• Consultation on Retention of workers with disabilities </w:t>
            </w:r>
          </w:p>
        </w:tc>
        <w:tc>
          <w:tcPr>
            <w:tcW w:w="316" w:type="pct"/>
            <w:tcBorders>
              <w:top w:val="nil"/>
              <w:left w:val="nil"/>
              <w:bottom w:val="single" w:sz="4" w:space="0" w:color="auto"/>
              <w:right w:val="single" w:sz="4" w:space="0" w:color="auto"/>
            </w:tcBorders>
            <w:shd w:val="clear" w:color="000000" w:fill="FFF2CC"/>
            <w:vAlign w:val="center"/>
          </w:tcPr>
          <w:p w14:paraId="0C413A5C"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3D688934"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4</w:t>
            </w:r>
          </w:p>
        </w:tc>
        <w:tc>
          <w:tcPr>
            <w:tcW w:w="413" w:type="pct"/>
            <w:tcBorders>
              <w:top w:val="nil"/>
              <w:left w:val="nil"/>
              <w:bottom w:val="single" w:sz="4" w:space="0" w:color="auto"/>
              <w:right w:val="single" w:sz="12" w:space="0" w:color="auto"/>
            </w:tcBorders>
            <w:shd w:val="clear" w:color="000000" w:fill="E2EFDA"/>
            <w:vAlign w:val="center"/>
            <w:hideMark/>
          </w:tcPr>
          <w:p w14:paraId="6E64690E"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2</w:t>
            </w:r>
          </w:p>
        </w:tc>
        <w:tc>
          <w:tcPr>
            <w:tcW w:w="316" w:type="pct"/>
            <w:tcBorders>
              <w:top w:val="nil"/>
              <w:left w:val="nil"/>
              <w:bottom w:val="single" w:sz="4" w:space="0" w:color="auto"/>
              <w:right w:val="single" w:sz="4" w:space="0" w:color="auto"/>
            </w:tcBorders>
            <w:shd w:val="clear" w:color="000000" w:fill="FFF2CC"/>
            <w:vAlign w:val="center"/>
            <w:hideMark/>
          </w:tcPr>
          <w:p w14:paraId="1D1F1DC6" w14:textId="4D6A3856"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4DC5E6C2" w14:textId="7F001FA4"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3C32724C" w14:textId="42CAE611"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tcPr>
          <w:p w14:paraId="7657B4EF"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1DC5212C"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2</w:t>
            </w:r>
          </w:p>
        </w:tc>
        <w:tc>
          <w:tcPr>
            <w:tcW w:w="413" w:type="pct"/>
            <w:tcBorders>
              <w:top w:val="nil"/>
              <w:left w:val="nil"/>
              <w:bottom w:val="single" w:sz="4" w:space="0" w:color="auto"/>
              <w:right w:val="single" w:sz="8" w:space="0" w:color="auto"/>
            </w:tcBorders>
            <w:shd w:val="clear" w:color="000000" w:fill="E2EFDA"/>
            <w:vAlign w:val="center"/>
            <w:hideMark/>
          </w:tcPr>
          <w:p w14:paraId="2E9661A3" w14:textId="7CE8EE04"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1343FC99"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center"/>
            <w:hideMark/>
          </w:tcPr>
          <w:p w14:paraId="77C78AC8"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Consultation on Accommodations</w:t>
            </w:r>
          </w:p>
        </w:tc>
        <w:tc>
          <w:tcPr>
            <w:tcW w:w="316" w:type="pct"/>
            <w:tcBorders>
              <w:top w:val="nil"/>
              <w:left w:val="nil"/>
              <w:bottom w:val="single" w:sz="4" w:space="0" w:color="auto"/>
              <w:right w:val="single" w:sz="4" w:space="0" w:color="auto"/>
            </w:tcBorders>
            <w:shd w:val="clear" w:color="000000" w:fill="FFF2CC"/>
            <w:vAlign w:val="center"/>
          </w:tcPr>
          <w:p w14:paraId="3D241A09"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2D079D05"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5</w:t>
            </w:r>
          </w:p>
        </w:tc>
        <w:tc>
          <w:tcPr>
            <w:tcW w:w="413" w:type="pct"/>
            <w:tcBorders>
              <w:top w:val="nil"/>
              <w:left w:val="nil"/>
              <w:bottom w:val="single" w:sz="4" w:space="0" w:color="auto"/>
              <w:right w:val="single" w:sz="12" w:space="0" w:color="auto"/>
            </w:tcBorders>
            <w:shd w:val="clear" w:color="000000" w:fill="E2EFDA"/>
            <w:vAlign w:val="center"/>
            <w:hideMark/>
          </w:tcPr>
          <w:p w14:paraId="181F82D0"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5</w:t>
            </w:r>
          </w:p>
        </w:tc>
        <w:tc>
          <w:tcPr>
            <w:tcW w:w="316" w:type="pct"/>
            <w:tcBorders>
              <w:top w:val="nil"/>
              <w:left w:val="nil"/>
              <w:bottom w:val="single" w:sz="4" w:space="0" w:color="auto"/>
              <w:right w:val="single" w:sz="4" w:space="0" w:color="auto"/>
            </w:tcBorders>
            <w:shd w:val="clear" w:color="000000" w:fill="FFF2CC"/>
            <w:vAlign w:val="center"/>
            <w:hideMark/>
          </w:tcPr>
          <w:p w14:paraId="0BEA2FAC" w14:textId="0F001979"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32337F40" w14:textId="11DE00EA"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7CA582B4" w14:textId="0CD5CF34"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tcPr>
          <w:p w14:paraId="74942607"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7283D772"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2</w:t>
            </w:r>
          </w:p>
        </w:tc>
        <w:tc>
          <w:tcPr>
            <w:tcW w:w="413" w:type="pct"/>
            <w:tcBorders>
              <w:top w:val="nil"/>
              <w:left w:val="nil"/>
              <w:bottom w:val="single" w:sz="4" w:space="0" w:color="auto"/>
              <w:right w:val="single" w:sz="8" w:space="0" w:color="auto"/>
            </w:tcBorders>
            <w:shd w:val="clear" w:color="000000" w:fill="E2EFDA"/>
            <w:vAlign w:val="center"/>
            <w:hideMark/>
          </w:tcPr>
          <w:p w14:paraId="46ED28D3" w14:textId="017AA83B"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0CFE7E89"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center"/>
            <w:hideMark/>
          </w:tcPr>
          <w:p w14:paraId="323E3A2C"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xml:space="preserve">• Consultation on Assistive Technology </w:t>
            </w:r>
          </w:p>
        </w:tc>
        <w:tc>
          <w:tcPr>
            <w:tcW w:w="316" w:type="pct"/>
            <w:tcBorders>
              <w:top w:val="nil"/>
              <w:left w:val="nil"/>
              <w:bottom w:val="single" w:sz="4" w:space="0" w:color="auto"/>
              <w:right w:val="single" w:sz="4" w:space="0" w:color="auto"/>
            </w:tcBorders>
            <w:shd w:val="clear" w:color="000000" w:fill="FFF2CC"/>
            <w:vAlign w:val="center"/>
          </w:tcPr>
          <w:p w14:paraId="184A737E"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7B3D6384"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3</w:t>
            </w:r>
          </w:p>
        </w:tc>
        <w:tc>
          <w:tcPr>
            <w:tcW w:w="413" w:type="pct"/>
            <w:tcBorders>
              <w:top w:val="nil"/>
              <w:left w:val="nil"/>
              <w:bottom w:val="single" w:sz="4" w:space="0" w:color="auto"/>
              <w:right w:val="single" w:sz="12" w:space="0" w:color="auto"/>
            </w:tcBorders>
            <w:shd w:val="clear" w:color="000000" w:fill="E2EFDA"/>
            <w:vAlign w:val="center"/>
            <w:hideMark/>
          </w:tcPr>
          <w:p w14:paraId="7D1FA860"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2</w:t>
            </w:r>
          </w:p>
        </w:tc>
        <w:tc>
          <w:tcPr>
            <w:tcW w:w="316" w:type="pct"/>
            <w:tcBorders>
              <w:top w:val="nil"/>
              <w:left w:val="nil"/>
              <w:bottom w:val="single" w:sz="4" w:space="0" w:color="auto"/>
              <w:right w:val="single" w:sz="4" w:space="0" w:color="auto"/>
            </w:tcBorders>
            <w:shd w:val="clear" w:color="000000" w:fill="FFF2CC"/>
            <w:vAlign w:val="center"/>
            <w:hideMark/>
          </w:tcPr>
          <w:p w14:paraId="428B5A98" w14:textId="59948499"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771F4C76" w14:textId="31AFBF05"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06C54381" w14:textId="3E3FF52A"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hideMark/>
          </w:tcPr>
          <w:p w14:paraId="58BB706C"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2</w:t>
            </w:r>
          </w:p>
        </w:tc>
        <w:tc>
          <w:tcPr>
            <w:tcW w:w="372" w:type="pct"/>
            <w:tcBorders>
              <w:top w:val="nil"/>
              <w:left w:val="nil"/>
              <w:bottom w:val="single" w:sz="4" w:space="0" w:color="auto"/>
              <w:right w:val="single" w:sz="4" w:space="0" w:color="auto"/>
            </w:tcBorders>
            <w:shd w:val="clear" w:color="000000" w:fill="D9E1F2"/>
            <w:vAlign w:val="center"/>
            <w:hideMark/>
          </w:tcPr>
          <w:p w14:paraId="29D4C0CB"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413" w:type="pct"/>
            <w:tcBorders>
              <w:top w:val="nil"/>
              <w:left w:val="nil"/>
              <w:bottom w:val="single" w:sz="4" w:space="0" w:color="auto"/>
              <w:right w:val="single" w:sz="8" w:space="0" w:color="auto"/>
            </w:tcBorders>
            <w:shd w:val="clear" w:color="000000" w:fill="E2EFDA"/>
            <w:vAlign w:val="center"/>
            <w:hideMark/>
          </w:tcPr>
          <w:p w14:paraId="61F4F240" w14:textId="36AD17A3"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3BBE6EBE" w14:textId="77777777" w:rsidTr="00623C47">
        <w:trPr>
          <w:trHeight w:val="540"/>
        </w:trPr>
        <w:tc>
          <w:tcPr>
            <w:tcW w:w="1412" w:type="pct"/>
            <w:tcBorders>
              <w:top w:val="nil"/>
              <w:left w:val="single" w:sz="8" w:space="0" w:color="auto"/>
              <w:bottom w:val="single" w:sz="4" w:space="0" w:color="auto"/>
              <w:right w:val="single" w:sz="12" w:space="0" w:color="auto"/>
            </w:tcBorders>
            <w:shd w:val="clear" w:color="auto" w:fill="auto"/>
            <w:vAlign w:val="center"/>
            <w:hideMark/>
          </w:tcPr>
          <w:p w14:paraId="1A48F5DC"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Disability Awareness/Sensitivity Training</w:t>
            </w:r>
          </w:p>
        </w:tc>
        <w:tc>
          <w:tcPr>
            <w:tcW w:w="316" w:type="pct"/>
            <w:tcBorders>
              <w:top w:val="nil"/>
              <w:left w:val="nil"/>
              <w:bottom w:val="single" w:sz="4" w:space="0" w:color="auto"/>
              <w:right w:val="single" w:sz="4" w:space="0" w:color="auto"/>
            </w:tcBorders>
            <w:shd w:val="clear" w:color="000000" w:fill="FFF2CC"/>
            <w:vAlign w:val="center"/>
          </w:tcPr>
          <w:p w14:paraId="7C0CB336"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0E442AF6"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47</w:t>
            </w:r>
          </w:p>
        </w:tc>
        <w:tc>
          <w:tcPr>
            <w:tcW w:w="413" w:type="pct"/>
            <w:tcBorders>
              <w:top w:val="nil"/>
              <w:left w:val="nil"/>
              <w:bottom w:val="single" w:sz="4" w:space="0" w:color="auto"/>
              <w:right w:val="single" w:sz="12" w:space="0" w:color="auto"/>
            </w:tcBorders>
            <w:shd w:val="clear" w:color="000000" w:fill="E2EFDA"/>
            <w:vAlign w:val="center"/>
            <w:hideMark/>
          </w:tcPr>
          <w:p w14:paraId="6830DB15"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5</w:t>
            </w:r>
          </w:p>
        </w:tc>
        <w:tc>
          <w:tcPr>
            <w:tcW w:w="316" w:type="pct"/>
            <w:tcBorders>
              <w:top w:val="nil"/>
              <w:left w:val="nil"/>
              <w:bottom w:val="single" w:sz="4" w:space="0" w:color="auto"/>
              <w:right w:val="single" w:sz="4" w:space="0" w:color="auto"/>
            </w:tcBorders>
            <w:shd w:val="clear" w:color="000000" w:fill="FFF2CC"/>
            <w:vAlign w:val="center"/>
            <w:hideMark/>
          </w:tcPr>
          <w:p w14:paraId="3551ABEA"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6</w:t>
            </w:r>
          </w:p>
        </w:tc>
        <w:tc>
          <w:tcPr>
            <w:tcW w:w="372" w:type="pct"/>
            <w:tcBorders>
              <w:top w:val="nil"/>
              <w:left w:val="nil"/>
              <w:bottom w:val="single" w:sz="4" w:space="0" w:color="auto"/>
              <w:right w:val="single" w:sz="4" w:space="0" w:color="auto"/>
            </w:tcBorders>
            <w:shd w:val="clear" w:color="000000" w:fill="D9E1F2"/>
            <w:vAlign w:val="center"/>
            <w:hideMark/>
          </w:tcPr>
          <w:p w14:paraId="193D1071"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17</w:t>
            </w:r>
          </w:p>
        </w:tc>
        <w:tc>
          <w:tcPr>
            <w:tcW w:w="685" w:type="pct"/>
            <w:tcBorders>
              <w:top w:val="nil"/>
              <w:left w:val="nil"/>
              <w:bottom w:val="single" w:sz="4" w:space="0" w:color="auto"/>
              <w:right w:val="single" w:sz="12" w:space="0" w:color="auto"/>
            </w:tcBorders>
            <w:shd w:val="clear" w:color="000000" w:fill="E2EFDA"/>
            <w:vAlign w:val="center"/>
            <w:hideMark/>
          </w:tcPr>
          <w:p w14:paraId="56AC901F"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8% increase per year</w:t>
            </w:r>
          </w:p>
        </w:tc>
        <w:tc>
          <w:tcPr>
            <w:tcW w:w="330" w:type="pct"/>
            <w:tcBorders>
              <w:top w:val="nil"/>
              <w:left w:val="nil"/>
              <w:bottom w:val="single" w:sz="4" w:space="0" w:color="auto"/>
              <w:right w:val="single" w:sz="4" w:space="0" w:color="auto"/>
            </w:tcBorders>
            <w:shd w:val="clear" w:color="000000" w:fill="FFF2CC"/>
            <w:vAlign w:val="center"/>
            <w:hideMark/>
          </w:tcPr>
          <w:p w14:paraId="3521E3A2"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6</w:t>
            </w:r>
          </w:p>
        </w:tc>
        <w:tc>
          <w:tcPr>
            <w:tcW w:w="372" w:type="pct"/>
            <w:tcBorders>
              <w:top w:val="nil"/>
              <w:left w:val="nil"/>
              <w:bottom w:val="single" w:sz="4" w:space="0" w:color="auto"/>
              <w:right w:val="single" w:sz="4" w:space="0" w:color="auto"/>
            </w:tcBorders>
            <w:shd w:val="clear" w:color="000000" w:fill="D9E1F2"/>
            <w:vAlign w:val="center"/>
            <w:hideMark/>
          </w:tcPr>
          <w:p w14:paraId="702686AE"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9</w:t>
            </w:r>
          </w:p>
        </w:tc>
        <w:tc>
          <w:tcPr>
            <w:tcW w:w="413" w:type="pct"/>
            <w:tcBorders>
              <w:top w:val="nil"/>
              <w:left w:val="nil"/>
              <w:bottom w:val="single" w:sz="4" w:space="0" w:color="auto"/>
              <w:right w:val="single" w:sz="8" w:space="0" w:color="auto"/>
            </w:tcBorders>
            <w:shd w:val="clear" w:color="000000" w:fill="E2EFDA"/>
            <w:vAlign w:val="center"/>
            <w:hideMark/>
          </w:tcPr>
          <w:p w14:paraId="1109B055"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12</w:t>
            </w:r>
          </w:p>
        </w:tc>
      </w:tr>
      <w:tr w:rsidR="00623C47" w:rsidRPr="00BA2FEF" w14:paraId="44988E3C"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bottom"/>
            <w:hideMark/>
          </w:tcPr>
          <w:p w14:paraId="13AB3BE7"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Consultation on Serving Customers with Disabilities</w:t>
            </w:r>
          </w:p>
        </w:tc>
        <w:tc>
          <w:tcPr>
            <w:tcW w:w="316" w:type="pct"/>
            <w:tcBorders>
              <w:top w:val="nil"/>
              <w:left w:val="nil"/>
              <w:bottom w:val="single" w:sz="4" w:space="0" w:color="auto"/>
              <w:right w:val="single" w:sz="4" w:space="0" w:color="auto"/>
            </w:tcBorders>
            <w:shd w:val="clear" w:color="000000" w:fill="FFF2CC"/>
            <w:vAlign w:val="center"/>
          </w:tcPr>
          <w:p w14:paraId="2B25CE55"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64695C4F"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18</w:t>
            </w:r>
          </w:p>
        </w:tc>
        <w:tc>
          <w:tcPr>
            <w:tcW w:w="413" w:type="pct"/>
            <w:tcBorders>
              <w:top w:val="nil"/>
              <w:left w:val="nil"/>
              <w:bottom w:val="single" w:sz="4" w:space="0" w:color="auto"/>
              <w:right w:val="single" w:sz="12" w:space="0" w:color="auto"/>
            </w:tcBorders>
            <w:shd w:val="clear" w:color="000000" w:fill="E2EFDA"/>
            <w:vAlign w:val="center"/>
            <w:hideMark/>
          </w:tcPr>
          <w:p w14:paraId="39071CD7"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5</w:t>
            </w:r>
          </w:p>
        </w:tc>
        <w:tc>
          <w:tcPr>
            <w:tcW w:w="316" w:type="pct"/>
            <w:tcBorders>
              <w:top w:val="nil"/>
              <w:left w:val="nil"/>
              <w:bottom w:val="single" w:sz="4" w:space="0" w:color="auto"/>
              <w:right w:val="single" w:sz="4" w:space="0" w:color="auto"/>
            </w:tcBorders>
            <w:shd w:val="clear" w:color="000000" w:fill="FFF2CC"/>
            <w:vAlign w:val="center"/>
            <w:hideMark/>
          </w:tcPr>
          <w:p w14:paraId="60EA2B49" w14:textId="297097B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128B7ECB" w14:textId="5F79169A"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0C8BDB1C" w14:textId="43650AF4"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tcPr>
          <w:p w14:paraId="6C617ED6"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tcPr>
          <w:p w14:paraId="734BC463" w14:textId="77777777"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8" w:space="0" w:color="auto"/>
            </w:tcBorders>
            <w:shd w:val="clear" w:color="000000" w:fill="E2EFDA"/>
            <w:vAlign w:val="center"/>
          </w:tcPr>
          <w:p w14:paraId="3CB9F27E" w14:textId="77777777"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3A9C7F0E" w14:textId="77777777" w:rsidTr="00623C47">
        <w:trPr>
          <w:trHeight w:val="310"/>
        </w:trPr>
        <w:tc>
          <w:tcPr>
            <w:tcW w:w="1412" w:type="pct"/>
            <w:tcBorders>
              <w:top w:val="nil"/>
              <w:left w:val="single" w:sz="8" w:space="0" w:color="auto"/>
              <w:bottom w:val="single" w:sz="4" w:space="0" w:color="auto"/>
              <w:right w:val="single" w:sz="12" w:space="0" w:color="auto"/>
            </w:tcBorders>
            <w:shd w:val="clear" w:color="000000" w:fill="FCE4D6"/>
            <w:vAlign w:val="bottom"/>
            <w:hideMark/>
          </w:tcPr>
          <w:p w14:paraId="2B95720F" w14:textId="77777777" w:rsidR="00623C47" w:rsidRPr="00282E59" w:rsidRDefault="00623C47" w:rsidP="00623C47">
            <w:pPr>
              <w:spacing w:after="0" w:line="240" w:lineRule="auto"/>
              <w:ind w:firstLine="0"/>
              <w:rPr>
                <w:rFonts w:eastAsia="Times New Roman" w:cstheme="minorHAnsi"/>
                <w:color w:val="000000"/>
              </w:rPr>
            </w:pPr>
            <w:r w:rsidRPr="00282E59">
              <w:rPr>
                <w:rFonts w:eastAsia="Times New Roman" w:cstheme="minorHAnsi"/>
                <w:color w:val="000000"/>
              </w:rPr>
              <w:t>Other (specify)</w:t>
            </w:r>
          </w:p>
        </w:tc>
        <w:tc>
          <w:tcPr>
            <w:tcW w:w="316" w:type="pct"/>
            <w:tcBorders>
              <w:top w:val="nil"/>
              <w:left w:val="nil"/>
              <w:bottom w:val="single" w:sz="4" w:space="0" w:color="auto"/>
              <w:right w:val="single" w:sz="4" w:space="0" w:color="auto"/>
            </w:tcBorders>
            <w:shd w:val="clear" w:color="000000" w:fill="FCE4D6"/>
            <w:vAlign w:val="center"/>
            <w:hideMark/>
          </w:tcPr>
          <w:p w14:paraId="1F457042" w14:textId="166219E5"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FCE4D6"/>
            <w:vAlign w:val="center"/>
            <w:hideMark/>
          </w:tcPr>
          <w:p w14:paraId="45F06067" w14:textId="4C882535"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12" w:space="0" w:color="auto"/>
            </w:tcBorders>
            <w:shd w:val="clear" w:color="000000" w:fill="FCE4D6"/>
            <w:vAlign w:val="center"/>
            <w:hideMark/>
          </w:tcPr>
          <w:p w14:paraId="31AF33C0" w14:textId="1E0832E1" w:rsidR="00623C47" w:rsidRPr="00282E59" w:rsidRDefault="00623C47" w:rsidP="00623C47">
            <w:pPr>
              <w:spacing w:after="0" w:line="240" w:lineRule="auto"/>
              <w:ind w:firstLine="0"/>
              <w:jc w:val="center"/>
              <w:rPr>
                <w:rFonts w:eastAsia="Times New Roman" w:cstheme="minorHAnsi"/>
                <w:color w:val="000000"/>
              </w:rPr>
            </w:pPr>
          </w:p>
        </w:tc>
        <w:tc>
          <w:tcPr>
            <w:tcW w:w="316" w:type="pct"/>
            <w:tcBorders>
              <w:top w:val="nil"/>
              <w:left w:val="nil"/>
              <w:bottom w:val="single" w:sz="4" w:space="0" w:color="auto"/>
              <w:right w:val="single" w:sz="4" w:space="0" w:color="auto"/>
            </w:tcBorders>
            <w:shd w:val="clear" w:color="000000" w:fill="FCE4D6"/>
            <w:vAlign w:val="center"/>
            <w:hideMark/>
          </w:tcPr>
          <w:p w14:paraId="2961088B" w14:textId="3B94A64C"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FCE4D6"/>
            <w:vAlign w:val="center"/>
            <w:hideMark/>
          </w:tcPr>
          <w:p w14:paraId="0A919464" w14:textId="50BC932A"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FCE4D6"/>
            <w:vAlign w:val="center"/>
            <w:hideMark/>
          </w:tcPr>
          <w:p w14:paraId="0DF67648" w14:textId="6D669F20"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CE4D6"/>
            <w:vAlign w:val="center"/>
            <w:hideMark/>
          </w:tcPr>
          <w:p w14:paraId="4324533D" w14:textId="14F38BE8"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FCE4D6"/>
            <w:vAlign w:val="center"/>
            <w:hideMark/>
          </w:tcPr>
          <w:p w14:paraId="639A3602" w14:textId="5E4B11BB"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8" w:space="0" w:color="auto"/>
            </w:tcBorders>
            <w:shd w:val="clear" w:color="000000" w:fill="FCE4D6"/>
            <w:vAlign w:val="center"/>
            <w:hideMark/>
          </w:tcPr>
          <w:p w14:paraId="2E16C551" w14:textId="00F41398"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5F53916F" w14:textId="77777777" w:rsidTr="00623C47">
        <w:trPr>
          <w:trHeight w:val="310"/>
        </w:trPr>
        <w:tc>
          <w:tcPr>
            <w:tcW w:w="1412" w:type="pct"/>
            <w:tcBorders>
              <w:top w:val="nil"/>
              <w:left w:val="single" w:sz="8" w:space="0" w:color="auto"/>
              <w:bottom w:val="single" w:sz="4" w:space="0" w:color="auto"/>
              <w:right w:val="single" w:sz="12" w:space="0" w:color="auto"/>
            </w:tcBorders>
            <w:shd w:val="clear" w:color="000000" w:fill="FCE4D6"/>
            <w:vAlign w:val="center"/>
            <w:hideMark/>
          </w:tcPr>
          <w:p w14:paraId="20C312A1" w14:textId="77777777" w:rsidR="00623C47" w:rsidRPr="00282E59" w:rsidRDefault="00623C47" w:rsidP="00623C47">
            <w:pPr>
              <w:spacing w:after="0" w:line="240" w:lineRule="auto"/>
              <w:ind w:firstLine="0"/>
              <w:rPr>
                <w:rFonts w:eastAsia="Times New Roman" w:cstheme="minorHAnsi"/>
                <w:color w:val="000000"/>
              </w:rPr>
            </w:pPr>
            <w:r w:rsidRPr="00282E59">
              <w:rPr>
                <w:rFonts w:eastAsia="Times New Roman" w:cstheme="minorHAnsi"/>
                <w:color w:val="000000"/>
              </w:rPr>
              <w:t xml:space="preserve">Impact of Services to Business </w:t>
            </w:r>
          </w:p>
        </w:tc>
        <w:tc>
          <w:tcPr>
            <w:tcW w:w="316" w:type="pct"/>
            <w:tcBorders>
              <w:top w:val="nil"/>
              <w:left w:val="nil"/>
              <w:bottom w:val="single" w:sz="4" w:space="0" w:color="auto"/>
              <w:right w:val="single" w:sz="4" w:space="0" w:color="auto"/>
            </w:tcBorders>
            <w:shd w:val="clear" w:color="000000" w:fill="FCE4D6"/>
            <w:vAlign w:val="center"/>
            <w:hideMark/>
          </w:tcPr>
          <w:p w14:paraId="76AE7C75" w14:textId="2EA06DD6"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FCE4D6"/>
            <w:vAlign w:val="center"/>
            <w:hideMark/>
          </w:tcPr>
          <w:p w14:paraId="1EE989C5" w14:textId="5BA26663"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12" w:space="0" w:color="auto"/>
            </w:tcBorders>
            <w:shd w:val="clear" w:color="000000" w:fill="FCE4D6"/>
            <w:vAlign w:val="center"/>
            <w:hideMark/>
          </w:tcPr>
          <w:p w14:paraId="00570863" w14:textId="003EB96D" w:rsidR="00623C47" w:rsidRPr="00282E59" w:rsidRDefault="00623C47" w:rsidP="00623C47">
            <w:pPr>
              <w:spacing w:after="0" w:line="240" w:lineRule="auto"/>
              <w:ind w:firstLine="0"/>
              <w:jc w:val="center"/>
              <w:rPr>
                <w:rFonts w:eastAsia="Times New Roman" w:cstheme="minorHAnsi"/>
                <w:color w:val="000000"/>
              </w:rPr>
            </w:pPr>
          </w:p>
        </w:tc>
        <w:tc>
          <w:tcPr>
            <w:tcW w:w="316" w:type="pct"/>
            <w:tcBorders>
              <w:top w:val="nil"/>
              <w:left w:val="nil"/>
              <w:bottom w:val="single" w:sz="4" w:space="0" w:color="auto"/>
              <w:right w:val="single" w:sz="4" w:space="0" w:color="auto"/>
            </w:tcBorders>
            <w:shd w:val="clear" w:color="000000" w:fill="FCE4D6"/>
            <w:vAlign w:val="center"/>
            <w:hideMark/>
          </w:tcPr>
          <w:p w14:paraId="25E96BD3" w14:textId="015C311D"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FCE4D6"/>
            <w:vAlign w:val="center"/>
            <w:hideMark/>
          </w:tcPr>
          <w:p w14:paraId="06DA376D" w14:textId="48D4E6F3"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FCE4D6"/>
            <w:vAlign w:val="center"/>
            <w:hideMark/>
          </w:tcPr>
          <w:p w14:paraId="7C8D142E" w14:textId="2AACD015"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CE4D6"/>
            <w:vAlign w:val="center"/>
            <w:hideMark/>
          </w:tcPr>
          <w:p w14:paraId="4B4C22C5" w14:textId="42B77F95"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FCE4D6"/>
            <w:vAlign w:val="center"/>
            <w:hideMark/>
          </w:tcPr>
          <w:p w14:paraId="42DEB55C" w14:textId="14A65BB0"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8" w:space="0" w:color="auto"/>
            </w:tcBorders>
            <w:shd w:val="clear" w:color="000000" w:fill="FCE4D6"/>
            <w:vAlign w:val="center"/>
            <w:hideMark/>
          </w:tcPr>
          <w:p w14:paraId="74E0636F" w14:textId="4D181946"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44F4A39B" w14:textId="77777777" w:rsidTr="00623C47">
        <w:trPr>
          <w:trHeight w:val="620"/>
        </w:trPr>
        <w:tc>
          <w:tcPr>
            <w:tcW w:w="1412" w:type="pct"/>
            <w:tcBorders>
              <w:top w:val="nil"/>
              <w:left w:val="single" w:sz="8" w:space="0" w:color="auto"/>
              <w:bottom w:val="single" w:sz="4" w:space="0" w:color="auto"/>
              <w:right w:val="single" w:sz="12" w:space="0" w:color="auto"/>
            </w:tcBorders>
            <w:shd w:val="clear" w:color="000000" w:fill="FFFFFF"/>
            <w:vAlign w:val="bottom"/>
            <w:hideMark/>
          </w:tcPr>
          <w:p w14:paraId="23FF2FC2"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lastRenderedPageBreak/>
              <w:t>• Degree of satisfaction with agency services (specify how measured; attach findings)</w:t>
            </w:r>
          </w:p>
        </w:tc>
        <w:tc>
          <w:tcPr>
            <w:tcW w:w="316" w:type="pct"/>
            <w:tcBorders>
              <w:top w:val="nil"/>
              <w:left w:val="nil"/>
              <w:bottom w:val="single" w:sz="4" w:space="0" w:color="auto"/>
              <w:right w:val="single" w:sz="4" w:space="0" w:color="auto"/>
            </w:tcBorders>
            <w:shd w:val="clear" w:color="000000" w:fill="FFF2CC"/>
            <w:vAlign w:val="center"/>
            <w:hideMark/>
          </w:tcPr>
          <w:p w14:paraId="0FD7F68D" w14:textId="308E5DF5"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6B1A473A" w14:textId="60B75D70"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12" w:space="0" w:color="auto"/>
            </w:tcBorders>
            <w:shd w:val="clear" w:color="000000" w:fill="E2EFDA"/>
            <w:vAlign w:val="center"/>
            <w:hideMark/>
          </w:tcPr>
          <w:p w14:paraId="6A2B6B43" w14:textId="75887EEE" w:rsidR="00623C47" w:rsidRPr="00282E59" w:rsidRDefault="00623C47" w:rsidP="00623C47">
            <w:pPr>
              <w:spacing w:after="0" w:line="240" w:lineRule="auto"/>
              <w:ind w:firstLine="0"/>
              <w:jc w:val="center"/>
              <w:rPr>
                <w:rFonts w:eastAsia="Times New Roman" w:cstheme="minorHAnsi"/>
                <w:color w:val="000000"/>
              </w:rPr>
            </w:pPr>
          </w:p>
        </w:tc>
        <w:tc>
          <w:tcPr>
            <w:tcW w:w="316" w:type="pct"/>
            <w:tcBorders>
              <w:top w:val="nil"/>
              <w:left w:val="nil"/>
              <w:bottom w:val="single" w:sz="4" w:space="0" w:color="auto"/>
              <w:right w:val="single" w:sz="4" w:space="0" w:color="auto"/>
            </w:tcBorders>
            <w:shd w:val="clear" w:color="000000" w:fill="FFF2CC"/>
            <w:vAlign w:val="center"/>
            <w:hideMark/>
          </w:tcPr>
          <w:p w14:paraId="1EBED876" w14:textId="107A6A39"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1A82E8A8" w14:textId="4349C6A0"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2B243AF1" w14:textId="0055D1A1"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tcPr>
          <w:p w14:paraId="27F5F516"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tcPr>
          <w:p w14:paraId="21C8160D" w14:textId="77777777"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8" w:space="0" w:color="auto"/>
            </w:tcBorders>
            <w:shd w:val="clear" w:color="000000" w:fill="E2EFDA"/>
            <w:vAlign w:val="center"/>
            <w:hideMark/>
          </w:tcPr>
          <w:p w14:paraId="1402A806"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w:t>
            </w:r>
          </w:p>
        </w:tc>
      </w:tr>
      <w:tr w:rsidR="00623C47" w:rsidRPr="00282E59" w14:paraId="2CBF42F0" w14:textId="77777777" w:rsidTr="00623C47">
        <w:trPr>
          <w:trHeight w:val="340"/>
        </w:trPr>
        <w:tc>
          <w:tcPr>
            <w:tcW w:w="5000" w:type="pct"/>
            <w:gridSpan w:val="10"/>
            <w:tcBorders>
              <w:top w:val="single" w:sz="4" w:space="0" w:color="auto"/>
              <w:left w:val="single" w:sz="8" w:space="0" w:color="auto"/>
              <w:bottom w:val="single" w:sz="4" w:space="0" w:color="auto"/>
              <w:right w:val="single" w:sz="8" w:space="0" w:color="000000"/>
            </w:tcBorders>
            <w:shd w:val="clear" w:color="000000" w:fill="EDEDED"/>
            <w:vAlign w:val="bottom"/>
            <w:hideMark/>
          </w:tcPr>
          <w:p w14:paraId="78353856" w14:textId="77777777" w:rsidR="00623C47" w:rsidRPr="00282E59" w:rsidRDefault="00623C47" w:rsidP="00623C47">
            <w:pPr>
              <w:spacing w:after="0" w:line="240" w:lineRule="auto"/>
              <w:ind w:firstLine="0"/>
              <w:jc w:val="center"/>
              <w:rPr>
                <w:rFonts w:eastAsia="Times New Roman" w:cstheme="minorHAnsi"/>
                <w:b/>
                <w:bCs/>
                <w:color w:val="000000"/>
              </w:rPr>
            </w:pPr>
            <w:r w:rsidRPr="00282E59">
              <w:rPr>
                <w:rFonts w:eastAsia="Times New Roman" w:cstheme="minorHAnsi"/>
                <w:b/>
                <w:bCs/>
                <w:color w:val="000000"/>
              </w:rPr>
              <w:t>Services to Consumers</w:t>
            </w:r>
          </w:p>
        </w:tc>
      </w:tr>
      <w:tr w:rsidR="00623C47" w:rsidRPr="00BA2FEF" w14:paraId="4BEA26D5" w14:textId="77777777" w:rsidTr="00623C47">
        <w:trPr>
          <w:trHeight w:val="620"/>
        </w:trPr>
        <w:tc>
          <w:tcPr>
            <w:tcW w:w="1412" w:type="pct"/>
            <w:tcBorders>
              <w:top w:val="nil"/>
              <w:left w:val="single" w:sz="8" w:space="0" w:color="auto"/>
              <w:bottom w:val="single" w:sz="4" w:space="0" w:color="auto"/>
              <w:right w:val="single" w:sz="12" w:space="0" w:color="auto"/>
            </w:tcBorders>
            <w:shd w:val="clear" w:color="000000" w:fill="FCE4D6"/>
            <w:vAlign w:val="center"/>
            <w:hideMark/>
          </w:tcPr>
          <w:p w14:paraId="4077C93B" w14:textId="77777777" w:rsidR="00623C47" w:rsidRPr="00282E59" w:rsidRDefault="00623C47" w:rsidP="00623C47">
            <w:pPr>
              <w:spacing w:after="0" w:line="240" w:lineRule="auto"/>
              <w:ind w:firstLine="0"/>
              <w:rPr>
                <w:rFonts w:eastAsia="Times New Roman" w:cstheme="minorHAnsi"/>
                <w:color w:val="000000"/>
              </w:rPr>
            </w:pPr>
            <w:r w:rsidRPr="00282E59">
              <w:rPr>
                <w:rFonts w:eastAsia="Times New Roman" w:cstheme="minorHAnsi"/>
                <w:color w:val="000000"/>
              </w:rPr>
              <w:t>Number of clients receiving services linked directly to BE activities by type of service:</w:t>
            </w:r>
          </w:p>
        </w:tc>
        <w:tc>
          <w:tcPr>
            <w:tcW w:w="316" w:type="pct"/>
            <w:tcBorders>
              <w:top w:val="nil"/>
              <w:left w:val="nil"/>
              <w:bottom w:val="single" w:sz="4" w:space="0" w:color="auto"/>
              <w:right w:val="single" w:sz="4" w:space="0" w:color="auto"/>
            </w:tcBorders>
            <w:shd w:val="clear" w:color="000000" w:fill="FCE4D6"/>
            <w:vAlign w:val="center"/>
            <w:hideMark/>
          </w:tcPr>
          <w:p w14:paraId="4E6FA051" w14:textId="7757B75F"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FCE4D6"/>
            <w:vAlign w:val="center"/>
            <w:hideMark/>
          </w:tcPr>
          <w:p w14:paraId="2B6632FF" w14:textId="7B22A5F4"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4" w:space="0" w:color="auto"/>
            </w:tcBorders>
            <w:shd w:val="clear" w:color="000000" w:fill="FCE4D6"/>
            <w:vAlign w:val="center"/>
            <w:hideMark/>
          </w:tcPr>
          <w:p w14:paraId="0ABF25E0" w14:textId="7B45862F" w:rsidR="00623C47" w:rsidRPr="00282E59" w:rsidRDefault="00623C47" w:rsidP="00623C47">
            <w:pPr>
              <w:spacing w:after="0" w:line="240" w:lineRule="auto"/>
              <w:ind w:firstLine="0"/>
              <w:jc w:val="center"/>
              <w:rPr>
                <w:rFonts w:eastAsia="Times New Roman" w:cstheme="minorHAnsi"/>
                <w:color w:val="000000"/>
              </w:rPr>
            </w:pPr>
          </w:p>
        </w:tc>
        <w:tc>
          <w:tcPr>
            <w:tcW w:w="316" w:type="pct"/>
            <w:tcBorders>
              <w:top w:val="nil"/>
              <w:left w:val="nil"/>
              <w:bottom w:val="single" w:sz="4" w:space="0" w:color="auto"/>
              <w:right w:val="single" w:sz="12" w:space="0" w:color="auto"/>
            </w:tcBorders>
            <w:shd w:val="clear" w:color="000000" w:fill="FFF2CC"/>
            <w:vAlign w:val="center"/>
            <w:hideMark/>
          </w:tcPr>
          <w:p w14:paraId="621CAF8E" w14:textId="3539C5B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0187C8BC" w14:textId="0462D513"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512C8839" w14:textId="5E94FA57"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hideMark/>
          </w:tcPr>
          <w:p w14:paraId="3472C7D4" w14:textId="1454BD8A"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3268DC25" w14:textId="11F81A1F"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8" w:space="0" w:color="auto"/>
            </w:tcBorders>
            <w:shd w:val="clear" w:color="000000" w:fill="E2EFDA"/>
            <w:vAlign w:val="center"/>
            <w:hideMark/>
          </w:tcPr>
          <w:p w14:paraId="7BD23FE5" w14:textId="760ED992"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04B40122" w14:textId="77777777" w:rsidTr="00623C47">
        <w:trPr>
          <w:trHeight w:val="620"/>
        </w:trPr>
        <w:tc>
          <w:tcPr>
            <w:tcW w:w="1412" w:type="pct"/>
            <w:tcBorders>
              <w:top w:val="nil"/>
              <w:left w:val="single" w:sz="8" w:space="0" w:color="auto"/>
              <w:bottom w:val="single" w:sz="4" w:space="0" w:color="auto"/>
              <w:right w:val="single" w:sz="12" w:space="0" w:color="auto"/>
            </w:tcBorders>
            <w:shd w:val="clear" w:color="auto" w:fill="auto"/>
            <w:vAlign w:val="bottom"/>
            <w:hideMark/>
          </w:tcPr>
          <w:p w14:paraId="70E08FEB"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Informational Interviews</w:t>
            </w:r>
          </w:p>
        </w:tc>
        <w:tc>
          <w:tcPr>
            <w:tcW w:w="316" w:type="pct"/>
            <w:tcBorders>
              <w:top w:val="nil"/>
              <w:left w:val="nil"/>
              <w:bottom w:val="single" w:sz="4" w:space="0" w:color="auto"/>
              <w:right w:val="single" w:sz="4" w:space="0" w:color="auto"/>
            </w:tcBorders>
            <w:shd w:val="clear" w:color="000000" w:fill="FFF2CC"/>
            <w:vAlign w:val="center"/>
            <w:hideMark/>
          </w:tcPr>
          <w:p w14:paraId="71FE22B4"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4</w:t>
            </w:r>
          </w:p>
        </w:tc>
        <w:tc>
          <w:tcPr>
            <w:tcW w:w="372" w:type="pct"/>
            <w:tcBorders>
              <w:top w:val="nil"/>
              <w:left w:val="nil"/>
              <w:bottom w:val="single" w:sz="4" w:space="0" w:color="auto"/>
              <w:right w:val="single" w:sz="4" w:space="0" w:color="auto"/>
            </w:tcBorders>
            <w:shd w:val="clear" w:color="000000" w:fill="D9E1F2"/>
            <w:vAlign w:val="center"/>
            <w:hideMark/>
          </w:tcPr>
          <w:p w14:paraId="3D8648CE" w14:textId="32BDACBA"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4" w:space="0" w:color="auto"/>
            </w:tcBorders>
            <w:shd w:val="clear" w:color="000000" w:fill="E2EFDA"/>
            <w:vAlign w:val="center"/>
            <w:hideMark/>
          </w:tcPr>
          <w:p w14:paraId="63A3D296"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6</w:t>
            </w:r>
          </w:p>
        </w:tc>
        <w:tc>
          <w:tcPr>
            <w:tcW w:w="316" w:type="pct"/>
            <w:tcBorders>
              <w:top w:val="nil"/>
              <w:left w:val="nil"/>
              <w:bottom w:val="single" w:sz="4" w:space="0" w:color="auto"/>
              <w:right w:val="single" w:sz="12" w:space="0" w:color="auto"/>
            </w:tcBorders>
            <w:shd w:val="clear" w:color="000000" w:fill="FFF2CC"/>
            <w:vAlign w:val="center"/>
            <w:hideMark/>
          </w:tcPr>
          <w:p w14:paraId="1ED2B6D6"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3</w:t>
            </w:r>
          </w:p>
        </w:tc>
        <w:tc>
          <w:tcPr>
            <w:tcW w:w="372" w:type="pct"/>
            <w:tcBorders>
              <w:top w:val="nil"/>
              <w:left w:val="nil"/>
              <w:bottom w:val="single" w:sz="4" w:space="0" w:color="auto"/>
              <w:right w:val="single" w:sz="4" w:space="0" w:color="auto"/>
            </w:tcBorders>
            <w:shd w:val="clear" w:color="000000" w:fill="D9E1F2"/>
            <w:vAlign w:val="center"/>
            <w:hideMark/>
          </w:tcPr>
          <w:p w14:paraId="14BCEA44"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7</w:t>
            </w:r>
          </w:p>
        </w:tc>
        <w:tc>
          <w:tcPr>
            <w:tcW w:w="685" w:type="pct"/>
            <w:tcBorders>
              <w:top w:val="nil"/>
              <w:left w:val="nil"/>
              <w:bottom w:val="single" w:sz="4" w:space="0" w:color="auto"/>
              <w:right w:val="single" w:sz="12" w:space="0" w:color="auto"/>
            </w:tcBorders>
            <w:shd w:val="clear" w:color="000000" w:fill="E2EFDA"/>
            <w:vAlign w:val="center"/>
            <w:hideMark/>
          </w:tcPr>
          <w:p w14:paraId="2E73E0DC"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8% increase per year</w:t>
            </w:r>
          </w:p>
        </w:tc>
        <w:tc>
          <w:tcPr>
            <w:tcW w:w="330" w:type="pct"/>
            <w:tcBorders>
              <w:top w:val="nil"/>
              <w:left w:val="nil"/>
              <w:bottom w:val="single" w:sz="4" w:space="0" w:color="auto"/>
              <w:right w:val="single" w:sz="4" w:space="0" w:color="auto"/>
            </w:tcBorders>
            <w:shd w:val="clear" w:color="000000" w:fill="FFF2CC"/>
            <w:vAlign w:val="center"/>
            <w:hideMark/>
          </w:tcPr>
          <w:p w14:paraId="2E862D91"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6C8EDEC0"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413" w:type="pct"/>
            <w:tcBorders>
              <w:top w:val="nil"/>
              <w:left w:val="nil"/>
              <w:bottom w:val="single" w:sz="4" w:space="0" w:color="auto"/>
              <w:right w:val="single" w:sz="8" w:space="0" w:color="auto"/>
            </w:tcBorders>
            <w:shd w:val="clear" w:color="000000" w:fill="E2EFDA"/>
            <w:vAlign w:val="center"/>
            <w:hideMark/>
          </w:tcPr>
          <w:p w14:paraId="40046C1A" w14:textId="31982A9F"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51FAB08A"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bottom"/>
            <w:hideMark/>
          </w:tcPr>
          <w:p w14:paraId="089C271C"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Business Tours</w:t>
            </w:r>
          </w:p>
        </w:tc>
        <w:tc>
          <w:tcPr>
            <w:tcW w:w="316" w:type="pct"/>
            <w:tcBorders>
              <w:top w:val="nil"/>
              <w:left w:val="nil"/>
              <w:bottom w:val="single" w:sz="4" w:space="0" w:color="auto"/>
              <w:right w:val="single" w:sz="4" w:space="0" w:color="auto"/>
            </w:tcBorders>
            <w:shd w:val="clear" w:color="000000" w:fill="FFF2CC"/>
            <w:vAlign w:val="center"/>
            <w:hideMark/>
          </w:tcPr>
          <w:p w14:paraId="699501A9"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5</w:t>
            </w:r>
          </w:p>
        </w:tc>
        <w:tc>
          <w:tcPr>
            <w:tcW w:w="372" w:type="pct"/>
            <w:tcBorders>
              <w:top w:val="nil"/>
              <w:left w:val="nil"/>
              <w:bottom w:val="single" w:sz="4" w:space="0" w:color="auto"/>
              <w:right w:val="single" w:sz="4" w:space="0" w:color="auto"/>
            </w:tcBorders>
            <w:shd w:val="clear" w:color="000000" w:fill="D9E1F2"/>
            <w:vAlign w:val="center"/>
            <w:hideMark/>
          </w:tcPr>
          <w:p w14:paraId="146D9BD8" w14:textId="35A7E171"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4" w:space="0" w:color="auto"/>
            </w:tcBorders>
            <w:shd w:val="clear" w:color="000000" w:fill="E2EFDA"/>
            <w:vAlign w:val="center"/>
            <w:hideMark/>
          </w:tcPr>
          <w:p w14:paraId="4C007314"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8</w:t>
            </w:r>
          </w:p>
        </w:tc>
        <w:tc>
          <w:tcPr>
            <w:tcW w:w="316" w:type="pct"/>
            <w:tcBorders>
              <w:top w:val="nil"/>
              <w:left w:val="nil"/>
              <w:bottom w:val="single" w:sz="4" w:space="0" w:color="auto"/>
              <w:right w:val="single" w:sz="12" w:space="0" w:color="auto"/>
            </w:tcBorders>
            <w:shd w:val="clear" w:color="000000" w:fill="FFF2CC"/>
            <w:vAlign w:val="center"/>
            <w:hideMark/>
          </w:tcPr>
          <w:p w14:paraId="484B964A" w14:textId="04807110"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16D16E6D" w14:textId="4E7E3174"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7B860165" w14:textId="5A3C0349"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hideMark/>
          </w:tcPr>
          <w:p w14:paraId="5EF06990"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480EAC7A"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14</w:t>
            </w:r>
          </w:p>
        </w:tc>
        <w:tc>
          <w:tcPr>
            <w:tcW w:w="413" w:type="pct"/>
            <w:tcBorders>
              <w:top w:val="nil"/>
              <w:left w:val="nil"/>
              <w:bottom w:val="single" w:sz="4" w:space="0" w:color="auto"/>
              <w:right w:val="single" w:sz="8" w:space="0" w:color="auto"/>
            </w:tcBorders>
            <w:shd w:val="clear" w:color="000000" w:fill="E2EFDA"/>
            <w:vAlign w:val="center"/>
            <w:hideMark/>
          </w:tcPr>
          <w:p w14:paraId="75FBA520" w14:textId="4B56E0AF"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3598DAF7"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bottom"/>
            <w:hideMark/>
          </w:tcPr>
          <w:p w14:paraId="195377F9"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Job Fairs of all kinds</w:t>
            </w:r>
          </w:p>
        </w:tc>
        <w:tc>
          <w:tcPr>
            <w:tcW w:w="316" w:type="pct"/>
            <w:tcBorders>
              <w:top w:val="nil"/>
              <w:left w:val="nil"/>
              <w:bottom w:val="single" w:sz="4" w:space="0" w:color="auto"/>
              <w:right w:val="single" w:sz="4" w:space="0" w:color="auto"/>
            </w:tcBorders>
            <w:shd w:val="clear" w:color="000000" w:fill="FFF2CC"/>
            <w:vAlign w:val="center"/>
            <w:hideMark/>
          </w:tcPr>
          <w:p w14:paraId="322E5D21" w14:textId="5EF67942"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37B79461" w14:textId="3096B118"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4" w:space="0" w:color="auto"/>
            </w:tcBorders>
            <w:shd w:val="clear" w:color="000000" w:fill="E2EFDA"/>
            <w:vAlign w:val="center"/>
            <w:hideMark/>
          </w:tcPr>
          <w:p w14:paraId="18C41B77" w14:textId="2014B093" w:rsidR="00623C47" w:rsidRPr="00282E59" w:rsidRDefault="00623C47" w:rsidP="00623C47">
            <w:pPr>
              <w:spacing w:after="0" w:line="240" w:lineRule="auto"/>
              <w:ind w:firstLine="0"/>
              <w:jc w:val="center"/>
              <w:rPr>
                <w:rFonts w:eastAsia="Times New Roman" w:cstheme="minorHAnsi"/>
                <w:color w:val="000000"/>
              </w:rPr>
            </w:pPr>
          </w:p>
        </w:tc>
        <w:tc>
          <w:tcPr>
            <w:tcW w:w="316" w:type="pct"/>
            <w:tcBorders>
              <w:top w:val="nil"/>
              <w:left w:val="nil"/>
              <w:bottom w:val="single" w:sz="4" w:space="0" w:color="auto"/>
              <w:right w:val="single" w:sz="12" w:space="0" w:color="auto"/>
            </w:tcBorders>
            <w:shd w:val="clear" w:color="000000" w:fill="FFF2CC"/>
            <w:vAlign w:val="center"/>
            <w:hideMark/>
          </w:tcPr>
          <w:p w14:paraId="365E6FFC" w14:textId="54C6BC7C"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5FFAE286" w14:textId="6739CD04"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36D10F90" w14:textId="2F7B08D7"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hideMark/>
          </w:tcPr>
          <w:p w14:paraId="0D4EDBD6"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19</w:t>
            </w:r>
          </w:p>
        </w:tc>
        <w:tc>
          <w:tcPr>
            <w:tcW w:w="372" w:type="pct"/>
            <w:tcBorders>
              <w:top w:val="nil"/>
              <w:left w:val="nil"/>
              <w:bottom w:val="single" w:sz="4" w:space="0" w:color="auto"/>
              <w:right w:val="single" w:sz="4" w:space="0" w:color="auto"/>
            </w:tcBorders>
            <w:shd w:val="clear" w:color="000000" w:fill="D9E1F2"/>
            <w:vAlign w:val="center"/>
            <w:hideMark/>
          </w:tcPr>
          <w:p w14:paraId="25545006"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90</w:t>
            </w:r>
          </w:p>
        </w:tc>
        <w:tc>
          <w:tcPr>
            <w:tcW w:w="413" w:type="pct"/>
            <w:tcBorders>
              <w:top w:val="nil"/>
              <w:left w:val="nil"/>
              <w:bottom w:val="single" w:sz="4" w:space="0" w:color="auto"/>
              <w:right w:val="single" w:sz="8" w:space="0" w:color="auto"/>
            </w:tcBorders>
            <w:shd w:val="clear" w:color="000000" w:fill="E2EFDA"/>
            <w:vAlign w:val="center"/>
            <w:hideMark/>
          </w:tcPr>
          <w:p w14:paraId="2E8EC142" w14:textId="1E0EF9A6"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3F642331"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bottom"/>
            <w:hideMark/>
          </w:tcPr>
          <w:p w14:paraId="44151557"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Apprenticeships</w:t>
            </w:r>
          </w:p>
        </w:tc>
        <w:tc>
          <w:tcPr>
            <w:tcW w:w="316" w:type="pct"/>
            <w:tcBorders>
              <w:top w:val="nil"/>
              <w:left w:val="nil"/>
              <w:bottom w:val="single" w:sz="4" w:space="0" w:color="auto"/>
              <w:right w:val="single" w:sz="4" w:space="0" w:color="auto"/>
            </w:tcBorders>
            <w:shd w:val="clear" w:color="000000" w:fill="FFF2CC"/>
            <w:vAlign w:val="center"/>
            <w:hideMark/>
          </w:tcPr>
          <w:p w14:paraId="77E07BC0"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79F86A16"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413" w:type="pct"/>
            <w:tcBorders>
              <w:top w:val="nil"/>
              <w:left w:val="nil"/>
              <w:bottom w:val="single" w:sz="4" w:space="0" w:color="auto"/>
              <w:right w:val="single" w:sz="4" w:space="0" w:color="auto"/>
            </w:tcBorders>
            <w:shd w:val="clear" w:color="000000" w:fill="E2EFDA"/>
            <w:vAlign w:val="center"/>
            <w:hideMark/>
          </w:tcPr>
          <w:p w14:paraId="4A0AB937" w14:textId="3F8C0B1B" w:rsidR="00623C47" w:rsidRPr="00282E59" w:rsidRDefault="00623C47" w:rsidP="00623C47">
            <w:pPr>
              <w:spacing w:after="0" w:line="240" w:lineRule="auto"/>
              <w:ind w:firstLine="0"/>
              <w:jc w:val="center"/>
              <w:rPr>
                <w:rFonts w:eastAsia="Times New Roman" w:cstheme="minorHAnsi"/>
                <w:color w:val="000000"/>
              </w:rPr>
            </w:pPr>
          </w:p>
        </w:tc>
        <w:tc>
          <w:tcPr>
            <w:tcW w:w="316" w:type="pct"/>
            <w:tcBorders>
              <w:top w:val="nil"/>
              <w:left w:val="nil"/>
              <w:bottom w:val="single" w:sz="4" w:space="0" w:color="auto"/>
              <w:right w:val="single" w:sz="12" w:space="0" w:color="auto"/>
            </w:tcBorders>
            <w:shd w:val="clear" w:color="000000" w:fill="FFF2CC"/>
            <w:vAlign w:val="center"/>
            <w:hideMark/>
          </w:tcPr>
          <w:p w14:paraId="18704A20" w14:textId="7A92CE51"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26D86A9E" w14:textId="6D01EC83"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577F03B1" w14:textId="7DDB5DCA"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hideMark/>
          </w:tcPr>
          <w:p w14:paraId="3EBD8467"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078D3ADD"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413" w:type="pct"/>
            <w:tcBorders>
              <w:top w:val="nil"/>
              <w:left w:val="nil"/>
              <w:bottom w:val="single" w:sz="4" w:space="0" w:color="auto"/>
              <w:right w:val="single" w:sz="8" w:space="0" w:color="auto"/>
            </w:tcBorders>
            <w:shd w:val="clear" w:color="000000" w:fill="E2EFDA"/>
            <w:vAlign w:val="center"/>
            <w:hideMark/>
          </w:tcPr>
          <w:p w14:paraId="5017E2C9" w14:textId="63AA067E"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3D59264A"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bottom"/>
            <w:hideMark/>
          </w:tcPr>
          <w:p w14:paraId="7FA6F766"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Work experience in business setting</w:t>
            </w:r>
          </w:p>
        </w:tc>
        <w:tc>
          <w:tcPr>
            <w:tcW w:w="316" w:type="pct"/>
            <w:tcBorders>
              <w:top w:val="nil"/>
              <w:left w:val="nil"/>
              <w:bottom w:val="single" w:sz="4" w:space="0" w:color="auto"/>
              <w:right w:val="single" w:sz="4" w:space="0" w:color="auto"/>
            </w:tcBorders>
            <w:shd w:val="clear" w:color="000000" w:fill="FFF2CC"/>
            <w:vAlign w:val="center"/>
            <w:hideMark/>
          </w:tcPr>
          <w:p w14:paraId="436DF3C6" w14:textId="0CC7F036"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6C2DC62C" w14:textId="6D56F253"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4" w:space="0" w:color="auto"/>
            </w:tcBorders>
            <w:shd w:val="clear" w:color="000000" w:fill="E2EFDA"/>
            <w:vAlign w:val="center"/>
            <w:hideMark/>
          </w:tcPr>
          <w:p w14:paraId="33187E9F"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2</w:t>
            </w:r>
          </w:p>
        </w:tc>
        <w:tc>
          <w:tcPr>
            <w:tcW w:w="316" w:type="pct"/>
            <w:tcBorders>
              <w:top w:val="nil"/>
              <w:left w:val="nil"/>
              <w:bottom w:val="single" w:sz="4" w:space="0" w:color="auto"/>
              <w:right w:val="single" w:sz="12" w:space="0" w:color="auto"/>
            </w:tcBorders>
            <w:shd w:val="clear" w:color="000000" w:fill="FFF2CC"/>
            <w:vAlign w:val="center"/>
            <w:hideMark/>
          </w:tcPr>
          <w:p w14:paraId="4DBE5E52" w14:textId="3B9B4886"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1B355159" w14:textId="4F3A0596"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677E89D6" w14:textId="7FF51B36"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hideMark/>
          </w:tcPr>
          <w:p w14:paraId="7C7AD405"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0F24B8A2"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413" w:type="pct"/>
            <w:tcBorders>
              <w:top w:val="nil"/>
              <w:left w:val="nil"/>
              <w:bottom w:val="single" w:sz="4" w:space="0" w:color="auto"/>
              <w:right w:val="single" w:sz="8" w:space="0" w:color="auto"/>
            </w:tcBorders>
            <w:shd w:val="clear" w:color="000000" w:fill="E2EFDA"/>
            <w:vAlign w:val="center"/>
            <w:hideMark/>
          </w:tcPr>
          <w:p w14:paraId="0ECBD939" w14:textId="7921F102"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701F6681"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bottom"/>
            <w:hideMark/>
          </w:tcPr>
          <w:p w14:paraId="201EC2C5"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Mock interviews</w:t>
            </w:r>
          </w:p>
        </w:tc>
        <w:tc>
          <w:tcPr>
            <w:tcW w:w="316" w:type="pct"/>
            <w:tcBorders>
              <w:top w:val="nil"/>
              <w:left w:val="nil"/>
              <w:bottom w:val="single" w:sz="4" w:space="0" w:color="auto"/>
              <w:right w:val="single" w:sz="4" w:space="0" w:color="auto"/>
            </w:tcBorders>
            <w:shd w:val="clear" w:color="000000" w:fill="FFF2CC"/>
            <w:vAlign w:val="center"/>
            <w:hideMark/>
          </w:tcPr>
          <w:p w14:paraId="5722C9E5"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8</w:t>
            </w:r>
          </w:p>
        </w:tc>
        <w:tc>
          <w:tcPr>
            <w:tcW w:w="372" w:type="pct"/>
            <w:tcBorders>
              <w:top w:val="nil"/>
              <w:left w:val="nil"/>
              <w:bottom w:val="single" w:sz="4" w:space="0" w:color="auto"/>
              <w:right w:val="single" w:sz="4" w:space="0" w:color="auto"/>
            </w:tcBorders>
            <w:shd w:val="clear" w:color="000000" w:fill="D9E1F2"/>
            <w:vAlign w:val="center"/>
            <w:hideMark/>
          </w:tcPr>
          <w:p w14:paraId="6CA83739"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w:t>
            </w:r>
          </w:p>
        </w:tc>
        <w:tc>
          <w:tcPr>
            <w:tcW w:w="413" w:type="pct"/>
            <w:tcBorders>
              <w:top w:val="nil"/>
              <w:left w:val="nil"/>
              <w:bottom w:val="single" w:sz="4" w:space="0" w:color="auto"/>
              <w:right w:val="single" w:sz="4" w:space="0" w:color="auto"/>
            </w:tcBorders>
            <w:shd w:val="clear" w:color="000000" w:fill="E2EFDA"/>
            <w:vAlign w:val="center"/>
            <w:hideMark/>
          </w:tcPr>
          <w:p w14:paraId="0C5B682B"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12</w:t>
            </w:r>
          </w:p>
        </w:tc>
        <w:tc>
          <w:tcPr>
            <w:tcW w:w="316" w:type="pct"/>
            <w:tcBorders>
              <w:top w:val="nil"/>
              <w:left w:val="nil"/>
              <w:bottom w:val="single" w:sz="4" w:space="0" w:color="auto"/>
              <w:right w:val="single" w:sz="12" w:space="0" w:color="auto"/>
            </w:tcBorders>
            <w:shd w:val="clear" w:color="000000" w:fill="FFF2CC"/>
            <w:vAlign w:val="center"/>
            <w:hideMark/>
          </w:tcPr>
          <w:p w14:paraId="29B7E0CF" w14:textId="2627C673"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0E383EF7" w14:textId="5EF4F2D5"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1ED45470" w14:textId="7614B309"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hideMark/>
          </w:tcPr>
          <w:p w14:paraId="52B803D5"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7877F697"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413" w:type="pct"/>
            <w:tcBorders>
              <w:top w:val="nil"/>
              <w:left w:val="nil"/>
              <w:bottom w:val="single" w:sz="4" w:space="0" w:color="auto"/>
              <w:right w:val="single" w:sz="8" w:space="0" w:color="auto"/>
            </w:tcBorders>
            <w:shd w:val="clear" w:color="000000" w:fill="E2EFDA"/>
            <w:vAlign w:val="center"/>
            <w:hideMark/>
          </w:tcPr>
          <w:p w14:paraId="2D3BF47F" w14:textId="1325626C"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0655B480"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bottom"/>
            <w:hideMark/>
          </w:tcPr>
          <w:p w14:paraId="7FAC4FCE"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Job shadows</w:t>
            </w:r>
          </w:p>
        </w:tc>
        <w:tc>
          <w:tcPr>
            <w:tcW w:w="316" w:type="pct"/>
            <w:tcBorders>
              <w:top w:val="nil"/>
              <w:left w:val="nil"/>
              <w:bottom w:val="single" w:sz="4" w:space="0" w:color="auto"/>
              <w:right w:val="single" w:sz="4" w:space="0" w:color="auto"/>
            </w:tcBorders>
            <w:shd w:val="clear" w:color="000000" w:fill="FFF2CC"/>
            <w:vAlign w:val="center"/>
            <w:hideMark/>
          </w:tcPr>
          <w:p w14:paraId="107E963D"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5</w:t>
            </w:r>
          </w:p>
        </w:tc>
        <w:tc>
          <w:tcPr>
            <w:tcW w:w="372" w:type="pct"/>
            <w:tcBorders>
              <w:top w:val="nil"/>
              <w:left w:val="nil"/>
              <w:bottom w:val="single" w:sz="4" w:space="0" w:color="auto"/>
              <w:right w:val="single" w:sz="4" w:space="0" w:color="auto"/>
            </w:tcBorders>
            <w:shd w:val="clear" w:color="000000" w:fill="D9E1F2"/>
            <w:vAlign w:val="center"/>
            <w:hideMark/>
          </w:tcPr>
          <w:p w14:paraId="63565423" w14:textId="1C3D9058"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4" w:space="0" w:color="auto"/>
            </w:tcBorders>
            <w:shd w:val="clear" w:color="000000" w:fill="E2EFDA"/>
            <w:vAlign w:val="center"/>
            <w:hideMark/>
          </w:tcPr>
          <w:p w14:paraId="01E6A27A"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8</w:t>
            </w:r>
          </w:p>
        </w:tc>
        <w:tc>
          <w:tcPr>
            <w:tcW w:w="316" w:type="pct"/>
            <w:tcBorders>
              <w:top w:val="nil"/>
              <w:left w:val="nil"/>
              <w:bottom w:val="single" w:sz="4" w:space="0" w:color="auto"/>
              <w:right w:val="single" w:sz="12" w:space="0" w:color="auto"/>
            </w:tcBorders>
            <w:shd w:val="clear" w:color="000000" w:fill="FFF2CC"/>
            <w:vAlign w:val="center"/>
            <w:hideMark/>
          </w:tcPr>
          <w:p w14:paraId="07F3DB0B" w14:textId="00D741E9"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3126FBBB" w14:textId="5D083520"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3F941163" w14:textId="1EEAF048"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hideMark/>
          </w:tcPr>
          <w:p w14:paraId="2E6BD31A"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798E5D37"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413" w:type="pct"/>
            <w:tcBorders>
              <w:top w:val="nil"/>
              <w:left w:val="nil"/>
              <w:bottom w:val="single" w:sz="4" w:space="0" w:color="auto"/>
              <w:right w:val="single" w:sz="8" w:space="0" w:color="auto"/>
            </w:tcBorders>
            <w:shd w:val="clear" w:color="000000" w:fill="E2EFDA"/>
            <w:vAlign w:val="center"/>
            <w:hideMark/>
          </w:tcPr>
          <w:p w14:paraId="659AFFD6" w14:textId="3610CF6D"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7A0F686C"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bottom"/>
            <w:hideMark/>
          </w:tcPr>
          <w:p w14:paraId="20FA3A5D"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On the job Training (OJT)</w:t>
            </w:r>
          </w:p>
        </w:tc>
        <w:tc>
          <w:tcPr>
            <w:tcW w:w="316" w:type="pct"/>
            <w:tcBorders>
              <w:top w:val="nil"/>
              <w:left w:val="nil"/>
              <w:bottom w:val="single" w:sz="4" w:space="0" w:color="auto"/>
              <w:right w:val="single" w:sz="4" w:space="0" w:color="auto"/>
            </w:tcBorders>
            <w:shd w:val="clear" w:color="000000" w:fill="FFF2CC"/>
            <w:vAlign w:val="center"/>
            <w:hideMark/>
          </w:tcPr>
          <w:p w14:paraId="3A9DCD8A"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w:t>
            </w:r>
          </w:p>
        </w:tc>
        <w:tc>
          <w:tcPr>
            <w:tcW w:w="372" w:type="pct"/>
            <w:tcBorders>
              <w:top w:val="nil"/>
              <w:left w:val="nil"/>
              <w:bottom w:val="single" w:sz="4" w:space="0" w:color="auto"/>
              <w:right w:val="single" w:sz="4" w:space="0" w:color="auto"/>
            </w:tcBorders>
            <w:shd w:val="clear" w:color="000000" w:fill="D9E1F2"/>
            <w:vAlign w:val="center"/>
            <w:hideMark/>
          </w:tcPr>
          <w:p w14:paraId="52E2F31C"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2</w:t>
            </w:r>
          </w:p>
        </w:tc>
        <w:tc>
          <w:tcPr>
            <w:tcW w:w="413" w:type="pct"/>
            <w:tcBorders>
              <w:top w:val="nil"/>
              <w:left w:val="nil"/>
              <w:bottom w:val="single" w:sz="4" w:space="0" w:color="auto"/>
              <w:right w:val="single" w:sz="4" w:space="0" w:color="auto"/>
            </w:tcBorders>
            <w:shd w:val="clear" w:color="000000" w:fill="E2EFDA"/>
            <w:vAlign w:val="center"/>
            <w:hideMark/>
          </w:tcPr>
          <w:p w14:paraId="67955A0D"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2</w:t>
            </w:r>
          </w:p>
        </w:tc>
        <w:tc>
          <w:tcPr>
            <w:tcW w:w="316" w:type="pct"/>
            <w:tcBorders>
              <w:top w:val="nil"/>
              <w:left w:val="nil"/>
              <w:bottom w:val="single" w:sz="4" w:space="0" w:color="auto"/>
              <w:right w:val="single" w:sz="12" w:space="0" w:color="auto"/>
            </w:tcBorders>
            <w:shd w:val="clear" w:color="000000" w:fill="FFF2CC"/>
            <w:vAlign w:val="center"/>
            <w:hideMark/>
          </w:tcPr>
          <w:p w14:paraId="67AC9F9A" w14:textId="3DF25733"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6473D2F3" w14:textId="150807C3"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4A70A5B8" w14:textId="701E7B36"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hideMark/>
          </w:tcPr>
          <w:p w14:paraId="5E925DD5"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302693FD"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w:t>
            </w:r>
          </w:p>
        </w:tc>
        <w:tc>
          <w:tcPr>
            <w:tcW w:w="413" w:type="pct"/>
            <w:tcBorders>
              <w:top w:val="nil"/>
              <w:left w:val="nil"/>
              <w:bottom w:val="single" w:sz="4" w:space="0" w:color="auto"/>
              <w:right w:val="single" w:sz="8" w:space="0" w:color="auto"/>
            </w:tcBorders>
            <w:shd w:val="clear" w:color="000000" w:fill="E2EFDA"/>
            <w:vAlign w:val="center"/>
            <w:hideMark/>
          </w:tcPr>
          <w:p w14:paraId="5308220F" w14:textId="5C69A95F"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01E69843"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bottom"/>
            <w:hideMark/>
          </w:tcPr>
          <w:p w14:paraId="3C25E24F"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Internships</w:t>
            </w:r>
          </w:p>
        </w:tc>
        <w:tc>
          <w:tcPr>
            <w:tcW w:w="316" w:type="pct"/>
            <w:tcBorders>
              <w:top w:val="nil"/>
              <w:left w:val="nil"/>
              <w:bottom w:val="single" w:sz="4" w:space="0" w:color="auto"/>
              <w:right w:val="single" w:sz="4" w:space="0" w:color="auto"/>
            </w:tcBorders>
            <w:shd w:val="clear" w:color="000000" w:fill="FFF2CC"/>
            <w:vAlign w:val="center"/>
            <w:hideMark/>
          </w:tcPr>
          <w:p w14:paraId="1467B9E8" w14:textId="5C938AEF"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6A53BE83" w14:textId="2345E278"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4" w:space="0" w:color="auto"/>
            </w:tcBorders>
            <w:shd w:val="clear" w:color="000000" w:fill="E2EFDA"/>
            <w:vAlign w:val="center"/>
            <w:hideMark/>
          </w:tcPr>
          <w:p w14:paraId="29C0A180" w14:textId="4B0DE1CC" w:rsidR="00623C47" w:rsidRPr="00282E59" w:rsidRDefault="00623C47" w:rsidP="00623C47">
            <w:pPr>
              <w:spacing w:after="0" w:line="240" w:lineRule="auto"/>
              <w:ind w:firstLine="0"/>
              <w:jc w:val="center"/>
              <w:rPr>
                <w:rFonts w:eastAsia="Times New Roman" w:cstheme="minorHAnsi"/>
                <w:color w:val="000000"/>
              </w:rPr>
            </w:pPr>
          </w:p>
        </w:tc>
        <w:tc>
          <w:tcPr>
            <w:tcW w:w="316" w:type="pct"/>
            <w:tcBorders>
              <w:top w:val="nil"/>
              <w:left w:val="nil"/>
              <w:bottom w:val="single" w:sz="4" w:space="0" w:color="auto"/>
              <w:right w:val="single" w:sz="12" w:space="0" w:color="auto"/>
            </w:tcBorders>
            <w:shd w:val="clear" w:color="000000" w:fill="FFF2CC"/>
            <w:vAlign w:val="center"/>
            <w:hideMark/>
          </w:tcPr>
          <w:p w14:paraId="5E007348" w14:textId="6E9C1E88"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52536B72" w14:textId="764C35EC"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654DC988" w14:textId="64BD9BF0"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hideMark/>
          </w:tcPr>
          <w:p w14:paraId="74394D6E"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372" w:type="pct"/>
            <w:tcBorders>
              <w:top w:val="nil"/>
              <w:left w:val="nil"/>
              <w:bottom w:val="single" w:sz="4" w:space="0" w:color="auto"/>
              <w:right w:val="single" w:sz="4" w:space="0" w:color="auto"/>
            </w:tcBorders>
            <w:shd w:val="clear" w:color="000000" w:fill="D9E1F2"/>
            <w:vAlign w:val="center"/>
            <w:hideMark/>
          </w:tcPr>
          <w:p w14:paraId="555C6BCC"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413" w:type="pct"/>
            <w:tcBorders>
              <w:top w:val="nil"/>
              <w:left w:val="nil"/>
              <w:bottom w:val="single" w:sz="4" w:space="0" w:color="auto"/>
              <w:right w:val="single" w:sz="8" w:space="0" w:color="auto"/>
            </w:tcBorders>
            <w:shd w:val="clear" w:color="000000" w:fill="E2EFDA"/>
            <w:vAlign w:val="center"/>
            <w:hideMark/>
          </w:tcPr>
          <w:p w14:paraId="55A04E3F" w14:textId="5914341B"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2EF3ADE3" w14:textId="77777777" w:rsidTr="00623C47">
        <w:trPr>
          <w:trHeight w:val="620"/>
        </w:trPr>
        <w:tc>
          <w:tcPr>
            <w:tcW w:w="1412" w:type="pct"/>
            <w:tcBorders>
              <w:top w:val="nil"/>
              <w:left w:val="single" w:sz="8" w:space="0" w:color="auto"/>
              <w:bottom w:val="single" w:sz="4" w:space="0" w:color="auto"/>
              <w:right w:val="single" w:sz="12" w:space="0" w:color="auto"/>
            </w:tcBorders>
            <w:shd w:val="clear" w:color="000000" w:fill="FCE4D6"/>
            <w:vAlign w:val="center"/>
            <w:hideMark/>
          </w:tcPr>
          <w:p w14:paraId="066BFFDC" w14:textId="77777777" w:rsidR="00623C47" w:rsidRPr="00282E59" w:rsidRDefault="00623C47" w:rsidP="00623C47">
            <w:pPr>
              <w:spacing w:after="0" w:line="240" w:lineRule="auto"/>
              <w:ind w:firstLine="0"/>
              <w:rPr>
                <w:rFonts w:eastAsia="Times New Roman" w:cstheme="minorHAnsi"/>
                <w:color w:val="000000"/>
              </w:rPr>
            </w:pPr>
            <w:r w:rsidRPr="00282E59">
              <w:rPr>
                <w:rFonts w:eastAsia="Times New Roman" w:cstheme="minorHAnsi"/>
                <w:color w:val="000000"/>
              </w:rPr>
              <w:t>Number of clients with outcomes linked directly to BE activities by type of outcome:</w:t>
            </w:r>
          </w:p>
        </w:tc>
        <w:tc>
          <w:tcPr>
            <w:tcW w:w="316" w:type="pct"/>
            <w:tcBorders>
              <w:top w:val="nil"/>
              <w:left w:val="nil"/>
              <w:bottom w:val="single" w:sz="4" w:space="0" w:color="auto"/>
              <w:right w:val="single" w:sz="4" w:space="0" w:color="auto"/>
            </w:tcBorders>
            <w:shd w:val="clear" w:color="000000" w:fill="FCE4D6"/>
            <w:vAlign w:val="center"/>
            <w:hideMark/>
          </w:tcPr>
          <w:p w14:paraId="78435344" w14:textId="771FDB8D"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FCE4D6"/>
            <w:vAlign w:val="center"/>
            <w:hideMark/>
          </w:tcPr>
          <w:p w14:paraId="49DE5F50" w14:textId="1C36B812"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4" w:space="0" w:color="auto"/>
            </w:tcBorders>
            <w:shd w:val="clear" w:color="000000" w:fill="FCE4D6"/>
            <w:vAlign w:val="center"/>
            <w:hideMark/>
          </w:tcPr>
          <w:p w14:paraId="72FB6849" w14:textId="7A404A26" w:rsidR="00623C47" w:rsidRPr="00282E59" w:rsidRDefault="00623C47" w:rsidP="00623C47">
            <w:pPr>
              <w:spacing w:after="0" w:line="240" w:lineRule="auto"/>
              <w:ind w:firstLine="0"/>
              <w:jc w:val="center"/>
              <w:rPr>
                <w:rFonts w:eastAsia="Times New Roman" w:cstheme="minorHAnsi"/>
                <w:color w:val="000000"/>
              </w:rPr>
            </w:pPr>
          </w:p>
        </w:tc>
        <w:tc>
          <w:tcPr>
            <w:tcW w:w="316" w:type="pct"/>
            <w:tcBorders>
              <w:top w:val="nil"/>
              <w:left w:val="nil"/>
              <w:bottom w:val="single" w:sz="4" w:space="0" w:color="auto"/>
              <w:right w:val="single" w:sz="12" w:space="0" w:color="auto"/>
            </w:tcBorders>
            <w:shd w:val="clear" w:color="000000" w:fill="FCE4D6"/>
            <w:vAlign w:val="center"/>
            <w:hideMark/>
          </w:tcPr>
          <w:p w14:paraId="31DCABC3" w14:textId="0F699C2D"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FCE4D6"/>
            <w:vAlign w:val="center"/>
            <w:hideMark/>
          </w:tcPr>
          <w:p w14:paraId="79B61966" w14:textId="6199344D"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FCE4D6"/>
            <w:vAlign w:val="center"/>
            <w:hideMark/>
          </w:tcPr>
          <w:p w14:paraId="59F95BC8" w14:textId="4D785287"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CE4D6"/>
            <w:vAlign w:val="center"/>
            <w:hideMark/>
          </w:tcPr>
          <w:p w14:paraId="4E430011" w14:textId="1C02D5BE"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FCE4D6"/>
            <w:vAlign w:val="center"/>
            <w:hideMark/>
          </w:tcPr>
          <w:p w14:paraId="7B66620A" w14:textId="33CEA58D"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8" w:space="0" w:color="auto"/>
            </w:tcBorders>
            <w:shd w:val="clear" w:color="000000" w:fill="FCE4D6"/>
            <w:vAlign w:val="center"/>
            <w:hideMark/>
          </w:tcPr>
          <w:p w14:paraId="21CC1FFB" w14:textId="19B1EFA9"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2279AA31"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bottom"/>
            <w:hideMark/>
          </w:tcPr>
          <w:p w14:paraId="55629ECD"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Part time jobs</w:t>
            </w:r>
          </w:p>
        </w:tc>
        <w:tc>
          <w:tcPr>
            <w:tcW w:w="316" w:type="pct"/>
            <w:tcBorders>
              <w:top w:val="nil"/>
              <w:left w:val="nil"/>
              <w:bottom w:val="single" w:sz="4" w:space="0" w:color="auto"/>
              <w:right w:val="single" w:sz="4" w:space="0" w:color="auto"/>
            </w:tcBorders>
            <w:shd w:val="clear" w:color="000000" w:fill="FFF2CC"/>
            <w:vAlign w:val="center"/>
          </w:tcPr>
          <w:p w14:paraId="4373074C"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2EEBCCDF"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w:t>
            </w:r>
          </w:p>
        </w:tc>
        <w:tc>
          <w:tcPr>
            <w:tcW w:w="413" w:type="pct"/>
            <w:tcBorders>
              <w:top w:val="nil"/>
              <w:left w:val="nil"/>
              <w:bottom w:val="single" w:sz="4" w:space="0" w:color="auto"/>
              <w:right w:val="single" w:sz="4" w:space="0" w:color="auto"/>
            </w:tcBorders>
            <w:shd w:val="clear" w:color="000000" w:fill="E2EFDA"/>
            <w:vAlign w:val="center"/>
            <w:hideMark/>
          </w:tcPr>
          <w:p w14:paraId="271F4DD2"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2</w:t>
            </w:r>
          </w:p>
        </w:tc>
        <w:tc>
          <w:tcPr>
            <w:tcW w:w="316" w:type="pct"/>
            <w:tcBorders>
              <w:top w:val="nil"/>
              <w:left w:val="nil"/>
              <w:bottom w:val="single" w:sz="4" w:space="0" w:color="auto"/>
              <w:right w:val="single" w:sz="12" w:space="0" w:color="auto"/>
            </w:tcBorders>
            <w:shd w:val="clear" w:color="000000" w:fill="FFF2CC"/>
            <w:vAlign w:val="center"/>
            <w:hideMark/>
          </w:tcPr>
          <w:p w14:paraId="76F93DB7" w14:textId="5A43ED4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52C179CF" w14:textId="7AF2902F"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636ADC6E" w14:textId="469261A5"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tcPr>
          <w:p w14:paraId="159746D3"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tcPr>
          <w:p w14:paraId="6784BE7A" w14:textId="77777777"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8" w:space="0" w:color="auto"/>
            </w:tcBorders>
            <w:shd w:val="clear" w:color="000000" w:fill="E2EFDA"/>
            <w:vAlign w:val="center"/>
          </w:tcPr>
          <w:p w14:paraId="6A8C4681" w14:textId="77777777"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5BEB82A1"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bottom"/>
            <w:hideMark/>
          </w:tcPr>
          <w:p w14:paraId="3082DFC9"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Full time jobs</w:t>
            </w:r>
          </w:p>
        </w:tc>
        <w:tc>
          <w:tcPr>
            <w:tcW w:w="316" w:type="pct"/>
            <w:tcBorders>
              <w:top w:val="nil"/>
              <w:left w:val="nil"/>
              <w:bottom w:val="single" w:sz="4" w:space="0" w:color="auto"/>
              <w:right w:val="single" w:sz="4" w:space="0" w:color="auto"/>
            </w:tcBorders>
            <w:shd w:val="clear" w:color="000000" w:fill="FFF2CC"/>
            <w:vAlign w:val="center"/>
          </w:tcPr>
          <w:p w14:paraId="27CFEE86"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6EFE4F9C"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4</w:t>
            </w:r>
          </w:p>
        </w:tc>
        <w:tc>
          <w:tcPr>
            <w:tcW w:w="413" w:type="pct"/>
            <w:tcBorders>
              <w:top w:val="nil"/>
              <w:left w:val="nil"/>
              <w:bottom w:val="single" w:sz="4" w:space="0" w:color="auto"/>
              <w:right w:val="single" w:sz="4" w:space="0" w:color="auto"/>
            </w:tcBorders>
            <w:shd w:val="clear" w:color="000000" w:fill="E2EFDA"/>
            <w:vAlign w:val="center"/>
            <w:hideMark/>
          </w:tcPr>
          <w:p w14:paraId="2D411812"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2</w:t>
            </w:r>
          </w:p>
        </w:tc>
        <w:tc>
          <w:tcPr>
            <w:tcW w:w="316" w:type="pct"/>
            <w:tcBorders>
              <w:top w:val="nil"/>
              <w:left w:val="nil"/>
              <w:bottom w:val="single" w:sz="4" w:space="0" w:color="auto"/>
              <w:right w:val="single" w:sz="12" w:space="0" w:color="auto"/>
            </w:tcBorders>
            <w:shd w:val="clear" w:color="000000" w:fill="FFF2CC"/>
            <w:vAlign w:val="center"/>
            <w:hideMark/>
          </w:tcPr>
          <w:p w14:paraId="354542E1" w14:textId="78B8D978"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3D23917F" w14:textId="667BCB53"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18919439" w14:textId="36341D5F"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tcPr>
          <w:p w14:paraId="23F01571"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tcPr>
          <w:p w14:paraId="4C735582" w14:textId="77777777"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8" w:space="0" w:color="auto"/>
            </w:tcBorders>
            <w:shd w:val="clear" w:color="000000" w:fill="E2EFDA"/>
            <w:vAlign w:val="center"/>
          </w:tcPr>
          <w:p w14:paraId="7FA444AC" w14:textId="77777777"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65F5A7B8"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bottom"/>
            <w:hideMark/>
          </w:tcPr>
          <w:p w14:paraId="74FF35F9"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Promotions</w:t>
            </w:r>
          </w:p>
        </w:tc>
        <w:tc>
          <w:tcPr>
            <w:tcW w:w="316" w:type="pct"/>
            <w:tcBorders>
              <w:top w:val="nil"/>
              <w:left w:val="nil"/>
              <w:bottom w:val="single" w:sz="4" w:space="0" w:color="auto"/>
              <w:right w:val="single" w:sz="4" w:space="0" w:color="auto"/>
            </w:tcBorders>
            <w:shd w:val="clear" w:color="000000" w:fill="FFF2CC"/>
            <w:vAlign w:val="center"/>
          </w:tcPr>
          <w:p w14:paraId="7DC68957"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448FC06C"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413" w:type="pct"/>
            <w:tcBorders>
              <w:top w:val="nil"/>
              <w:left w:val="nil"/>
              <w:bottom w:val="single" w:sz="4" w:space="0" w:color="auto"/>
              <w:right w:val="single" w:sz="4" w:space="0" w:color="auto"/>
            </w:tcBorders>
            <w:shd w:val="clear" w:color="000000" w:fill="E2EFDA"/>
            <w:vAlign w:val="center"/>
            <w:hideMark/>
          </w:tcPr>
          <w:p w14:paraId="59D5C5C6" w14:textId="0857A6C6" w:rsidR="00623C47" w:rsidRPr="00282E59" w:rsidRDefault="00623C47" w:rsidP="00623C47">
            <w:pPr>
              <w:spacing w:after="0" w:line="240" w:lineRule="auto"/>
              <w:ind w:firstLine="0"/>
              <w:jc w:val="center"/>
              <w:rPr>
                <w:rFonts w:eastAsia="Times New Roman" w:cstheme="minorHAnsi"/>
                <w:color w:val="000000"/>
              </w:rPr>
            </w:pPr>
          </w:p>
        </w:tc>
        <w:tc>
          <w:tcPr>
            <w:tcW w:w="316" w:type="pct"/>
            <w:tcBorders>
              <w:top w:val="nil"/>
              <w:left w:val="nil"/>
              <w:bottom w:val="single" w:sz="4" w:space="0" w:color="auto"/>
              <w:right w:val="single" w:sz="12" w:space="0" w:color="auto"/>
            </w:tcBorders>
            <w:shd w:val="clear" w:color="000000" w:fill="FFF2CC"/>
            <w:vAlign w:val="center"/>
            <w:hideMark/>
          </w:tcPr>
          <w:p w14:paraId="79113543" w14:textId="25A5A491"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2435409B" w14:textId="5EA70FB6"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29FC3820" w14:textId="4A12AC6E"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tcPr>
          <w:p w14:paraId="4C01F7D8"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tcPr>
          <w:p w14:paraId="028DF99B" w14:textId="77777777"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4" w:space="0" w:color="auto"/>
              <w:right w:val="single" w:sz="8" w:space="0" w:color="auto"/>
            </w:tcBorders>
            <w:shd w:val="clear" w:color="000000" w:fill="E2EFDA"/>
            <w:vAlign w:val="center"/>
          </w:tcPr>
          <w:p w14:paraId="1BAD6483" w14:textId="77777777"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36D8A7E8" w14:textId="77777777" w:rsidTr="00623C47">
        <w:trPr>
          <w:trHeight w:val="310"/>
        </w:trPr>
        <w:tc>
          <w:tcPr>
            <w:tcW w:w="1412" w:type="pct"/>
            <w:tcBorders>
              <w:top w:val="nil"/>
              <w:left w:val="single" w:sz="8" w:space="0" w:color="auto"/>
              <w:bottom w:val="single" w:sz="4" w:space="0" w:color="auto"/>
              <w:right w:val="single" w:sz="12" w:space="0" w:color="auto"/>
            </w:tcBorders>
            <w:shd w:val="clear" w:color="auto" w:fill="auto"/>
            <w:vAlign w:val="bottom"/>
            <w:hideMark/>
          </w:tcPr>
          <w:p w14:paraId="1C301C2E"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Job Retention/Retention of Existing Employee</w:t>
            </w:r>
          </w:p>
        </w:tc>
        <w:tc>
          <w:tcPr>
            <w:tcW w:w="316" w:type="pct"/>
            <w:tcBorders>
              <w:top w:val="nil"/>
              <w:left w:val="nil"/>
              <w:bottom w:val="single" w:sz="4" w:space="0" w:color="auto"/>
              <w:right w:val="single" w:sz="4" w:space="0" w:color="auto"/>
            </w:tcBorders>
            <w:shd w:val="clear" w:color="000000" w:fill="FFF2CC"/>
            <w:vAlign w:val="center"/>
          </w:tcPr>
          <w:p w14:paraId="7CB5DE7C"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682529B7"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1</w:t>
            </w:r>
          </w:p>
        </w:tc>
        <w:tc>
          <w:tcPr>
            <w:tcW w:w="413" w:type="pct"/>
            <w:tcBorders>
              <w:top w:val="nil"/>
              <w:left w:val="nil"/>
              <w:bottom w:val="single" w:sz="4" w:space="0" w:color="auto"/>
              <w:right w:val="single" w:sz="4" w:space="0" w:color="auto"/>
            </w:tcBorders>
            <w:shd w:val="clear" w:color="000000" w:fill="E2EFDA"/>
            <w:vAlign w:val="center"/>
            <w:hideMark/>
          </w:tcPr>
          <w:p w14:paraId="74BE3642" w14:textId="496DE6B4" w:rsidR="00623C47" w:rsidRPr="00282E59" w:rsidRDefault="00623C47" w:rsidP="00623C47">
            <w:pPr>
              <w:spacing w:after="0" w:line="240" w:lineRule="auto"/>
              <w:ind w:firstLine="0"/>
              <w:jc w:val="center"/>
              <w:rPr>
                <w:rFonts w:eastAsia="Times New Roman" w:cstheme="minorHAnsi"/>
                <w:color w:val="000000"/>
              </w:rPr>
            </w:pPr>
          </w:p>
        </w:tc>
        <w:tc>
          <w:tcPr>
            <w:tcW w:w="316" w:type="pct"/>
            <w:tcBorders>
              <w:top w:val="nil"/>
              <w:left w:val="nil"/>
              <w:bottom w:val="single" w:sz="4" w:space="0" w:color="auto"/>
              <w:right w:val="single" w:sz="12" w:space="0" w:color="auto"/>
            </w:tcBorders>
            <w:shd w:val="clear" w:color="000000" w:fill="FFF2CC"/>
            <w:vAlign w:val="center"/>
            <w:hideMark/>
          </w:tcPr>
          <w:p w14:paraId="40346794" w14:textId="18387311"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4" w:space="0" w:color="auto"/>
              <w:right w:val="single" w:sz="4" w:space="0" w:color="auto"/>
            </w:tcBorders>
            <w:shd w:val="clear" w:color="000000" w:fill="D9E1F2"/>
            <w:vAlign w:val="center"/>
            <w:hideMark/>
          </w:tcPr>
          <w:p w14:paraId="35767E4B" w14:textId="48A30753"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4" w:space="0" w:color="auto"/>
              <w:right w:val="single" w:sz="12" w:space="0" w:color="auto"/>
            </w:tcBorders>
            <w:shd w:val="clear" w:color="000000" w:fill="E2EFDA"/>
            <w:vAlign w:val="center"/>
            <w:hideMark/>
          </w:tcPr>
          <w:p w14:paraId="1DD7E1CF" w14:textId="315CE52D"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4" w:space="0" w:color="auto"/>
              <w:right w:val="single" w:sz="4" w:space="0" w:color="auto"/>
            </w:tcBorders>
            <w:shd w:val="clear" w:color="000000" w:fill="FFF2CC"/>
            <w:vAlign w:val="center"/>
            <w:hideMark/>
          </w:tcPr>
          <w:p w14:paraId="7DFE7E83"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2</w:t>
            </w:r>
          </w:p>
        </w:tc>
        <w:tc>
          <w:tcPr>
            <w:tcW w:w="372" w:type="pct"/>
            <w:tcBorders>
              <w:top w:val="nil"/>
              <w:left w:val="nil"/>
              <w:bottom w:val="single" w:sz="4" w:space="0" w:color="auto"/>
              <w:right w:val="single" w:sz="4" w:space="0" w:color="auto"/>
            </w:tcBorders>
            <w:shd w:val="clear" w:color="000000" w:fill="D9E1F2"/>
            <w:vAlign w:val="center"/>
            <w:hideMark/>
          </w:tcPr>
          <w:p w14:paraId="27487043"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2</w:t>
            </w:r>
          </w:p>
        </w:tc>
        <w:tc>
          <w:tcPr>
            <w:tcW w:w="413" w:type="pct"/>
            <w:tcBorders>
              <w:top w:val="nil"/>
              <w:left w:val="nil"/>
              <w:bottom w:val="single" w:sz="4" w:space="0" w:color="auto"/>
              <w:right w:val="single" w:sz="8" w:space="0" w:color="auto"/>
            </w:tcBorders>
            <w:shd w:val="clear" w:color="000000" w:fill="E2EFDA"/>
            <w:vAlign w:val="center"/>
            <w:hideMark/>
          </w:tcPr>
          <w:p w14:paraId="210779CE" w14:textId="53D0CA03" w:rsidR="00623C47" w:rsidRPr="00282E59" w:rsidRDefault="00623C47" w:rsidP="00623C47">
            <w:pPr>
              <w:spacing w:after="0" w:line="240" w:lineRule="auto"/>
              <w:ind w:firstLine="0"/>
              <w:jc w:val="center"/>
              <w:rPr>
                <w:rFonts w:eastAsia="Times New Roman" w:cstheme="minorHAnsi"/>
                <w:color w:val="000000"/>
              </w:rPr>
            </w:pPr>
          </w:p>
        </w:tc>
      </w:tr>
      <w:tr w:rsidR="00623C47" w:rsidRPr="00BA2FEF" w14:paraId="3BE56DF9" w14:textId="77777777" w:rsidTr="00623C47">
        <w:trPr>
          <w:trHeight w:val="320"/>
        </w:trPr>
        <w:tc>
          <w:tcPr>
            <w:tcW w:w="1412" w:type="pct"/>
            <w:tcBorders>
              <w:top w:val="nil"/>
              <w:left w:val="single" w:sz="8" w:space="0" w:color="auto"/>
              <w:bottom w:val="single" w:sz="8" w:space="0" w:color="auto"/>
              <w:right w:val="single" w:sz="12" w:space="0" w:color="auto"/>
            </w:tcBorders>
            <w:shd w:val="clear" w:color="auto" w:fill="auto"/>
            <w:vAlign w:val="bottom"/>
            <w:hideMark/>
          </w:tcPr>
          <w:p w14:paraId="30AE417B" w14:textId="77777777" w:rsidR="00623C47" w:rsidRPr="00282E59" w:rsidRDefault="00623C47" w:rsidP="00623C47">
            <w:pPr>
              <w:spacing w:after="0" w:line="240" w:lineRule="auto"/>
              <w:ind w:firstLine="0"/>
              <w:jc w:val="right"/>
              <w:rPr>
                <w:rFonts w:eastAsia="Times New Roman" w:cstheme="minorHAnsi"/>
                <w:color w:val="000000"/>
              </w:rPr>
            </w:pPr>
            <w:r w:rsidRPr="00282E59">
              <w:rPr>
                <w:rFonts w:eastAsia="Times New Roman" w:cstheme="minorHAnsi"/>
                <w:color w:val="000000"/>
              </w:rPr>
              <w:t>• Seasonal Employment</w:t>
            </w:r>
          </w:p>
        </w:tc>
        <w:tc>
          <w:tcPr>
            <w:tcW w:w="316" w:type="pct"/>
            <w:tcBorders>
              <w:top w:val="nil"/>
              <w:left w:val="nil"/>
              <w:bottom w:val="single" w:sz="8" w:space="0" w:color="auto"/>
              <w:right w:val="single" w:sz="4" w:space="0" w:color="auto"/>
            </w:tcBorders>
            <w:shd w:val="clear" w:color="000000" w:fill="FFF2CC"/>
            <w:vAlign w:val="center"/>
            <w:hideMark/>
          </w:tcPr>
          <w:p w14:paraId="2812C920" w14:textId="0BE2A6B1"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8" w:space="0" w:color="auto"/>
              <w:right w:val="single" w:sz="4" w:space="0" w:color="auto"/>
            </w:tcBorders>
            <w:shd w:val="clear" w:color="000000" w:fill="D9E1F2"/>
            <w:vAlign w:val="center"/>
            <w:hideMark/>
          </w:tcPr>
          <w:p w14:paraId="73BAA85D" w14:textId="77777777" w:rsidR="00623C47" w:rsidRPr="00282E59" w:rsidRDefault="00623C47" w:rsidP="00623C47">
            <w:pPr>
              <w:spacing w:after="0" w:line="240" w:lineRule="auto"/>
              <w:ind w:firstLine="0"/>
              <w:jc w:val="center"/>
              <w:rPr>
                <w:rFonts w:eastAsia="Times New Roman" w:cstheme="minorHAnsi"/>
                <w:color w:val="000000"/>
              </w:rPr>
            </w:pPr>
            <w:r w:rsidRPr="00282E59">
              <w:rPr>
                <w:rFonts w:eastAsia="Times New Roman" w:cstheme="minorHAnsi"/>
                <w:color w:val="000000"/>
              </w:rPr>
              <w:t>0</w:t>
            </w:r>
          </w:p>
        </w:tc>
        <w:tc>
          <w:tcPr>
            <w:tcW w:w="413" w:type="pct"/>
            <w:tcBorders>
              <w:top w:val="nil"/>
              <w:left w:val="nil"/>
              <w:bottom w:val="single" w:sz="8" w:space="0" w:color="auto"/>
              <w:right w:val="single" w:sz="4" w:space="0" w:color="auto"/>
            </w:tcBorders>
            <w:shd w:val="clear" w:color="000000" w:fill="E2EFDA"/>
            <w:vAlign w:val="center"/>
            <w:hideMark/>
          </w:tcPr>
          <w:p w14:paraId="5AD9EC86" w14:textId="1121805D" w:rsidR="00623C47" w:rsidRPr="00282E59" w:rsidRDefault="00623C47" w:rsidP="00623C47">
            <w:pPr>
              <w:spacing w:after="0" w:line="240" w:lineRule="auto"/>
              <w:ind w:firstLine="0"/>
              <w:jc w:val="center"/>
              <w:rPr>
                <w:rFonts w:eastAsia="Times New Roman" w:cstheme="minorHAnsi"/>
                <w:color w:val="000000"/>
              </w:rPr>
            </w:pPr>
          </w:p>
        </w:tc>
        <w:tc>
          <w:tcPr>
            <w:tcW w:w="316" w:type="pct"/>
            <w:tcBorders>
              <w:top w:val="nil"/>
              <w:left w:val="nil"/>
              <w:bottom w:val="single" w:sz="8" w:space="0" w:color="auto"/>
              <w:right w:val="single" w:sz="12" w:space="0" w:color="auto"/>
            </w:tcBorders>
            <w:shd w:val="clear" w:color="000000" w:fill="FFF2CC"/>
            <w:vAlign w:val="center"/>
            <w:hideMark/>
          </w:tcPr>
          <w:p w14:paraId="7553AA84" w14:textId="4D461BC5"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8" w:space="0" w:color="auto"/>
              <w:right w:val="single" w:sz="4" w:space="0" w:color="auto"/>
            </w:tcBorders>
            <w:shd w:val="clear" w:color="000000" w:fill="D9E1F2"/>
            <w:vAlign w:val="center"/>
            <w:hideMark/>
          </w:tcPr>
          <w:p w14:paraId="25C181FD" w14:textId="15A41FF2" w:rsidR="00623C47" w:rsidRPr="00282E59" w:rsidRDefault="00623C47" w:rsidP="00623C47">
            <w:pPr>
              <w:spacing w:after="0" w:line="240" w:lineRule="auto"/>
              <w:ind w:firstLine="0"/>
              <w:jc w:val="center"/>
              <w:rPr>
                <w:rFonts w:eastAsia="Times New Roman" w:cstheme="minorHAnsi"/>
                <w:color w:val="000000"/>
              </w:rPr>
            </w:pPr>
          </w:p>
        </w:tc>
        <w:tc>
          <w:tcPr>
            <w:tcW w:w="685" w:type="pct"/>
            <w:tcBorders>
              <w:top w:val="nil"/>
              <w:left w:val="nil"/>
              <w:bottom w:val="single" w:sz="8" w:space="0" w:color="auto"/>
              <w:right w:val="single" w:sz="12" w:space="0" w:color="auto"/>
            </w:tcBorders>
            <w:shd w:val="clear" w:color="000000" w:fill="E2EFDA"/>
            <w:vAlign w:val="center"/>
            <w:hideMark/>
          </w:tcPr>
          <w:p w14:paraId="0BA4A074" w14:textId="546A5669" w:rsidR="00623C47" w:rsidRPr="00282E59" w:rsidRDefault="00623C47" w:rsidP="00623C47">
            <w:pPr>
              <w:spacing w:after="0" w:line="240" w:lineRule="auto"/>
              <w:ind w:firstLine="0"/>
              <w:jc w:val="center"/>
              <w:rPr>
                <w:rFonts w:eastAsia="Times New Roman" w:cstheme="minorHAnsi"/>
                <w:color w:val="000000"/>
              </w:rPr>
            </w:pPr>
          </w:p>
        </w:tc>
        <w:tc>
          <w:tcPr>
            <w:tcW w:w="330" w:type="pct"/>
            <w:tcBorders>
              <w:top w:val="nil"/>
              <w:left w:val="nil"/>
              <w:bottom w:val="single" w:sz="8" w:space="0" w:color="auto"/>
              <w:right w:val="single" w:sz="4" w:space="0" w:color="auto"/>
            </w:tcBorders>
            <w:shd w:val="clear" w:color="000000" w:fill="FFF2CC"/>
            <w:vAlign w:val="center"/>
          </w:tcPr>
          <w:p w14:paraId="45AC37F0" w14:textId="77777777" w:rsidR="00623C47" w:rsidRPr="00282E59" w:rsidRDefault="00623C47" w:rsidP="00623C47">
            <w:pPr>
              <w:spacing w:after="0" w:line="240" w:lineRule="auto"/>
              <w:ind w:firstLine="0"/>
              <w:jc w:val="center"/>
              <w:rPr>
                <w:rFonts w:eastAsia="Times New Roman" w:cstheme="minorHAnsi"/>
                <w:color w:val="000000"/>
              </w:rPr>
            </w:pPr>
          </w:p>
        </w:tc>
        <w:tc>
          <w:tcPr>
            <w:tcW w:w="372" w:type="pct"/>
            <w:tcBorders>
              <w:top w:val="nil"/>
              <w:left w:val="nil"/>
              <w:bottom w:val="single" w:sz="8" w:space="0" w:color="auto"/>
              <w:right w:val="single" w:sz="4" w:space="0" w:color="auto"/>
            </w:tcBorders>
            <w:shd w:val="clear" w:color="000000" w:fill="D9E1F2"/>
            <w:vAlign w:val="center"/>
          </w:tcPr>
          <w:p w14:paraId="7AEADC0F" w14:textId="77777777" w:rsidR="00623C47" w:rsidRPr="00282E59" w:rsidRDefault="00623C47" w:rsidP="00623C47">
            <w:pPr>
              <w:spacing w:after="0" w:line="240" w:lineRule="auto"/>
              <w:ind w:firstLine="0"/>
              <w:jc w:val="center"/>
              <w:rPr>
                <w:rFonts w:eastAsia="Times New Roman" w:cstheme="minorHAnsi"/>
                <w:color w:val="000000"/>
              </w:rPr>
            </w:pPr>
          </w:p>
        </w:tc>
        <w:tc>
          <w:tcPr>
            <w:tcW w:w="413" w:type="pct"/>
            <w:tcBorders>
              <w:top w:val="nil"/>
              <w:left w:val="nil"/>
              <w:bottom w:val="single" w:sz="8" w:space="0" w:color="auto"/>
              <w:right w:val="single" w:sz="8" w:space="0" w:color="auto"/>
            </w:tcBorders>
            <w:shd w:val="clear" w:color="000000" w:fill="E2EFDA"/>
            <w:vAlign w:val="center"/>
          </w:tcPr>
          <w:p w14:paraId="1F091E8B" w14:textId="77777777" w:rsidR="00623C47" w:rsidRPr="00282E59" w:rsidRDefault="00623C47" w:rsidP="00623C47">
            <w:pPr>
              <w:spacing w:after="0" w:line="240" w:lineRule="auto"/>
              <w:ind w:firstLine="0"/>
              <w:jc w:val="center"/>
              <w:rPr>
                <w:rFonts w:eastAsia="Times New Roman" w:cstheme="minorHAnsi"/>
                <w:color w:val="000000"/>
              </w:rPr>
            </w:pPr>
          </w:p>
        </w:tc>
      </w:tr>
    </w:tbl>
    <w:p w14:paraId="6BB8BB20" w14:textId="77777777" w:rsidR="00623C47" w:rsidRPr="009E708E" w:rsidRDefault="00623C47" w:rsidP="00623C47">
      <w:pPr>
        <w:pBdr>
          <w:bottom w:val="single" w:sz="24" w:space="1" w:color="auto"/>
        </w:pBdr>
        <w:rPr>
          <w:b/>
          <w:sz w:val="36"/>
        </w:rPr>
      </w:pPr>
      <w:r w:rsidRPr="00AE5851">
        <w:rPr>
          <w:rFonts w:cstheme="minorHAnsi"/>
          <w:b/>
          <w:sz w:val="36"/>
          <w:szCs w:val="36"/>
        </w:rPr>
        <w:br w:type="page"/>
      </w:r>
    </w:p>
    <w:p w14:paraId="28EFBA61" w14:textId="0500A1FC" w:rsidR="00623C47" w:rsidRPr="00623C47" w:rsidRDefault="00623C47" w:rsidP="00623C47">
      <w:pPr>
        <w:pStyle w:val="Heading2"/>
      </w:pPr>
      <w:bookmarkStart w:id="181" w:name="_Toc41940287"/>
      <w:r w:rsidRPr="00623C47">
        <w:lastRenderedPageBreak/>
        <w:t>Business Engagement I</w:t>
      </w:r>
      <w:r>
        <w:t>TA</w:t>
      </w:r>
      <w:r w:rsidRPr="00623C47">
        <w:t>s: Resources</w:t>
      </w:r>
      <w:bookmarkEnd w:id="181"/>
    </w:p>
    <w:p w14:paraId="0FCDE98B" w14:textId="77777777" w:rsidR="00623C47" w:rsidRDefault="00623C47" w:rsidP="00623C47">
      <w:pPr>
        <w:spacing w:after="0" w:line="240" w:lineRule="auto"/>
        <w:rPr>
          <w:rFonts w:eastAsia="Times New Roman" w:cstheme="minorHAnsi"/>
        </w:rPr>
      </w:pPr>
      <w:r w:rsidRPr="0052236D">
        <w:rPr>
          <w:rFonts w:eastAsia="Times New Roman" w:cstheme="minorHAnsi"/>
        </w:rPr>
        <w:t xml:space="preserve">Available on the WINTAC website, the </w:t>
      </w:r>
      <w:r>
        <w:rPr>
          <w:rFonts w:eastAsia="Times New Roman" w:cstheme="minorHAnsi"/>
        </w:rPr>
        <w:t>Business Engagement (BE)</w:t>
      </w:r>
      <w:r w:rsidRPr="0052236D">
        <w:rPr>
          <w:rFonts w:eastAsia="Times New Roman" w:cstheme="minorHAnsi"/>
        </w:rPr>
        <w:t xml:space="preserve"> team has developed a number of resources to support TA and training and provide guidance to SVRAs</w:t>
      </w:r>
      <w:r>
        <w:rPr>
          <w:rFonts w:eastAsia="Times New Roman" w:cstheme="minorHAnsi"/>
        </w:rPr>
        <w:t>.  Since the end of Year 4, this page has not undergone revisions, although as with all other resource pages, description and links to the Covid0-19 related resources is presented up front.</w:t>
      </w:r>
    </w:p>
    <w:p w14:paraId="698525DA" w14:textId="77777777" w:rsidR="00623C47" w:rsidRDefault="00623C47" w:rsidP="00623C47">
      <w:pPr>
        <w:spacing w:after="0" w:line="240" w:lineRule="auto"/>
        <w:rPr>
          <w:rFonts w:eastAsia="Times New Roman" w:cstheme="minorHAnsi"/>
        </w:rPr>
      </w:pPr>
    </w:p>
    <w:p w14:paraId="003E65C5" w14:textId="050DC28B" w:rsidR="00623C47" w:rsidRDefault="00623C47" w:rsidP="0048500F">
      <w:pPr>
        <w:rPr>
          <w:rFonts w:eastAsia="Times New Roman" w:cstheme="minorHAnsi"/>
        </w:rPr>
      </w:pPr>
      <w:r w:rsidRPr="009475A7">
        <w:rPr>
          <w:rFonts w:eastAsia="Times New Roman" w:cstheme="minorHAnsi"/>
        </w:rPr>
        <w:t xml:space="preserve">Examining traffic to the BE Resources page, we see </w:t>
      </w:r>
      <w:r w:rsidRPr="009475A7">
        <w:t xml:space="preserve">271 Page Views &amp; 27 Entrances for Year 5 thus far.  Spikes in traffic clearly occurred </w:t>
      </w:r>
      <w:r>
        <w:t>around the time of the pandemic’s onset</w:t>
      </w:r>
      <w:r w:rsidRPr="009475A7">
        <w:t>, when online resources became critical for SVRAs operating largely or entirely virtually</w:t>
      </w:r>
      <w:r>
        <w:t>.</w:t>
      </w:r>
      <w:r w:rsidR="0048500F">
        <w:rPr>
          <w:rFonts w:eastAsia="Times New Roman" w:cstheme="minorHAnsi"/>
        </w:rPr>
        <w:t xml:space="preserve"> </w:t>
      </w:r>
    </w:p>
    <w:p w14:paraId="74D2E133" w14:textId="77777777" w:rsidR="00623C47" w:rsidRPr="00032299" w:rsidRDefault="00623C47" w:rsidP="00623C47">
      <w:pPr>
        <w:pStyle w:val="NormalWeb"/>
        <w:shd w:val="clear" w:color="auto" w:fill="FFFFFF"/>
        <w:rPr>
          <w:rFonts w:ascii="Calibri" w:hAnsi="Calibri" w:cs="Calibri"/>
          <w:color w:val="000000"/>
          <w:szCs w:val="22"/>
        </w:rPr>
      </w:pPr>
      <w:r>
        <w:rPr>
          <w:noProof/>
          <w:lang w:eastAsia="ko-KR"/>
        </w:rPr>
        <w:drawing>
          <wp:inline distT="0" distB="0" distL="0" distR="0" wp14:anchorId="72889C70" wp14:editId="7DE678A2">
            <wp:extent cx="5943600" cy="1334770"/>
            <wp:effectExtent l="0" t="0" r="0" b="0"/>
            <wp:docPr id="427" name="Picture 427" descr="web analytic graphic showing page views and ent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5943600" cy="1334770"/>
                    </a:xfrm>
                    <a:prstGeom prst="rect">
                      <a:avLst/>
                    </a:prstGeom>
                  </pic:spPr>
                </pic:pic>
              </a:graphicData>
            </a:graphic>
          </wp:inline>
        </w:drawing>
      </w:r>
    </w:p>
    <w:p w14:paraId="591648EE" w14:textId="77777777" w:rsidR="00623C47" w:rsidRPr="0052236D" w:rsidRDefault="00623C47" w:rsidP="00C575C8">
      <w:pPr>
        <w:pStyle w:val="ListParagraph"/>
        <w:numPr>
          <w:ilvl w:val="0"/>
          <w:numId w:val="84"/>
        </w:numPr>
        <w:ind w:left="360"/>
        <w:rPr>
          <w:rFonts w:cstheme="minorHAnsi"/>
          <w:b/>
          <w:bCs/>
        </w:rPr>
      </w:pPr>
      <w:r w:rsidRPr="0052236D">
        <w:rPr>
          <w:rFonts w:cstheme="minorHAnsi"/>
          <w:b/>
          <w:bCs/>
        </w:rPr>
        <w:t>Partnerships</w:t>
      </w:r>
    </w:p>
    <w:p w14:paraId="46F8ADCC" w14:textId="77777777" w:rsidR="00623C47" w:rsidRPr="0052236D" w:rsidRDefault="0084664F" w:rsidP="00C575C8">
      <w:pPr>
        <w:pStyle w:val="ListParagraph"/>
        <w:numPr>
          <w:ilvl w:val="1"/>
          <w:numId w:val="84"/>
        </w:numPr>
        <w:rPr>
          <w:rFonts w:cstheme="minorHAnsi"/>
        </w:rPr>
      </w:pPr>
      <w:hyperlink r:id="rId462" w:tgtFrame="_blank" w:history="1">
        <w:r w:rsidR="00623C47" w:rsidRPr="0052236D">
          <w:rPr>
            <w:rStyle w:val="Hyperlink"/>
            <w:rFonts w:cstheme="minorHAnsi"/>
            <w:b/>
            <w:bCs/>
          </w:rPr>
          <w:t>Employer Engagement in the National Fund for Workforce Solutions [PDF]</w:t>
        </w:r>
      </w:hyperlink>
    </w:p>
    <w:p w14:paraId="4D30550F" w14:textId="77777777" w:rsidR="00623C47" w:rsidRPr="0052236D" w:rsidRDefault="0084664F" w:rsidP="00C575C8">
      <w:pPr>
        <w:pStyle w:val="ListParagraph"/>
        <w:numPr>
          <w:ilvl w:val="1"/>
          <w:numId w:val="84"/>
        </w:numPr>
        <w:rPr>
          <w:rFonts w:cstheme="minorHAnsi"/>
        </w:rPr>
      </w:pPr>
      <w:hyperlink r:id="rId463" w:tgtFrame="_blank" w:history="1">
        <w:r w:rsidR="00623C47" w:rsidRPr="0052236D">
          <w:rPr>
            <w:rStyle w:val="Hyperlink"/>
            <w:rFonts w:cstheme="minorHAnsi"/>
            <w:b/>
            <w:bCs/>
          </w:rPr>
          <w:t>Recruitment and Retention of Older Workers: Application to People with Disabilities</w:t>
        </w:r>
      </w:hyperlink>
    </w:p>
    <w:p w14:paraId="523BF425" w14:textId="77777777" w:rsidR="00623C47" w:rsidRPr="0052236D" w:rsidRDefault="0084664F" w:rsidP="00C575C8">
      <w:pPr>
        <w:pStyle w:val="ListParagraph"/>
        <w:numPr>
          <w:ilvl w:val="1"/>
          <w:numId w:val="84"/>
        </w:numPr>
        <w:rPr>
          <w:rFonts w:cstheme="minorHAnsi"/>
        </w:rPr>
      </w:pPr>
      <w:hyperlink r:id="rId464" w:tgtFrame="_blank" w:history="1">
        <w:r w:rsidR="00623C47" w:rsidRPr="0052236D">
          <w:rPr>
            <w:rStyle w:val="Hyperlink"/>
            <w:rFonts w:cstheme="minorHAnsi"/>
            <w:b/>
            <w:bCs/>
          </w:rPr>
          <w:t>Increasing Placement Through Professional Networking</w:t>
        </w:r>
      </w:hyperlink>
    </w:p>
    <w:p w14:paraId="61120528" w14:textId="77777777" w:rsidR="00623C47" w:rsidRPr="0052236D" w:rsidRDefault="00623C47" w:rsidP="00C575C8">
      <w:pPr>
        <w:pStyle w:val="ListParagraph"/>
        <w:numPr>
          <w:ilvl w:val="0"/>
          <w:numId w:val="84"/>
        </w:numPr>
        <w:ind w:left="360"/>
        <w:rPr>
          <w:rFonts w:cstheme="minorHAnsi"/>
          <w:b/>
          <w:bCs/>
        </w:rPr>
      </w:pPr>
      <w:r w:rsidRPr="0052236D">
        <w:rPr>
          <w:rFonts w:cstheme="minorHAnsi"/>
          <w:b/>
          <w:bCs/>
        </w:rPr>
        <w:t>Structure</w:t>
      </w:r>
    </w:p>
    <w:p w14:paraId="0B5CC7F2" w14:textId="77777777" w:rsidR="00623C47" w:rsidRPr="0052236D" w:rsidRDefault="0084664F" w:rsidP="00C575C8">
      <w:pPr>
        <w:pStyle w:val="ListParagraph"/>
        <w:numPr>
          <w:ilvl w:val="1"/>
          <w:numId w:val="84"/>
        </w:numPr>
        <w:spacing w:after="0" w:line="240" w:lineRule="auto"/>
        <w:rPr>
          <w:rFonts w:cstheme="minorHAnsi"/>
        </w:rPr>
      </w:pPr>
      <w:hyperlink r:id="rId465" w:tgtFrame="_blank" w:history="1">
        <w:r w:rsidR="00623C47" w:rsidRPr="0052236D">
          <w:rPr>
            <w:rStyle w:val="Hyperlink"/>
            <w:rFonts w:cstheme="minorHAnsi"/>
            <w:b/>
            <w:bCs/>
          </w:rPr>
          <w:t>32nd IRI: The VR-Business Network: Charting Your Course</w:t>
        </w:r>
      </w:hyperlink>
    </w:p>
    <w:p w14:paraId="016F3E6C" w14:textId="77777777" w:rsidR="00623C47" w:rsidRPr="0052236D" w:rsidRDefault="0084664F" w:rsidP="00C575C8">
      <w:pPr>
        <w:pStyle w:val="ListParagraph"/>
        <w:numPr>
          <w:ilvl w:val="1"/>
          <w:numId w:val="84"/>
        </w:numPr>
        <w:spacing w:after="0" w:line="240" w:lineRule="auto"/>
        <w:rPr>
          <w:rFonts w:cstheme="minorHAnsi"/>
        </w:rPr>
      </w:pPr>
      <w:hyperlink r:id="rId466" w:tgtFrame="_blank" w:history="1">
        <w:r w:rsidR="00623C47" w:rsidRPr="0052236D">
          <w:rPr>
            <w:rStyle w:val="Hyperlink"/>
            <w:rFonts w:cstheme="minorHAnsi"/>
            <w:b/>
            <w:bCs/>
          </w:rPr>
          <w:t>Creating Mentoring Opportunities for Youth with Disabilities: Issues and Suggested Strategies</w:t>
        </w:r>
      </w:hyperlink>
    </w:p>
    <w:p w14:paraId="23BA6EDB" w14:textId="77777777" w:rsidR="00623C47" w:rsidRPr="0052236D" w:rsidRDefault="0084664F" w:rsidP="00C575C8">
      <w:pPr>
        <w:pStyle w:val="ListParagraph"/>
        <w:numPr>
          <w:ilvl w:val="1"/>
          <w:numId w:val="84"/>
        </w:numPr>
        <w:spacing w:after="0" w:line="240" w:lineRule="auto"/>
        <w:rPr>
          <w:rFonts w:cstheme="minorHAnsi"/>
        </w:rPr>
      </w:pPr>
      <w:hyperlink r:id="rId467" w:tgtFrame="_blank" w:history="1">
        <w:r w:rsidR="00623C47" w:rsidRPr="0052236D">
          <w:rPr>
            <w:rStyle w:val="Hyperlink"/>
            <w:rFonts w:cstheme="minorHAnsi"/>
            <w:b/>
            <w:bCs/>
          </w:rPr>
          <w:t>2011 Report of the AccessSTEM/AccessComputing/DO-IT Longitudinal Transition Study (ALTS)</w:t>
        </w:r>
      </w:hyperlink>
    </w:p>
    <w:p w14:paraId="423B9530" w14:textId="77777777" w:rsidR="00623C47" w:rsidRPr="00CF74DA" w:rsidRDefault="0084664F" w:rsidP="00C575C8">
      <w:pPr>
        <w:numPr>
          <w:ilvl w:val="1"/>
          <w:numId w:val="84"/>
        </w:numPr>
        <w:spacing w:after="0" w:line="240" w:lineRule="auto"/>
        <w:rPr>
          <w:rFonts w:cstheme="minorHAnsi"/>
          <w:b/>
          <w:bCs/>
        </w:rPr>
      </w:pPr>
      <w:hyperlink r:id="rId468" w:anchor="collapseTen" w:history="1">
        <w:r w:rsidR="00623C47" w:rsidRPr="00CF74DA">
          <w:rPr>
            <w:rStyle w:val="Hyperlink"/>
            <w:rFonts w:cstheme="minorHAnsi"/>
            <w:b/>
            <w:bCs/>
          </w:rPr>
          <w:t>BRIEFS</w:t>
        </w:r>
      </w:hyperlink>
    </w:p>
    <w:p w14:paraId="02D71850" w14:textId="77777777" w:rsidR="00623C47" w:rsidRPr="00CF74DA" w:rsidRDefault="0084664F" w:rsidP="00C575C8">
      <w:pPr>
        <w:numPr>
          <w:ilvl w:val="1"/>
          <w:numId w:val="84"/>
        </w:numPr>
        <w:spacing w:after="0" w:line="240" w:lineRule="auto"/>
        <w:rPr>
          <w:rFonts w:cstheme="minorHAnsi"/>
          <w:b/>
          <w:bCs/>
        </w:rPr>
      </w:pPr>
      <w:hyperlink r:id="rId469" w:anchor="collapseEleven" w:history="1">
        <w:r w:rsidR="00623C47" w:rsidRPr="00CF74DA">
          <w:rPr>
            <w:rStyle w:val="Hyperlink"/>
            <w:rFonts w:cstheme="minorHAnsi"/>
            <w:b/>
            <w:bCs/>
          </w:rPr>
          <w:t>CURRICULA &amp; LEARNING GUIDES</w:t>
        </w:r>
      </w:hyperlink>
    </w:p>
    <w:p w14:paraId="10CC63F9" w14:textId="77777777" w:rsidR="00623C47" w:rsidRPr="00CF74DA" w:rsidRDefault="0084664F" w:rsidP="00C575C8">
      <w:pPr>
        <w:numPr>
          <w:ilvl w:val="1"/>
          <w:numId w:val="84"/>
        </w:numPr>
        <w:spacing w:after="0" w:line="240" w:lineRule="auto"/>
        <w:rPr>
          <w:rFonts w:cstheme="minorHAnsi"/>
          <w:b/>
          <w:bCs/>
        </w:rPr>
      </w:pPr>
      <w:hyperlink r:id="rId470" w:anchor="collapseTwelve" w:history="1">
        <w:r w:rsidR="00623C47" w:rsidRPr="00CF74DA">
          <w:rPr>
            <w:rStyle w:val="Hyperlink"/>
            <w:rFonts w:cstheme="minorHAnsi"/>
            <w:b/>
            <w:bCs/>
          </w:rPr>
          <w:t xml:space="preserve">WEBINAR </w:t>
        </w:r>
      </w:hyperlink>
    </w:p>
    <w:p w14:paraId="0C23EFB3" w14:textId="77777777" w:rsidR="00623C47" w:rsidRPr="00CF74DA" w:rsidRDefault="0084664F" w:rsidP="00C575C8">
      <w:pPr>
        <w:numPr>
          <w:ilvl w:val="1"/>
          <w:numId w:val="84"/>
        </w:numPr>
        <w:spacing w:after="0" w:line="240" w:lineRule="auto"/>
        <w:rPr>
          <w:rFonts w:cstheme="minorHAnsi"/>
          <w:b/>
          <w:bCs/>
        </w:rPr>
      </w:pPr>
      <w:hyperlink r:id="rId471" w:anchor="collapseThirteen" w:history="1">
        <w:r w:rsidR="00623C47" w:rsidRPr="00CF74DA">
          <w:rPr>
            <w:rStyle w:val="Hyperlink"/>
            <w:rFonts w:cstheme="minorHAnsi"/>
            <w:b/>
            <w:bCs/>
          </w:rPr>
          <w:t>WEBSITES</w:t>
        </w:r>
      </w:hyperlink>
    </w:p>
    <w:p w14:paraId="59AF5EE6" w14:textId="77777777" w:rsidR="00623C47" w:rsidRPr="00CF74DA" w:rsidRDefault="0084664F" w:rsidP="00C575C8">
      <w:pPr>
        <w:numPr>
          <w:ilvl w:val="1"/>
          <w:numId w:val="84"/>
        </w:numPr>
        <w:spacing w:after="0" w:line="240" w:lineRule="auto"/>
        <w:rPr>
          <w:rFonts w:cstheme="minorHAnsi"/>
          <w:b/>
          <w:bCs/>
        </w:rPr>
      </w:pPr>
      <w:hyperlink r:id="rId472" w:anchor="collapseFourteen" w:history="1">
        <w:r w:rsidR="00623C47" w:rsidRPr="00CF74DA">
          <w:rPr>
            <w:rStyle w:val="Hyperlink"/>
            <w:rFonts w:cstheme="minorHAnsi"/>
            <w:b/>
            <w:bCs/>
          </w:rPr>
          <w:t xml:space="preserve">VIDEOS </w:t>
        </w:r>
      </w:hyperlink>
    </w:p>
    <w:p w14:paraId="37D87239" w14:textId="77777777" w:rsidR="00623C47" w:rsidRPr="00CF74DA" w:rsidRDefault="0084664F" w:rsidP="00C575C8">
      <w:pPr>
        <w:numPr>
          <w:ilvl w:val="1"/>
          <w:numId w:val="84"/>
        </w:numPr>
        <w:spacing w:after="0" w:line="240" w:lineRule="auto"/>
        <w:rPr>
          <w:rFonts w:cstheme="minorHAnsi"/>
          <w:b/>
          <w:bCs/>
        </w:rPr>
      </w:pPr>
      <w:hyperlink r:id="rId473" w:anchor="collapseFifteen" w:history="1">
        <w:r w:rsidR="00623C47" w:rsidRPr="00CF74DA">
          <w:rPr>
            <w:rStyle w:val="Hyperlink"/>
            <w:rFonts w:cstheme="minorHAnsi"/>
            <w:b/>
            <w:bCs/>
          </w:rPr>
          <w:t>JOB DESCRIPTIONS</w:t>
        </w:r>
      </w:hyperlink>
    </w:p>
    <w:p w14:paraId="05A2D84A" w14:textId="77777777" w:rsidR="00623C47" w:rsidRPr="0052236D" w:rsidRDefault="00623C47" w:rsidP="00C575C8">
      <w:pPr>
        <w:pStyle w:val="ListParagraph"/>
        <w:numPr>
          <w:ilvl w:val="0"/>
          <w:numId w:val="84"/>
        </w:numPr>
        <w:ind w:left="360"/>
        <w:rPr>
          <w:rFonts w:cstheme="minorHAnsi"/>
          <w:b/>
          <w:bCs/>
        </w:rPr>
      </w:pPr>
      <w:r w:rsidRPr="0052236D">
        <w:rPr>
          <w:rFonts w:cstheme="minorHAnsi"/>
          <w:b/>
          <w:bCs/>
        </w:rPr>
        <w:t>Hiring and Managing Employees with Disabilities</w:t>
      </w:r>
    </w:p>
    <w:p w14:paraId="535051B8" w14:textId="77777777" w:rsidR="00623C47" w:rsidRPr="0052236D" w:rsidRDefault="0084664F" w:rsidP="00C575C8">
      <w:pPr>
        <w:pStyle w:val="ListParagraph"/>
        <w:numPr>
          <w:ilvl w:val="1"/>
          <w:numId w:val="84"/>
        </w:numPr>
        <w:rPr>
          <w:rFonts w:cstheme="minorHAnsi"/>
        </w:rPr>
      </w:pPr>
      <w:hyperlink r:id="rId474" w:tgtFrame="_blank" w:history="1">
        <w:r w:rsidR="00623C47" w:rsidRPr="0052236D">
          <w:rPr>
            <w:rStyle w:val="Hyperlink"/>
            <w:rFonts w:cstheme="minorHAnsi"/>
            <w:b/>
            <w:bCs/>
          </w:rPr>
          <w:t>Answering Common Employer Questions and Concerns [DOCX]</w:t>
        </w:r>
      </w:hyperlink>
    </w:p>
    <w:p w14:paraId="4B5BDA95" w14:textId="77777777" w:rsidR="00623C47" w:rsidRPr="0052236D" w:rsidRDefault="0084664F" w:rsidP="00C575C8">
      <w:pPr>
        <w:pStyle w:val="ListParagraph"/>
        <w:numPr>
          <w:ilvl w:val="1"/>
          <w:numId w:val="84"/>
        </w:numPr>
        <w:rPr>
          <w:rFonts w:cstheme="minorHAnsi"/>
        </w:rPr>
      </w:pPr>
      <w:hyperlink r:id="rId475" w:tgtFrame="_blank" w:history="1">
        <w:r w:rsidR="00623C47" w:rsidRPr="0052236D">
          <w:rPr>
            <w:rStyle w:val="Hyperlink"/>
            <w:rFonts w:cstheme="minorHAnsi"/>
            <w:b/>
            <w:bCs/>
          </w:rPr>
          <w:t>Windmills: Hiring and Retaining People with Disabilities: Train the Trainer Program</w:t>
        </w:r>
      </w:hyperlink>
    </w:p>
    <w:p w14:paraId="1DDD5EB2" w14:textId="77777777" w:rsidR="00623C47" w:rsidRPr="0052236D" w:rsidRDefault="0084664F" w:rsidP="00C575C8">
      <w:pPr>
        <w:pStyle w:val="ListParagraph"/>
        <w:numPr>
          <w:ilvl w:val="1"/>
          <w:numId w:val="84"/>
        </w:numPr>
        <w:rPr>
          <w:rFonts w:cstheme="minorHAnsi"/>
        </w:rPr>
      </w:pPr>
      <w:hyperlink r:id="rId476" w:tgtFrame="_blank" w:history="1">
        <w:r w:rsidR="00623C47" w:rsidRPr="0052236D">
          <w:rPr>
            <w:rStyle w:val="Hyperlink"/>
            <w:rFonts w:cstheme="minorHAnsi"/>
            <w:b/>
            <w:bCs/>
          </w:rPr>
          <w:t>Alabama RAVE Program (Retaining A Valued Employee) [PDF]</w:t>
        </w:r>
      </w:hyperlink>
    </w:p>
    <w:p w14:paraId="5086A0F7" w14:textId="77777777" w:rsidR="00623C47" w:rsidRPr="0052236D" w:rsidRDefault="0084664F" w:rsidP="00C575C8">
      <w:pPr>
        <w:pStyle w:val="ListParagraph"/>
        <w:numPr>
          <w:ilvl w:val="1"/>
          <w:numId w:val="84"/>
        </w:numPr>
        <w:rPr>
          <w:rFonts w:cstheme="minorHAnsi"/>
        </w:rPr>
      </w:pPr>
      <w:hyperlink r:id="rId477" w:tgtFrame="_blank" w:history="1">
        <w:r w:rsidR="00623C47" w:rsidRPr="0052236D">
          <w:rPr>
            <w:rStyle w:val="Hyperlink"/>
            <w:rFonts w:cstheme="minorHAnsi"/>
            <w:b/>
            <w:bCs/>
          </w:rPr>
          <w:t>Work Rules Relevant to Youth with Disabilities [DOCX]</w:t>
        </w:r>
      </w:hyperlink>
    </w:p>
    <w:p w14:paraId="57D9F673" w14:textId="77777777" w:rsidR="00623C47" w:rsidRPr="0052236D" w:rsidRDefault="0084664F" w:rsidP="00C575C8">
      <w:pPr>
        <w:pStyle w:val="ListParagraph"/>
        <w:numPr>
          <w:ilvl w:val="1"/>
          <w:numId w:val="84"/>
        </w:numPr>
        <w:rPr>
          <w:rFonts w:cstheme="minorHAnsi"/>
        </w:rPr>
      </w:pPr>
      <w:hyperlink r:id="rId478" w:tgtFrame="_blank" w:history="1">
        <w:r w:rsidR="00623C47" w:rsidRPr="0052236D">
          <w:rPr>
            <w:rStyle w:val="Hyperlink"/>
            <w:rFonts w:cstheme="minorHAnsi"/>
            <w:b/>
            <w:bCs/>
          </w:rPr>
          <w:t>EARN website: Supervision &amp; Management Section</w:t>
        </w:r>
      </w:hyperlink>
    </w:p>
    <w:p w14:paraId="5FD087FF" w14:textId="77777777" w:rsidR="00623C47" w:rsidRPr="0052236D" w:rsidRDefault="0084664F" w:rsidP="00C575C8">
      <w:pPr>
        <w:pStyle w:val="ListParagraph"/>
        <w:numPr>
          <w:ilvl w:val="1"/>
          <w:numId w:val="84"/>
        </w:numPr>
        <w:rPr>
          <w:rFonts w:cstheme="minorHAnsi"/>
        </w:rPr>
      </w:pPr>
      <w:hyperlink r:id="rId479" w:tgtFrame="_blank" w:history="1">
        <w:r w:rsidR="00623C47" w:rsidRPr="0052236D">
          <w:rPr>
            <w:rStyle w:val="Hyperlink"/>
            <w:rFonts w:cstheme="minorHAnsi"/>
            <w:b/>
            <w:bCs/>
          </w:rPr>
          <w:t>Disability and HR: Tips for Human Resources Professionals</w:t>
        </w:r>
      </w:hyperlink>
    </w:p>
    <w:p w14:paraId="5DFE22E4" w14:textId="77777777" w:rsidR="00623C47" w:rsidRPr="0052236D" w:rsidRDefault="0084664F" w:rsidP="00C575C8">
      <w:pPr>
        <w:pStyle w:val="ListParagraph"/>
        <w:numPr>
          <w:ilvl w:val="1"/>
          <w:numId w:val="84"/>
        </w:numPr>
        <w:rPr>
          <w:rFonts w:cstheme="minorHAnsi"/>
        </w:rPr>
      </w:pPr>
      <w:hyperlink r:id="rId480" w:tgtFrame="_blank" w:history="1">
        <w:r w:rsidR="00623C47" w:rsidRPr="0052236D">
          <w:rPr>
            <w:rStyle w:val="Hyperlink"/>
            <w:rFonts w:cstheme="minorHAnsi"/>
            <w:b/>
            <w:bCs/>
          </w:rPr>
          <w:t>Supervising People with Disabilities -  Hint, It Really Isn't Very Different Than Anyone Else</w:t>
        </w:r>
      </w:hyperlink>
    </w:p>
    <w:p w14:paraId="798D7C30" w14:textId="77777777" w:rsidR="00623C47" w:rsidRPr="0052236D" w:rsidRDefault="0084664F" w:rsidP="00C575C8">
      <w:pPr>
        <w:pStyle w:val="ListParagraph"/>
        <w:numPr>
          <w:ilvl w:val="1"/>
          <w:numId w:val="84"/>
        </w:numPr>
        <w:rPr>
          <w:rFonts w:cstheme="minorHAnsi"/>
        </w:rPr>
      </w:pPr>
      <w:hyperlink r:id="rId481" w:tgtFrame="_blank" w:history="1">
        <w:r w:rsidR="00623C47" w:rsidRPr="0052236D">
          <w:rPr>
            <w:rStyle w:val="Hyperlink"/>
            <w:rFonts w:cstheme="minorHAnsi"/>
            <w:b/>
            <w:bCs/>
          </w:rPr>
          <w:t>Workplace Culture Survey</w:t>
        </w:r>
      </w:hyperlink>
    </w:p>
    <w:p w14:paraId="43E224D7" w14:textId="77777777" w:rsidR="00623C47" w:rsidRPr="0052236D" w:rsidRDefault="0084664F" w:rsidP="00C575C8">
      <w:pPr>
        <w:pStyle w:val="ListParagraph"/>
        <w:numPr>
          <w:ilvl w:val="1"/>
          <w:numId w:val="84"/>
        </w:numPr>
        <w:rPr>
          <w:rFonts w:cstheme="minorHAnsi"/>
        </w:rPr>
      </w:pPr>
      <w:hyperlink r:id="rId482" w:tgtFrame="_blank" w:history="1">
        <w:r w:rsidR="00623C47" w:rsidRPr="0052236D">
          <w:rPr>
            <w:rStyle w:val="Hyperlink"/>
            <w:rFonts w:cstheme="minorHAnsi"/>
            <w:b/>
            <w:bCs/>
          </w:rPr>
          <w:t>Employer Resource Guide [PDF]</w:t>
        </w:r>
      </w:hyperlink>
    </w:p>
    <w:p w14:paraId="55AC190E" w14:textId="77777777" w:rsidR="00623C47" w:rsidRPr="0052236D" w:rsidRDefault="0084664F" w:rsidP="00C575C8">
      <w:pPr>
        <w:pStyle w:val="ListParagraph"/>
        <w:numPr>
          <w:ilvl w:val="1"/>
          <w:numId w:val="84"/>
        </w:numPr>
        <w:rPr>
          <w:rFonts w:cstheme="minorHAnsi"/>
        </w:rPr>
      </w:pPr>
      <w:hyperlink r:id="rId483" w:history="1">
        <w:r w:rsidR="00623C47" w:rsidRPr="0052236D">
          <w:rPr>
            <w:rStyle w:val="Hyperlink"/>
            <w:rFonts w:cstheme="minorHAnsi"/>
            <w:b/>
            <w:bCs/>
          </w:rPr>
          <w:t>Tips for Employers: Making Web-Based Job Application Forms Accessible [DOCX]</w:t>
        </w:r>
      </w:hyperlink>
    </w:p>
    <w:p w14:paraId="464A1CD4" w14:textId="77777777" w:rsidR="00623C47" w:rsidRPr="0052236D" w:rsidRDefault="0084664F" w:rsidP="00C575C8">
      <w:pPr>
        <w:pStyle w:val="ListParagraph"/>
        <w:numPr>
          <w:ilvl w:val="1"/>
          <w:numId w:val="84"/>
        </w:numPr>
        <w:rPr>
          <w:rFonts w:cstheme="minorHAnsi"/>
        </w:rPr>
      </w:pPr>
      <w:hyperlink r:id="rId484" w:tgtFrame="_blank" w:history="1">
        <w:r w:rsidR="00623C47" w:rsidRPr="0052236D">
          <w:rPr>
            <w:rStyle w:val="Hyperlink"/>
            <w:rFonts w:cstheme="minorHAnsi"/>
            <w:b/>
            <w:bCs/>
          </w:rPr>
          <w:t>DeafTEC</w:t>
        </w:r>
      </w:hyperlink>
    </w:p>
    <w:p w14:paraId="2440DCB1" w14:textId="77777777" w:rsidR="00623C47" w:rsidRPr="0052236D" w:rsidRDefault="0084664F" w:rsidP="00C575C8">
      <w:pPr>
        <w:pStyle w:val="ListParagraph"/>
        <w:numPr>
          <w:ilvl w:val="1"/>
          <w:numId w:val="84"/>
        </w:numPr>
        <w:rPr>
          <w:rFonts w:cstheme="minorHAnsi"/>
        </w:rPr>
      </w:pPr>
      <w:hyperlink r:id="rId485" w:anchor="!" w:tgtFrame="_blank" w:history="1">
        <w:r w:rsidR="00623C47" w:rsidRPr="0052236D">
          <w:rPr>
            <w:rStyle w:val="Hyperlink"/>
            <w:rFonts w:cstheme="minorHAnsi"/>
            <w:b/>
            <w:bCs/>
          </w:rPr>
          <w:t>Introduction to Inclusive Talent Acquisition</w:t>
        </w:r>
      </w:hyperlink>
    </w:p>
    <w:p w14:paraId="675F2673" w14:textId="77777777" w:rsidR="00623C47" w:rsidRPr="0052236D" w:rsidRDefault="0084664F" w:rsidP="00C575C8">
      <w:pPr>
        <w:pStyle w:val="ListParagraph"/>
        <w:numPr>
          <w:ilvl w:val="1"/>
          <w:numId w:val="84"/>
        </w:numPr>
        <w:rPr>
          <w:rFonts w:cstheme="minorHAnsi"/>
        </w:rPr>
      </w:pPr>
      <w:hyperlink r:id="rId486" w:history="1">
        <w:r w:rsidR="00623C47" w:rsidRPr="0052236D">
          <w:rPr>
            <w:rStyle w:val="Hyperlink"/>
            <w:rFonts w:cstheme="minorHAnsi"/>
            <w:b/>
            <w:bCs/>
          </w:rPr>
          <w:t>Assistive Technology for People with Mental Health Disabilities [DOCX]</w:t>
        </w:r>
      </w:hyperlink>
    </w:p>
    <w:p w14:paraId="4852F3CD" w14:textId="77777777" w:rsidR="00623C47" w:rsidRPr="0052236D" w:rsidRDefault="00623C47" w:rsidP="00C575C8">
      <w:pPr>
        <w:pStyle w:val="ListParagraph"/>
        <w:numPr>
          <w:ilvl w:val="0"/>
          <w:numId w:val="84"/>
        </w:numPr>
        <w:ind w:left="360"/>
        <w:rPr>
          <w:rFonts w:cstheme="minorHAnsi"/>
          <w:b/>
          <w:bCs/>
        </w:rPr>
      </w:pPr>
      <w:r w:rsidRPr="0052236D">
        <w:rPr>
          <w:rFonts w:cstheme="minorHAnsi"/>
          <w:b/>
          <w:bCs/>
        </w:rPr>
        <w:t>Supporting Employees with Disabilities</w:t>
      </w:r>
    </w:p>
    <w:p w14:paraId="315FDA23" w14:textId="77777777" w:rsidR="00623C47" w:rsidRPr="0052236D" w:rsidRDefault="0084664F" w:rsidP="00C575C8">
      <w:pPr>
        <w:pStyle w:val="ListParagraph"/>
        <w:numPr>
          <w:ilvl w:val="1"/>
          <w:numId w:val="84"/>
        </w:numPr>
        <w:rPr>
          <w:rFonts w:cstheme="minorHAnsi"/>
        </w:rPr>
      </w:pPr>
      <w:hyperlink r:id="rId487" w:tgtFrame="_blank" w:history="1">
        <w:r w:rsidR="00623C47" w:rsidRPr="0052236D">
          <w:rPr>
            <w:rStyle w:val="Hyperlink"/>
            <w:rFonts w:cstheme="minorHAnsi"/>
            <w:b/>
            <w:bCs/>
          </w:rPr>
          <w:t>Job Coaching in the Workplace</w:t>
        </w:r>
      </w:hyperlink>
    </w:p>
    <w:p w14:paraId="45404250" w14:textId="77777777" w:rsidR="00623C47" w:rsidRPr="00CF72B1" w:rsidRDefault="0084664F" w:rsidP="00C575C8">
      <w:pPr>
        <w:pStyle w:val="ListParagraph"/>
        <w:numPr>
          <w:ilvl w:val="1"/>
          <w:numId w:val="84"/>
        </w:numPr>
        <w:rPr>
          <w:rFonts w:cstheme="minorHAnsi"/>
        </w:rPr>
      </w:pPr>
      <w:hyperlink r:id="rId488" w:tgtFrame="_blank" w:history="1">
        <w:r w:rsidR="00623C47" w:rsidRPr="0052236D">
          <w:rPr>
            <w:rStyle w:val="Hyperlink"/>
            <w:rFonts w:cstheme="minorHAnsi"/>
            <w:b/>
            <w:bCs/>
          </w:rPr>
          <w:t>Support through Mentorship: Accessible Supervision of Employees with Intellectual and Developmental Disabilities</w:t>
        </w:r>
      </w:hyperlink>
      <w:r w:rsidR="00623C47">
        <w:rPr>
          <w:rFonts w:cstheme="minorHAnsi"/>
        </w:rPr>
        <w:t xml:space="preserve"> - </w:t>
      </w:r>
      <w:hyperlink r:id="rId489" w:tgtFrame="_blank" w:history="1">
        <w:r w:rsidR="00623C47" w:rsidRPr="00CF72B1">
          <w:rPr>
            <w:rStyle w:val="Hyperlink"/>
            <w:rFonts w:cstheme="minorHAnsi"/>
            <w:b/>
            <w:bCs/>
          </w:rPr>
          <w:t>Watch this video</w:t>
        </w:r>
      </w:hyperlink>
      <w:r w:rsidR="00623C47" w:rsidRPr="00CF72B1">
        <w:rPr>
          <w:rFonts w:cstheme="minorHAnsi"/>
        </w:rPr>
        <w:t xml:space="preserve"> to hear </w:t>
      </w:r>
      <w:r w:rsidR="00623C47">
        <w:rPr>
          <w:rFonts w:cstheme="minorHAnsi"/>
        </w:rPr>
        <w:t>Ashley Wolfe at ICI</w:t>
      </w:r>
      <w:r w:rsidR="00623C47" w:rsidRPr="00CF72B1">
        <w:rPr>
          <w:rFonts w:cstheme="minorHAnsi"/>
        </w:rPr>
        <w:t xml:space="preserve"> and her supervisors talk about her experience and support on the job.</w:t>
      </w:r>
    </w:p>
    <w:p w14:paraId="4D3CC97C" w14:textId="77777777" w:rsidR="00623C47" w:rsidRPr="0052236D" w:rsidRDefault="0084664F" w:rsidP="00C575C8">
      <w:pPr>
        <w:pStyle w:val="ListParagraph"/>
        <w:numPr>
          <w:ilvl w:val="1"/>
          <w:numId w:val="84"/>
        </w:numPr>
        <w:rPr>
          <w:rFonts w:cstheme="minorHAnsi"/>
        </w:rPr>
      </w:pPr>
      <w:hyperlink r:id="rId490" w:tgtFrame="_blank" w:history="1">
        <w:r w:rsidR="00623C47" w:rsidRPr="0052236D">
          <w:rPr>
            <w:rStyle w:val="Hyperlink"/>
            <w:rFonts w:cstheme="minorHAnsi"/>
            <w:b/>
            <w:bCs/>
          </w:rPr>
          <w:t>America's Heroes At Work: Veterans Hiring Toolkit</w:t>
        </w:r>
      </w:hyperlink>
    </w:p>
    <w:p w14:paraId="300A6C65" w14:textId="77777777" w:rsidR="00623C47" w:rsidRPr="0052236D" w:rsidRDefault="0084664F" w:rsidP="00C575C8">
      <w:pPr>
        <w:pStyle w:val="ListParagraph"/>
        <w:numPr>
          <w:ilvl w:val="1"/>
          <w:numId w:val="84"/>
        </w:numPr>
        <w:rPr>
          <w:rFonts w:cstheme="minorHAnsi"/>
        </w:rPr>
      </w:pPr>
      <w:hyperlink r:id="rId491" w:tgtFrame="_blank" w:history="1">
        <w:r w:rsidR="00623C47" w:rsidRPr="0052236D">
          <w:rPr>
            <w:rStyle w:val="Hyperlink"/>
            <w:rFonts w:cstheme="minorHAnsi"/>
            <w:b/>
            <w:bCs/>
          </w:rPr>
          <w:t>VARK: A Guide to Learning Styles</w:t>
        </w:r>
      </w:hyperlink>
    </w:p>
    <w:p w14:paraId="1AED2A12" w14:textId="77777777" w:rsidR="00623C47" w:rsidRPr="0052236D" w:rsidRDefault="0084664F" w:rsidP="00C575C8">
      <w:pPr>
        <w:pStyle w:val="ListParagraph"/>
        <w:numPr>
          <w:ilvl w:val="1"/>
          <w:numId w:val="84"/>
        </w:numPr>
        <w:rPr>
          <w:rFonts w:cstheme="minorHAnsi"/>
        </w:rPr>
      </w:pPr>
      <w:hyperlink r:id="rId492" w:tgtFrame="_blank" w:history="1">
        <w:r w:rsidR="00623C47" w:rsidRPr="0052236D">
          <w:rPr>
            <w:rStyle w:val="Hyperlink"/>
            <w:rFonts w:cstheme="minorHAnsi"/>
            <w:b/>
            <w:bCs/>
          </w:rPr>
          <w:t>Coffee Breaks and Birthday Cakes</w:t>
        </w:r>
      </w:hyperlink>
    </w:p>
    <w:p w14:paraId="1773C40A" w14:textId="77777777" w:rsidR="00623C47" w:rsidRPr="0052236D" w:rsidRDefault="00623C47" w:rsidP="00C575C8">
      <w:pPr>
        <w:pStyle w:val="ListParagraph"/>
        <w:numPr>
          <w:ilvl w:val="0"/>
          <w:numId w:val="84"/>
        </w:numPr>
        <w:ind w:left="360"/>
        <w:rPr>
          <w:rFonts w:cstheme="minorHAnsi"/>
          <w:b/>
          <w:bCs/>
        </w:rPr>
      </w:pPr>
      <w:r w:rsidRPr="0052236D">
        <w:rPr>
          <w:rFonts w:cstheme="minorHAnsi"/>
          <w:b/>
          <w:bCs/>
        </w:rPr>
        <w:t>Reasonable Accommodations</w:t>
      </w:r>
    </w:p>
    <w:p w14:paraId="4F3482C2" w14:textId="77777777" w:rsidR="00623C47" w:rsidRPr="0052236D" w:rsidRDefault="0084664F" w:rsidP="00C575C8">
      <w:pPr>
        <w:pStyle w:val="ListParagraph"/>
        <w:numPr>
          <w:ilvl w:val="1"/>
          <w:numId w:val="84"/>
        </w:numPr>
        <w:rPr>
          <w:rFonts w:cstheme="minorHAnsi"/>
        </w:rPr>
      </w:pPr>
      <w:hyperlink r:id="rId493" w:tgtFrame="_blank" w:history="1">
        <w:r w:rsidR="00623C47" w:rsidRPr="0052236D">
          <w:rPr>
            <w:rStyle w:val="Hyperlink"/>
            <w:rFonts w:cstheme="minorHAnsi"/>
            <w:b/>
            <w:bCs/>
          </w:rPr>
          <w:t>Reasonable Accommodations Process Guide for VR Counselors [PDF]</w:t>
        </w:r>
      </w:hyperlink>
    </w:p>
    <w:p w14:paraId="2C891F20" w14:textId="77777777" w:rsidR="00623C47" w:rsidRPr="0052236D" w:rsidRDefault="0084664F" w:rsidP="00C575C8">
      <w:pPr>
        <w:pStyle w:val="ListParagraph"/>
        <w:numPr>
          <w:ilvl w:val="1"/>
          <w:numId w:val="84"/>
        </w:numPr>
        <w:rPr>
          <w:rFonts w:cstheme="minorHAnsi"/>
        </w:rPr>
      </w:pPr>
      <w:hyperlink r:id="rId494" w:tgtFrame="_blank" w:history="1">
        <w:r w:rsidR="00623C47" w:rsidRPr="0052236D">
          <w:rPr>
            <w:rStyle w:val="Hyperlink"/>
            <w:rFonts w:cstheme="minorHAnsi"/>
            <w:b/>
            <w:bCs/>
          </w:rPr>
          <w:t>Employers' Practical Guide to Reasonable Accommodation Under the Americans with Disabilities Act [PDF]</w:t>
        </w:r>
      </w:hyperlink>
    </w:p>
    <w:p w14:paraId="237BCF84" w14:textId="77777777" w:rsidR="00623C47" w:rsidRPr="0052236D" w:rsidRDefault="0084664F" w:rsidP="00C575C8">
      <w:pPr>
        <w:pStyle w:val="ListParagraph"/>
        <w:numPr>
          <w:ilvl w:val="1"/>
          <w:numId w:val="84"/>
        </w:numPr>
        <w:rPr>
          <w:rFonts w:cstheme="minorHAnsi"/>
        </w:rPr>
      </w:pPr>
      <w:hyperlink r:id="rId495" w:tgtFrame="_blank" w:history="1">
        <w:r w:rsidR="00623C47" w:rsidRPr="0052236D">
          <w:rPr>
            <w:rStyle w:val="Hyperlink"/>
            <w:rFonts w:cstheme="minorHAnsi"/>
            <w:b/>
            <w:bCs/>
          </w:rPr>
          <w:t>Service Animals As An Employment Accommodation [PDF]</w:t>
        </w:r>
      </w:hyperlink>
    </w:p>
    <w:p w14:paraId="5FD4B9F7" w14:textId="77777777" w:rsidR="00623C47" w:rsidRPr="0052236D" w:rsidRDefault="0084664F" w:rsidP="00C575C8">
      <w:pPr>
        <w:pStyle w:val="ListParagraph"/>
        <w:numPr>
          <w:ilvl w:val="1"/>
          <w:numId w:val="84"/>
        </w:numPr>
        <w:rPr>
          <w:rFonts w:cstheme="minorHAnsi"/>
        </w:rPr>
      </w:pPr>
      <w:hyperlink r:id="rId496" w:tgtFrame="_blank" w:history="1">
        <w:r w:rsidR="00623C47" w:rsidRPr="0052236D">
          <w:rPr>
            <w:rStyle w:val="Hyperlink"/>
            <w:rFonts w:cstheme="minorHAnsi"/>
            <w:b/>
            <w:bCs/>
          </w:rPr>
          <w:t>Workplace Accommodations: Low Cost, High Impact</w:t>
        </w:r>
      </w:hyperlink>
    </w:p>
    <w:p w14:paraId="7EEF2FB7" w14:textId="77777777" w:rsidR="00623C47" w:rsidRPr="0052236D" w:rsidRDefault="0084664F" w:rsidP="00C575C8">
      <w:pPr>
        <w:pStyle w:val="ListParagraph"/>
        <w:numPr>
          <w:ilvl w:val="1"/>
          <w:numId w:val="84"/>
        </w:numPr>
        <w:rPr>
          <w:rFonts w:cstheme="minorHAnsi"/>
        </w:rPr>
      </w:pPr>
      <w:hyperlink r:id="rId497" w:tgtFrame="_blank" w:history="1">
        <w:r w:rsidR="00623C47" w:rsidRPr="0052236D">
          <w:rPr>
            <w:rStyle w:val="Hyperlink"/>
            <w:rFonts w:cstheme="minorHAnsi"/>
            <w:b/>
            <w:bCs/>
          </w:rPr>
          <w:t>Small Employers and Reasonable Accommodations</w:t>
        </w:r>
      </w:hyperlink>
    </w:p>
    <w:p w14:paraId="39066A67" w14:textId="77777777" w:rsidR="00623C47" w:rsidRPr="0052236D" w:rsidRDefault="0084664F" w:rsidP="00C575C8">
      <w:pPr>
        <w:pStyle w:val="ListParagraph"/>
        <w:numPr>
          <w:ilvl w:val="1"/>
          <w:numId w:val="84"/>
        </w:numPr>
        <w:rPr>
          <w:rFonts w:cstheme="minorHAnsi"/>
        </w:rPr>
      </w:pPr>
      <w:hyperlink r:id="rId498" w:tgtFrame="_blank" w:history="1">
        <w:r w:rsidR="00623C47" w:rsidRPr="0052236D">
          <w:rPr>
            <w:rStyle w:val="Hyperlink"/>
            <w:rFonts w:cstheme="minorHAnsi"/>
            <w:b/>
            <w:bCs/>
          </w:rPr>
          <w:t>Enforcement Guidance on Reasonable Accommodation and Undue Hardship Under the ADA</w:t>
        </w:r>
      </w:hyperlink>
    </w:p>
    <w:p w14:paraId="462CD30D" w14:textId="77777777" w:rsidR="00623C47" w:rsidRPr="0052236D" w:rsidRDefault="0084664F" w:rsidP="00C575C8">
      <w:pPr>
        <w:pStyle w:val="ListParagraph"/>
        <w:numPr>
          <w:ilvl w:val="1"/>
          <w:numId w:val="84"/>
        </w:numPr>
        <w:rPr>
          <w:rFonts w:cstheme="minorHAnsi"/>
        </w:rPr>
      </w:pPr>
      <w:hyperlink r:id="rId499" w:tgtFrame="_blank" w:history="1">
        <w:r w:rsidR="00623C47" w:rsidRPr="0052236D">
          <w:rPr>
            <w:rStyle w:val="Hyperlink"/>
            <w:rFonts w:cstheme="minorHAnsi"/>
            <w:b/>
            <w:bCs/>
          </w:rPr>
          <w:t>Providing Reasonable Accommodation to Employees with Post Traumatic Stress Disorder</w:t>
        </w:r>
      </w:hyperlink>
    </w:p>
    <w:p w14:paraId="40A96733" w14:textId="77777777" w:rsidR="00623C47" w:rsidRPr="0052236D" w:rsidRDefault="0084664F" w:rsidP="00C575C8">
      <w:pPr>
        <w:pStyle w:val="ListParagraph"/>
        <w:numPr>
          <w:ilvl w:val="1"/>
          <w:numId w:val="84"/>
        </w:numPr>
        <w:rPr>
          <w:rFonts w:cstheme="minorHAnsi"/>
        </w:rPr>
      </w:pPr>
      <w:hyperlink r:id="rId500" w:tgtFrame="_blank" w:history="1">
        <w:r w:rsidR="00623C47" w:rsidRPr="0052236D">
          <w:rPr>
            <w:rStyle w:val="Hyperlink"/>
            <w:rFonts w:cstheme="minorHAnsi"/>
            <w:b/>
            <w:bCs/>
          </w:rPr>
          <w:t>Job Accommodations for Persons with Mental Health Conditions</w:t>
        </w:r>
      </w:hyperlink>
    </w:p>
    <w:p w14:paraId="3DE8E253" w14:textId="77777777" w:rsidR="00623C47" w:rsidRPr="0052236D" w:rsidRDefault="0084664F" w:rsidP="00C575C8">
      <w:pPr>
        <w:pStyle w:val="ListParagraph"/>
        <w:numPr>
          <w:ilvl w:val="1"/>
          <w:numId w:val="84"/>
        </w:numPr>
        <w:rPr>
          <w:rFonts w:cstheme="minorHAnsi"/>
        </w:rPr>
      </w:pPr>
      <w:hyperlink r:id="rId501" w:tgtFrame="_blank" w:history="1">
        <w:r w:rsidR="00623C47" w:rsidRPr="0052236D">
          <w:rPr>
            <w:rStyle w:val="Hyperlink"/>
            <w:rFonts w:cstheme="minorHAnsi"/>
            <w:b/>
            <w:bCs/>
          </w:rPr>
          <w:t>AbleData</w:t>
        </w:r>
      </w:hyperlink>
    </w:p>
    <w:p w14:paraId="2A3F58FB" w14:textId="77777777" w:rsidR="00623C47" w:rsidRPr="0052236D" w:rsidRDefault="0084664F" w:rsidP="00C575C8">
      <w:pPr>
        <w:pStyle w:val="ListParagraph"/>
        <w:numPr>
          <w:ilvl w:val="1"/>
          <w:numId w:val="84"/>
        </w:numPr>
        <w:rPr>
          <w:rFonts w:cstheme="minorHAnsi"/>
        </w:rPr>
      </w:pPr>
      <w:hyperlink r:id="rId502" w:tgtFrame="_blank" w:history="1">
        <w:r w:rsidR="00623C47" w:rsidRPr="0052236D">
          <w:rPr>
            <w:rStyle w:val="Hyperlink"/>
            <w:rFonts w:cstheme="minorHAnsi"/>
            <w:b/>
            <w:bCs/>
          </w:rPr>
          <w:t>Partnership on Employment &amp; Accessible Technology (PEAT)</w:t>
        </w:r>
      </w:hyperlink>
    </w:p>
    <w:p w14:paraId="5B454BF4" w14:textId="77777777" w:rsidR="00623C47" w:rsidRPr="0052236D" w:rsidRDefault="00623C47" w:rsidP="00C575C8">
      <w:pPr>
        <w:pStyle w:val="ListParagraph"/>
        <w:numPr>
          <w:ilvl w:val="0"/>
          <w:numId w:val="84"/>
        </w:numPr>
        <w:ind w:left="360"/>
        <w:rPr>
          <w:rFonts w:cstheme="minorHAnsi"/>
          <w:b/>
          <w:bCs/>
        </w:rPr>
      </w:pPr>
      <w:r w:rsidRPr="0052236D">
        <w:rPr>
          <w:rFonts w:cstheme="minorHAnsi"/>
          <w:b/>
          <w:bCs/>
        </w:rPr>
        <w:t>Labor Market and ADA Compliance</w:t>
      </w:r>
    </w:p>
    <w:p w14:paraId="0C7FC761" w14:textId="77777777" w:rsidR="00623C47" w:rsidRPr="0052236D" w:rsidRDefault="0084664F" w:rsidP="00C575C8">
      <w:pPr>
        <w:pStyle w:val="ListParagraph"/>
        <w:numPr>
          <w:ilvl w:val="1"/>
          <w:numId w:val="84"/>
        </w:numPr>
        <w:rPr>
          <w:rFonts w:cstheme="minorHAnsi"/>
        </w:rPr>
      </w:pPr>
      <w:hyperlink r:id="rId503" w:tgtFrame="_blank" w:history="1">
        <w:r w:rsidR="00623C47" w:rsidRPr="0052236D">
          <w:rPr>
            <w:rStyle w:val="Hyperlink"/>
            <w:rFonts w:cstheme="minorHAnsi"/>
            <w:b/>
            <w:bCs/>
          </w:rPr>
          <w:t>America's Career InfoNet</w:t>
        </w:r>
      </w:hyperlink>
    </w:p>
    <w:p w14:paraId="1D1091C2" w14:textId="77777777" w:rsidR="00623C47" w:rsidRPr="0052236D" w:rsidRDefault="0084664F" w:rsidP="00C575C8">
      <w:pPr>
        <w:pStyle w:val="ListParagraph"/>
        <w:numPr>
          <w:ilvl w:val="1"/>
          <w:numId w:val="84"/>
        </w:numPr>
        <w:rPr>
          <w:rFonts w:cstheme="minorHAnsi"/>
        </w:rPr>
      </w:pPr>
      <w:hyperlink r:id="rId504" w:tgtFrame="_blank" w:history="1">
        <w:r w:rsidR="00623C47" w:rsidRPr="0052236D">
          <w:rPr>
            <w:rStyle w:val="Hyperlink"/>
            <w:rFonts w:cstheme="minorHAnsi"/>
            <w:b/>
            <w:bCs/>
          </w:rPr>
          <w:t>The impact of business size on employer ADA response. Rehabilitation Counseling Bulletin, 49(4), 194-206</w:t>
        </w:r>
      </w:hyperlink>
    </w:p>
    <w:p w14:paraId="1FB477D3" w14:textId="77777777" w:rsidR="00623C47" w:rsidRPr="0052236D" w:rsidRDefault="0084664F" w:rsidP="00C575C8">
      <w:pPr>
        <w:pStyle w:val="ListParagraph"/>
        <w:numPr>
          <w:ilvl w:val="1"/>
          <w:numId w:val="84"/>
        </w:numPr>
        <w:rPr>
          <w:rFonts w:cstheme="minorHAnsi"/>
        </w:rPr>
      </w:pPr>
      <w:hyperlink r:id="rId505" w:tgtFrame="_blank" w:history="1">
        <w:r w:rsidR="00623C47" w:rsidRPr="0052236D">
          <w:rPr>
            <w:rStyle w:val="Hyperlink"/>
            <w:rFonts w:cstheme="minorHAnsi"/>
            <w:b/>
            <w:bCs/>
          </w:rPr>
          <w:t>ADA Training for VR Agency Staff [DOCX]</w:t>
        </w:r>
      </w:hyperlink>
    </w:p>
    <w:bookmarkStart w:id="182" w:name="Culture_of_Inclusion_Roadmap"/>
    <w:p w14:paraId="6965A3E7" w14:textId="77777777" w:rsidR="00623C47" w:rsidRPr="0052236D" w:rsidRDefault="00623C47" w:rsidP="00C575C8">
      <w:pPr>
        <w:pStyle w:val="ListParagraph"/>
        <w:numPr>
          <w:ilvl w:val="1"/>
          <w:numId w:val="84"/>
        </w:numPr>
        <w:rPr>
          <w:rFonts w:cstheme="minorHAnsi"/>
        </w:rPr>
      </w:pPr>
      <w:r w:rsidRPr="0052236D">
        <w:rPr>
          <w:rFonts w:cstheme="minorHAnsi"/>
          <w:b/>
          <w:bCs/>
        </w:rPr>
        <w:fldChar w:fldCharType="begin"/>
      </w:r>
      <w:r w:rsidRPr="0052236D">
        <w:rPr>
          <w:rFonts w:cstheme="minorHAnsi"/>
          <w:b/>
          <w:bCs/>
        </w:rPr>
        <w:instrText xml:space="preserve"> HYPERLINK "http://wintac-s3.s3-us-west-2.amazonaws.com/topic-areas/ta06_BesinessEngagement/additional_resources/Culture_of_Inclusion_Roadmap.pdf" \t "_blank" </w:instrText>
      </w:r>
      <w:r w:rsidRPr="0052236D">
        <w:rPr>
          <w:rFonts w:cstheme="minorHAnsi"/>
          <w:b/>
          <w:bCs/>
        </w:rPr>
        <w:fldChar w:fldCharType="separate"/>
      </w:r>
      <w:r w:rsidRPr="0052236D">
        <w:rPr>
          <w:rStyle w:val="Hyperlink"/>
          <w:rFonts w:cstheme="minorHAnsi"/>
          <w:b/>
          <w:bCs/>
        </w:rPr>
        <w:t>Culture of Inclusion Roadmap [PDF]</w:t>
      </w:r>
      <w:r w:rsidRPr="0052236D">
        <w:rPr>
          <w:rFonts w:cstheme="minorHAnsi"/>
        </w:rPr>
        <w:fldChar w:fldCharType="end"/>
      </w:r>
      <w:bookmarkEnd w:id="182"/>
    </w:p>
    <w:p w14:paraId="7B4DD557" w14:textId="77777777" w:rsidR="00623C47" w:rsidRPr="00896269" w:rsidRDefault="00623C47" w:rsidP="00623C47"/>
    <w:p w14:paraId="73FE778B" w14:textId="77777777" w:rsidR="00623C47" w:rsidRDefault="00623C47" w:rsidP="00623C47">
      <w:pPr>
        <w:rPr>
          <w:rFonts w:eastAsia="Times New Roman" w:cstheme="minorHAnsi"/>
          <w:b/>
          <w:bCs/>
        </w:rPr>
      </w:pPr>
      <w:r>
        <w:rPr>
          <w:rFonts w:cstheme="minorHAnsi"/>
          <w:b/>
          <w:bCs/>
        </w:rPr>
        <w:br w:type="page"/>
      </w:r>
    </w:p>
    <w:p w14:paraId="043D02F7" w14:textId="1E61E87E" w:rsidR="00623C47" w:rsidRPr="004B327C" w:rsidRDefault="00E15E96" w:rsidP="00623C47">
      <w:pPr>
        <w:pStyle w:val="Heading2"/>
        <w:rPr>
          <w:szCs w:val="36"/>
        </w:rPr>
      </w:pPr>
      <w:bookmarkStart w:id="183" w:name="_Toc41940288"/>
      <w:r>
        <w:rPr>
          <w:szCs w:val="36"/>
        </w:rPr>
        <w:lastRenderedPageBreak/>
        <w:t>Business Enagement</w:t>
      </w:r>
      <w:r w:rsidRPr="004B327C">
        <w:rPr>
          <w:szCs w:val="36"/>
        </w:rPr>
        <w:t xml:space="preserve"> I</w:t>
      </w:r>
      <w:r>
        <w:rPr>
          <w:szCs w:val="36"/>
        </w:rPr>
        <w:t>TA</w:t>
      </w:r>
      <w:r w:rsidRPr="004B327C">
        <w:rPr>
          <w:szCs w:val="36"/>
        </w:rPr>
        <w:t>s: Progress Narrative</w:t>
      </w:r>
      <w:bookmarkEnd w:id="183"/>
    </w:p>
    <w:p w14:paraId="33A76DC3" w14:textId="77777777" w:rsidR="00623C47" w:rsidRPr="00623C47" w:rsidRDefault="00623C47" w:rsidP="00623C47">
      <w:pPr>
        <w:pStyle w:val="Heading3"/>
      </w:pPr>
      <w:bookmarkStart w:id="184" w:name="_Toc41940289"/>
      <w:r w:rsidRPr="00623C47">
        <w:t>National Lens</w:t>
      </w:r>
      <w:bookmarkEnd w:id="184"/>
    </w:p>
    <w:p w14:paraId="392A95E0" w14:textId="77777777" w:rsidR="00623C47" w:rsidRPr="00035CD7" w:rsidRDefault="00623C47" w:rsidP="00623C47">
      <w:pPr>
        <w:ind w:firstLine="360"/>
      </w:pPr>
      <w:r>
        <w:t>Business engagement (BE) involves serving businesses/employers in order to serve VR clients and this “dual-customer” approach is encouraged by WIOA as an effective strategy for improving competitive, integrated employment outcomes and building relationships that create employment pipelines.  As noted in the BE TA Team’s overview on the WINTAC webpage, these relationships can be “transactional” or “strategic,” with the latter offering the maximum impact.  Indeed, mandates in the Rehabilitation Act formally support the strategic approach by requiring at least four of fifteen mmbers of State Rehabilitation Councils to be employers and requiring articulation of how employers will be engaged by the Workforce Development System in the Unified State Plan (CSAVR, 2016).  The commitment to business engagement occurs at all levels, with RSA engaging employers through roundtable discussions in 2016 (CSAVR).  Despite these mandates, and the engagement of federal funders on this issue, a 2018 GAO report (18-577) found that VR agencies still lacked adequate information about when and how they could use VR funds to engage with employers.  WINTAC’s BE focus is thus timely and still relevant.</w:t>
      </w:r>
    </w:p>
    <w:p w14:paraId="31C48985" w14:textId="77777777" w:rsidR="00623C47" w:rsidRPr="00623C47" w:rsidRDefault="00623C47" w:rsidP="00623C47">
      <w:pPr>
        <w:pStyle w:val="Heading3"/>
        <w:rPr>
          <w:rStyle w:val="apple-converted-space"/>
        </w:rPr>
      </w:pPr>
      <w:bookmarkStart w:id="185" w:name="_Toc41940290"/>
      <w:r w:rsidRPr="00623C47">
        <w:rPr>
          <w:rStyle w:val="apple-converted-space"/>
        </w:rPr>
        <w:t>WINTAC Lens</w:t>
      </w:r>
      <w:bookmarkEnd w:id="185"/>
    </w:p>
    <w:p w14:paraId="5BDC704F" w14:textId="77777777" w:rsidR="00623C47" w:rsidRDefault="00623C47" w:rsidP="00623C47">
      <w:pPr>
        <w:tabs>
          <w:tab w:val="left" w:pos="360"/>
        </w:tabs>
      </w:pPr>
      <w:r>
        <w:t>Business Engagement</w:t>
      </w:r>
      <w:r w:rsidRPr="00035CD7">
        <w:t xml:space="preserve"> is one of WINTAC’s </w:t>
      </w:r>
      <w:r>
        <w:t>newer topic areas (beginning in April 2018); at the end of Year 4 there were only four</w:t>
      </w:r>
      <w:r w:rsidRPr="00035CD7">
        <w:t xml:space="preserve"> formal intensive technical assistance agreements (ITAAs) in place</w:t>
      </w:r>
      <w:r>
        <w:t xml:space="preserve"> but in the 2 quarters since 4 more have been added</w:t>
      </w:r>
      <w:r w:rsidRPr="00035CD7">
        <w:t xml:space="preserve">.  These ITAAs draw from a menu of activities identified in the logic model, which each have an associated output and contribute to a set of defined short-term outcomes expected to be achieved within this funding cycle.  </w:t>
      </w:r>
    </w:p>
    <w:p w14:paraId="32CD5AFF" w14:textId="7F8B2911" w:rsidR="00623C47" w:rsidRPr="00032299" w:rsidRDefault="00623C47" w:rsidP="00623C47">
      <w:pPr>
        <w:tabs>
          <w:tab w:val="left" w:pos="360"/>
        </w:tabs>
        <w:ind w:firstLine="810"/>
      </w:pPr>
      <w:r w:rsidRPr="00952A66">
        <w:rPr>
          <w:b/>
          <w:bCs/>
          <w:i/>
          <w:iCs/>
          <w:szCs w:val="14"/>
          <w:u w:val="single"/>
        </w:rPr>
        <w:t>TA Progress: Activities and Outputs.</w:t>
      </w:r>
      <w:r w:rsidRPr="00952A66">
        <w:rPr>
          <w:szCs w:val="14"/>
        </w:rPr>
        <w:t xml:space="preserve"> Across the topic area of Business Engagement, progress for the majority of activities (70%) are 50% or less complete (first dashboard).  Across the 8 ITAAs and 27 activities, over half of activities are complete (37%) or moving to completion (15%) for a total of 51% of activities nearly complete.  At the end of Year 4, this total was at just a third, reflecting strong momentum.  Below that average activity progress bar, using “thermometer charts,” the progress rate is broken out by specific activity with the linked outputs’ progress rates provided side-by-side.  For the most part, we see a one-to-one correspondence between the rate of completion for an activity and its associated output.  Activity 1, assessing effectiveness of current BE strategies was selected by only </w:t>
      </w:r>
      <w:r w:rsidR="00073538">
        <w:rPr>
          <w:szCs w:val="14"/>
        </w:rPr>
        <w:t xml:space="preserve">one </w:t>
      </w:r>
      <w:r w:rsidRPr="00952A66">
        <w:rPr>
          <w:szCs w:val="14"/>
        </w:rPr>
        <w:t>SVRA for their ITAA and it is complete.  Activities 2 and 3 have been selected by 5 SVRAs each and are the most complete at 60% and 50% respectively; corresponding to the development of standard operating protocols for business engagement and development of a tracking tool that records information on employer service effectiveness.  The value of such tools is evident in the next section reporting on outcomes and the large table in the outcomes dashboard above, where we see three SVRAs that have been able to provide reports of measurable outcomes achievement.</w:t>
      </w:r>
    </w:p>
    <w:p w14:paraId="0B28A961" w14:textId="34F0DE04" w:rsidR="00623C47" w:rsidRDefault="00623C47" w:rsidP="00623C47">
      <w:r w:rsidRPr="006F0567">
        <w:rPr>
          <w:b/>
          <w:bCs/>
          <w:i/>
          <w:iCs/>
          <w:u w:val="single"/>
        </w:rPr>
        <w:t>TA Progress: Outcomes.</w:t>
      </w:r>
      <w:r>
        <w:t xml:space="preserve">  O</w:t>
      </w:r>
      <w:r w:rsidRPr="00952A66">
        <w:t>utcomes</w:t>
      </w:r>
      <w:r>
        <w:t xml:space="preserve"> have</w:t>
      </w:r>
      <w:r w:rsidRPr="00952A66">
        <w:t xml:space="preserve"> increased over the past two quarters since the end of Year 4, from 7% to 11% overall.  Ten percent of activities are completed or nearly complete, up from 6% at the end of the year.  </w:t>
      </w:r>
      <w:r>
        <w:t>Over the past quarter, the Evaluation Team worked with all TA Teams to develop targeted lists of measurable outcomes more specific than those that may have been originally articulated in ITAAs to ensure representation of all the changes created by the TA Team and SVRAs</w:t>
      </w:r>
      <w:r w:rsidR="00073538">
        <w:t>’</w:t>
      </w:r>
      <w:r>
        <w:t xml:space="preserve"> </w:t>
      </w:r>
      <w:r>
        <w:lastRenderedPageBreak/>
        <w:t xml:space="preserve">collaborations on ITAAs.  Within just this one quarter, the BE TA Team was able to collect data from three separate agencies regarding </w:t>
      </w:r>
      <w:r w:rsidRPr="00952A66">
        <w:t xml:space="preserve">changes in SVRA staff capacity, services to business, and services to consumers related to the engagement of businesses.  </w:t>
      </w:r>
      <w:r>
        <w:t>Indeed, the TA Team anticipat</w:t>
      </w:r>
      <w:r w:rsidR="00073538">
        <w:t>e</w:t>
      </w:r>
      <w:r>
        <w:t>d those SVRAs implementing the “Progressive Employment” model would be able to provide this information as it is incorporated already.  While early yet to even anticipate significant outcomes, given BE TA began in Spring of 2018 and 4 ITAAs were added just in the past two quarters, we still see i</w:t>
      </w:r>
      <w:r w:rsidRPr="00952A66">
        <w:t>n many instances</w:t>
      </w:r>
      <w:r>
        <w:t xml:space="preserve"> </w:t>
      </w:r>
      <w:r w:rsidRPr="00952A66">
        <w:t xml:space="preserve">increases from pre-TA or baseline levels on the metrics as well as targets being met or exceeded.  </w:t>
      </w:r>
      <w:r>
        <w:t>In the case of one agency, the number of dedicated business engagement staff didn’t change but a staff member that was promoted out of the position was actively and purposefully replaced and the BE TA Team is now actively working on performance standards for the role.</w:t>
      </w:r>
    </w:p>
    <w:p w14:paraId="31F69F51" w14:textId="77777777" w:rsidR="00623C47" w:rsidRDefault="00623C47" w:rsidP="00623C47">
      <w:r w:rsidRPr="00952A66">
        <w:t xml:space="preserve">Evaluation recommendations have </w:t>
      </w:r>
      <w:r>
        <w:t xml:space="preserve">previously </w:t>
      </w:r>
      <w:r w:rsidRPr="00952A66">
        <w:t>suggested working with ITAA states to create measurable outcomes and to assess both baseline levels and target levels and with these SVRAs we see that being done successfully and contextualizing the present levels so we can understand whether (1) current levels of outcome measures represent improvements and (2) TA provided has been effective in meeting needs and expectations of SVRAs.</w:t>
      </w:r>
    </w:p>
    <w:p w14:paraId="5D4ABF4A" w14:textId="77777777" w:rsidR="00623C47" w:rsidRDefault="00623C47" w:rsidP="00623C47">
      <w:r>
        <w:t>For SVRAs unable to provide this information, it is instructive to understand that and continue to build tools and models that may work for them; already ongoing conversations with SVRAs address the needs around shared data systems and organized approaches to business engagement.</w:t>
      </w:r>
    </w:p>
    <w:p w14:paraId="1799640F" w14:textId="77777777" w:rsidR="00623C47" w:rsidRDefault="00623C47" w:rsidP="00623C47">
      <w:r w:rsidRPr="00743A56">
        <w:rPr>
          <w:b/>
          <w:bCs/>
          <w:i/>
          <w:iCs/>
          <w:u w:val="single"/>
        </w:rPr>
        <w:t>Covid-19 Impacts.</w:t>
      </w:r>
      <w:r w:rsidRPr="002806E0">
        <w:t xml:space="preserve">  </w:t>
      </w:r>
      <w:r>
        <w:t>The BE TA Team is supporting the larger WINTAC effort to help programs as they deliver services remotely in all WINTAC areas.  All BE activity that can continue this way is ongoing.</w:t>
      </w:r>
    </w:p>
    <w:p w14:paraId="72A055AF" w14:textId="687892E7" w:rsidR="00623C47" w:rsidRDefault="00623C47" w:rsidP="00623C47">
      <w:r>
        <w:rPr>
          <w:b/>
          <w:bCs/>
          <w:i/>
          <w:iCs/>
          <w:u w:val="single"/>
        </w:rPr>
        <w:t>Sustainability.</w:t>
      </w:r>
      <w:r>
        <w:t xml:space="preserve">  Much of the work of the BE Team has been focused on short-term outcomes given the shortened timeframe for them to work with SVRAs.  These outcomes are being achieved and establish staff capacity that can continue to provide appropriate services.  SVRAs adopting standard operating protocols and tracking tools regarding employer services will have infrastructure in place to manage staff turnover and maintain the approach to service delivery being established with a mea</w:t>
      </w:r>
      <w:r w:rsidR="00073538">
        <w:t>n</w:t>
      </w:r>
      <w:r>
        <w:t>s to track, report, and evaluate their efforts – establishing systems change.</w:t>
      </w:r>
    </w:p>
    <w:p w14:paraId="0C040A4C" w14:textId="77777777" w:rsidR="00623C47" w:rsidRPr="003A47FA" w:rsidRDefault="00623C47" w:rsidP="00623C47">
      <w:pPr>
        <w:rPr>
          <w:rFonts w:cstheme="minorHAnsi"/>
          <w:b/>
          <w:bCs/>
          <w:i/>
          <w:iCs/>
          <w:color w:val="C00000"/>
        </w:rPr>
      </w:pPr>
      <w:r w:rsidRPr="003A47FA">
        <w:rPr>
          <w:rFonts w:cstheme="minorHAnsi"/>
          <w:b/>
          <w:bCs/>
          <w:i/>
          <w:iCs/>
          <w:color w:val="C00000"/>
        </w:rPr>
        <w:t>“Challenges Overcome,” “Changes Made,” and “Evaluation Recommendations” will be updated as part of the Year 5 Annual Evaluation Report.  But important findings presented in the Year 4 Annual Evaluation Report (2 quarters ago) are reproduced below for ease of reference and context as to the significant and valuable work that has been done by the Pre-ETS TA Team.</w:t>
      </w:r>
    </w:p>
    <w:p w14:paraId="120BB27F" w14:textId="1331A675" w:rsidR="00623C47" w:rsidRDefault="00623C47" w:rsidP="00623C47">
      <w:pPr>
        <w:tabs>
          <w:tab w:val="left" w:pos="360"/>
        </w:tabs>
        <w:rPr>
          <w:szCs w:val="14"/>
        </w:rPr>
      </w:pPr>
      <w:r w:rsidRPr="00662F12">
        <w:rPr>
          <w:b/>
          <w:bCs/>
          <w:i/>
          <w:iCs/>
          <w:szCs w:val="14"/>
          <w:u w:val="single"/>
        </w:rPr>
        <w:t>Challenges Overcome.</w:t>
      </w:r>
      <w:r>
        <w:rPr>
          <w:i/>
          <w:iCs/>
          <w:szCs w:val="14"/>
        </w:rPr>
        <w:t xml:space="preserve"> </w:t>
      </w:r>
      <w:r w:rsidRPr="00662F12">
        <w:rPr>
          <w:szCs w:val="14"/>
        </w:rPr>
        <w:t xml:space="preserve"> </w:t>
      </w:r>
      <w:r>
        <w:rPr>
          <w:szCs w:val="14"/>
        </w:rPr>
        <w:t xml:space="preserve">WIOA’s mandates make clear that tracking data on performance is critical to improving it.  The BE TA team narratives indicate that none of the agencies receiving intensive (and significant targeted) TA from them collected BE data prior to their interventions.  Now five of the agencies are working with them to implement a system to do so.  </w:t>
      </w:r>
    </w:p>
    <w:p w14:paraId="65CB5E0B" w14:textId="72CB9F2E" w:rsidR="00623C47" w:rsidRPr="00D43F44" w:rsidRDefault="00623C47" w:rsidP="00623C47">
      <w:pPr>
        <w:tabs>
          <w:tab w:val="left" w:pos="360"/>
        </w:tabs>
        <w:rPr>
          <w:rFonts w:cstheme="minorHAnsi"/>
        </w:rPr>
      </w:pPr>
      <w:r>
        <w:rPr>
          <w:szCs w:val="14"/>
        </w:rPr>
        <w:t>Other challenges plaguing the agencies are those that are repeated across chapters and team reports: significant staff and leadership turnover and delays in filling open positions rendered agencies’ human capacity low.  Coupled with the deadlines for WIOA mandates on other issues (e.g., Pre-ETS and CPMs) the low agency bandwidth to attend to non-urgent/non-deadline activities resulted</w:t>
      </w:r>
      <w:r w:rsidRPr="00D43F44">
        <w:rPr>
          <w:rFonts w:cstheme="minorHAnsi"/>
        </w:rPr>
        <w:t xml:space="preserve"> </w:t>
      </w:r>
      <w:r>
        <w:rPr>
          <w:rFonts w:cstheme="minorHAnsi"/>
        </w:rPr>
        <w:t xml:space="preserve">in slow progress and BE activities often being put on hold.  Still, agencies working with the BE TA team found solutions to work around these challenges, leveraging the power of collaboration with state partners in </w:t>
      </w:r>
      <w:r>
        <w:rPr>
          <w:rFonts w:cstheme="minorHAnsi"/>
        </w:rPr>
        <w:lastRenderedPageBreak/>
        <w:t>business-oriented events.  Ultimately, in five agencies, the BE TA Team supported five agencies in hiring and onboarding new staff dedicated to business engagement roles – building capacity and making system changes to these agencies.</w:t>
      </w:r>
      <w:r w:rsidRPr="00D43F44">
        <w:rPr>
          <w:rFonts w:cstheme="minorHAnsi"/>
        </w:rPr>
        <w:t xml:space="preserve"> </w:t>
      </w:r>
    </w:p>
    <w:p w14:paraId="45E3B6C5" w14:textId="13733463" w:rsidR="00623C47" w:rsidRPr="00D43F44" w:rsidRDefault="00623C47" w:rsidP="00623C47">
      <w:pPr>
        <w:tabs>
          <w:tab w:val="left" w:pos="360"/>
        </w:tabs>
        <w:rPr>
          <w:rFonts w:cstheme="minorHAnsi"/>
        </w:rPr>
      </w:pPr>
      <w:r>
        <w:rPr>
          <w:rFonts w:cstheme="minorHAnsi"/>
          <w:b/>
          <w:bCs/>
          <w:i/>
          <w:iCs/>
          <w:u w:val="single"/>
        </w:rPr>
        <w:t>Changes Made</w:t>
      </w:r>
      <w:r w:rsidRPr="00D43F44">
        <w:rPr>
          <w:rFonts w:cstheme="minorHAnsi"/>
          <w:i/>
          <w:iCs/>
        </w:rPr>
        <w:t>.</w:t>
      </w:r>
      <w:r w:rsidRPr="00AD7B12">
        <w:rPr>
          <w:rFonts w:cstheme="minorHAnsi"/>
        </w:rPr>
        <w:t xml:space="preserve">  </w:t>
      </w:r>
      <w:r>
        <w:rPr>
          <w:rFonts w:cstheme="minorHAnsi"/>
        </w:rPr>
        <w:t>Because of the short time frame during which BE ITAAs have been in place, it is not expected yet that outcomes will have been attained.  As noted above, many of the agencies whose ITAAs include BE have activities related to data tracking.  As such, it Is anticipated in the future that agency and client outcomes (systems changes and impacts) will be able to be easily reported as they occur.  In the interim, states are beginning to embark upon internal systems changes.  A change in knowledge is one of the first short-term outcomes often articulated in a logic model.  Change the knowledge, change the attitude, change the behavior – and accordingly, change the results.  The BE Team’s efforts are already yielding success with the first element; to wit, pre- and post-tests demonstrate that agency staff have begun to improve their understanding of business engagement strategies, learning effective communication strategies such as “business” speak and elevator pitches, and learning about initial outreach and follow-up strategies.  Despite challenges with turnover and transformations of agencies by leadership at the administrative or state level, concrete steps are in place to hire and/or train dedicated personnel whose focus is on business engagement.  The important foundational work is being done and future longer-term evaluations should be able to document measurable changes in interactions with businesses, and ultimately, successful client outcomes.  In addition, with some of the agencies reaching out to - and creating partnerships with - the Workforce Systems in their states, collaboration is already resulting in meaningful systems change as encouraged by WIOA and its included focus on Workforce Integration.</w:t>
      </w:r>
    </w:p>
    <w:p w14:paraId="4BE77730" w14:textId="45AD65DF" w:rsidR="00623C47" w:rsidRPr="001F752C" w:rsidRDefault="00623C47" w:rsidP="00623C47">
      <w:pPr>
        <w:tabs>
          <w:tab w:val="left" w:pos="360"/>
        </w:tabs>
        <w:rPr>
          <w:rFonts w:cstheme="minorHAnsi"/>
        </w:rPr>
      </w:pPr>
      <w:r w:rsidRPr="001F752C">
        <w:rPr>
          <w:rFonts w:cstheme="minorHAnsi"/>
          <w:b/>
          <w:bCs/>
          <w:i/>
          <w:iCs/>
          <w:u w:val="single"/>
        </w:rPr>
        <w:t>Evaluation Recommendations.</w:t>
      </w:r>
      <w:r w:rsidRPr="001F752C">
        <w:rPr>
          <w:rFonts w:cstheme="minorHAnsi"/>
        </w:rPr>
        <w:t xml:space="preserve">  The TA Team is establishing all the right foundational steps, particularly tracking of concrete data related to BE performance, that will enable </w:t>
      </w:r>
      <w:r>
        <w:rPr>
          <w:rFonts w:cstheme="minorHAnsi"/>
        </w:rPr>
        <w:t>agencies to track their progress, connect it to outcomes, and adjust their processes to improve their results.  Although some of the agencies could establish performance metrics and benchmarks for themselves, the BE TA Team narratives indicate the agencies have been reluctant to do so just yet.  While annual goals may seem daunting, small quarterly goals can be established to make the most of Year Five and motivate agency staff to practice their newly acquired skills in engaging businesses – practice being something the TA Team’s narratives note is critical when implementing new strategies such as these.  And, similar to the TA Team’s own recommendations, it will be important to revisit ITAA plans with agencies and set priorities for the time that is remaining.</w:t>
      </w:r>
    </w:p>
    <w:p w14:paraId="09D43B31" w14:textId="77777777" w:rsidR="00623C47" w:rsidRPr="0094648D" w:rsidRDefault="00623C47" w:rsidP="00623C47">
      <w:pPr>
        <w:rPr>
          <w:rFonts w:cstheme="minorHAnsi"/>
        </w:rPr>
      </w:pPr>
    </w:p>
    <w:p w14:paraId="6F5320A3" w14:textId="77777777" w:rsidR="00623C47" w:rsidRDefault="00623C47" w:rsidP="00581F18">
      <w:pPr>
        <w:ind w:firstLine="0"/>
        <w:sectPr w:rsidR="00623C47" w:rsidSect="0042504C">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docGrid w:linePitch="360"/>
        </w:sectPr>
      </w:pPr>
    </w:p>
    <w:p w14:paraId="5B451307" w14:textId="77777777" w:rsidR="001B26BB" w:rsidRPr="00E17DA9" w:rsidRDefault="001B26BB" w:rsidP="001B26BB">
      <w:pPr>
        <w:pStyle w:val="Heading1"/>
        <w:pBdr>
          <w:bottom w:val="single" w:sz="18" w:space="1" w:color="auto"/>
        </w:pBdr>
        <w:shd w:val="clear" w:color="auto" w:fill="auto"/>
        <w:rPr>
          <w:szCs w:val="52"/>
        </w:rPr>
      </w:pPr>
      <w:bookmarkStart w:id="186" w:name="_Toc41940291"/>
      <w:r>
        <w:rPr>
          <w:szCs w:val="52"/>
        </w:rPr>
        <w:lastRenderedPageBreak/>
        <w:t xml:space="preserve">L. </w:t>
      </w:r>
      <w:r w:rsidRPr="00E17DA9">
        <w:rPr>
          <w:szCs w:val="52"/>
        </w:rPr>
        <w:t>APPRENTICESHIP</w:t>
      </w:r>
      <w:bookmarkEnd w:id="186"/>
    </w:p>
    <w:p w14:paraId="03F7D088" w14:textId="77777777" w:rsidR="001B26BB" w:rsidRDefault="001B26BB" w:rsidP="001B26BB"/>
    <w:p w14:paraId="5507B4D7" w14:textId="77777777" w:rsidR="001B26BB" w:rsidRDefault="001B26BB" w:rsidP="001B26BB">
      <w:pPr>
        <w:ind w:left="-450"/>
        <w:rPr>
          <w:noProof/>
        </w:rPr>
      </w:pPr>
      <w:r>
        <w:rPr>
          <w:noProof/>
          <w:lang w:eastAsia="ko-KR"/>
        </w:rPr>
        <w:drawing>
          <wp:inline distT="0" distB="0" distL="0" distR="0" wp14:anchorId="39B419E6" wp14:editId="4D5262B9">
            <wp:extent cx="5943600" cy="4320540"/>
            <wp:effectExtent l="0" t="0" r="0" b="3810"/>
            <wp:docPr id="429" name="Picture 429" descr="A map of the United States depicting which states have Apprenticeship ITAAs, which include: AK, IA,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pprenticeship ITA Map Y4.png"/>
                    <pic:cNvPicPr/>
                  </pic:nvPicPr>
                  <pic:blipFill>
                    <a:blip r:embed="rId506" cstate="print">
                      <a:extLst>
                        <a:ext uri="{28A0092B-C50C-407E-A947-70E740481C1C}">
                          <a14:useLocalDpi xmlns:a14="http://schemas.microsoft.com/office/drawing/2010/main"/>
                        </a:ext>
                      </a:extLst>
                    </a:blip>
                    <a:stretch>
                      <a:fillRect/>
                    </a:stretch>
                  </pic:blipFill>
                  <pic:spPr>
                    <a:xfrm>
                      <a:off x="0" y="0"/>
                      <a:ext cx="5943600" cy="4320540"/>
                    </a:xfrm>
                    <a:prstGeom prst="rect">
                      <a:avLst/>
                    </a:prstGeom>
                  </pic:spPr>
                </pic:pic>
              </a:graphicData>
            </a:graphic>
          </wp:inline>
        </w:drawing>
      </w:r>
    </w:p>
    <w:p w14:paraId="23B1883B" w14:textId="77777777" w:rsidR="001B26BB" w:rsidRDefault="001B26BB" w:rsidP="001B26BB"/>
    <w:p w14:paraId="6CC3F707" w14:textId="77777777" w:rsidR="001B26BB" w:rsidRDefault="001B26BB" w:rsidP="001B26BB">
      <w:pPr>
        <w:sectPr w:rsidR="001B26BB" w:rsidSect="00EC24EB">
          <w:footerReference w:type="default" r:id="rId507"/>
          <w:pgSz w:w="12240" w:h="15840" w:code="1"/>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pgNumType w:chapStyle="1"/>
          <w:cols w:space="720"/>
          <w:vAlign w:val="center"/>
          <w:docGrid w:linePitch="360"/>
        </w:sectPr>
      </w:pPr>
    </w:p>
    <w:p w14:paraId="34E8BF34" w14:textId="44A898CC" w:rsidR="001B26BB" w:rsidRPr="00987BC7" w:rsidRDefault="00167597" w:rsidP="001B26BB">
      <w:pPr>
        <w:pStyle w:val="Heading2"/>
        <w:shd w:val="clear" w:color="auto" w:fill="8EAADB" w:themeFill="accent1" w:themeFillTint="99"/>
      </w:pPr>
      <w:bookmarkStart w:id="187" w:name="_Toc41940292"/>
      <w:r>
        <w:lastRenderedPageBreak/>
        <w:t>Apprenticeship</w:t>
      </w:r>
      <w:r w:rsidR="001B26BB" w:rsidRPr="00987BC7">
        <w:t xml:space="preserve"> – </w:t>
      </w:r>
      <w:r w:rsidR="001B26BB">
        <w:t xml:space="preserve">ITA </w:t>
      </w:r>
      <w:r w:rsidR="001B26BB" w:rsidRPr="00987BC7">
        <w:t>Logic Model</w:t>
      </w:r>
      <w:bookmarkEnd w:id="1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0"/>
        <w:gridCol w:w="4840"/>
      </w:tblGrid>
      <w:tr w:rsidR="001B26BB" w:rsidRPr="00206792" w14:paraId="477E0D1B" w14:textId="77777777" w:rsidTr="008A190D">
        <w:tc>
          <w:tcPr>
            <w:tcW w:w="2757" w:type="pct"/>
            <w:shd w:val="clear" w:color="auto" w:fill="D9E2F3" w:themeFill="accent1" w:themeFillTint="33"/>
          </w:tcPr>
          <w:p w14:paraId="5FFC0AE0" w14:textId="1BAE3DBB" w:rsidR="001B26BB" w:rsidRPr="00B10F23" w:rsidRDefault="001B26BB" w:rsidP="00B10F23">
            <w:pPr>
              <w:spacing w:after="0"/>
              <w:ind w:firstLine="0"/>
              <w:jc w:val="center"/>
              <w:rPr>
                <w:b/>
                <w:bCs/>
                <w:sz w:val="24"/>
                <w:szCs w:val="24"/>
              </w:rPr>
            </w:pPr>
            <w:bookmarkStart w:id="188" w:name="_Hlk27723402"/>
            <w:r w:rsidRPr="00B10F23">
              <w:rPr>
                <w:b/>
                <w:bCs/>
                <w:sz w:val="24"/>
                <w:szCs w:val="24"/>
              </w:rPr>
              <w:t>Activit</w:t>
            </w:r>
            <w:r w:rsidR="008A190D" w:rsidRPr="00B10F23">
              <w:rPr>
                <w:b/>
                <w:bCs/>
                <w:sz w:val="24"/>
                <w:szCs w:val="24"/>
              </w:rPr>
              <w:t>y</w:t>
            </w:r>
          </w:p>
        </w:tc>
        <w:tc>
          <w:tcPr>
            <w:tcW w:w="2243" w:type="pct"/>
            <w:shd w:val="clear" w:color="auto" w:fill="D9E2F3" w:themeFill="accent1" w:themeFillTint="33"/>
          </w:tcPr>
          <w:p w14:paraId="633A1D2C" w14:textId="0682DF0B" w:rsidR="001B26BB" w:rsidRPr="00B10F23" w:rsidRDefault="001B26BB" w:rsidP="00B10F23">
            <w:pPr>
              <w:spacing w:after="0"/>
              <w:ind w:firstLine="0"/>
              <w:jc w:val="center"/>
              <w:rPr>
                <w:b/>
                <w:bCs/>
                <w:sz w:val="24"/>
                <w:szCs w:val="24"/>
              </w:rPr>
            </w:pPr>
            <w:r w:rsidRPr="00B10F23">
              <w:rPr>
                <w:b/>
                <w:bCs/>
                <w:sz w:val="24"/>
                <w:szCs w:val="24"/>
              </w:rPr>
              <w:t>Output</w:t>
            </w:r>
          </w:p>
        </w:tc>
      </w:tr>
      <w:tr w:rsidR="001B26BB" w:rsidRPr="00206792" w14:paraId="6C3D6B32" w14:textId="77777777" w:rsidTr="008A190D">
        <w:trPr>
          <w:trHeight w:val="881"/>
        </w:trPr>
        <w:tc>
          <w:tcPr>
            <w:tcW w:w="2757" w:type="pct"/>
          </w:tcPr>
          <w:p w14:paraId="49C9A2C5" w14:textId="77777777" w:rsidR="001B26BB" w:rsidRPr="00206792" w:rsidRDefault="001B26BB" w:rsidP="00C575C8">
            <w:pPr>
              <w:pStyle w:val="ListParagraph"/>
              <w:numPr>
                <w:ilvl w:val="0"/>
                <w:numId w:val="89"/>
              </w:numPr>
            </w:pPr>
            <w:r w:rsidRPr="00206792">
              <w:rPr>
                <w:color w:val="000000"/>
              </w:rPr>
              <w:t>Assist agency to identify resources that will promote and increase the use of apprenticeships in the VR service delivery system</w:t>
            </w:r>
            <w:r>
              <w:rPr>
                <w:color w:val="000000"/>
              </w:rPr>
              <w:t>.</w:t>
            </w:r>
          </w:p>
        </w:tc>
        <w:tc>
          <w:tcPr>
            <w:tcW w:w="2243" w:type="pct"/>
          </w:tcPr>
          <w:p w14:paraId="577630DD" w14:textId="77777777" w:rsidR="001B26BB" w:rsidRPr="00206792" w:rsidRDefault="001B26BB" w:rsidP="00C575C8">
            <w:pPr>
              <w:pStyle w:val="ListParagraph"/>
              <w:numPr>
                <w:ilvl w:val="0"/>
                <w:numId w:val="90"/>
              </w:numPr>
              <w:ind w:left="309"/>
            </w:pPr>
            <w:r w:rsidRPr="00206792">
              <w:rPr>
                <w:color w:val="000000"/>
              </w:rPr>
              <w:t>The information and resources provided to the agency</w:t>
            </w:r>
            <w:r w:rsidRPr="00206792">
              <w:t>.</w:t>
            </w:r>
          </w:p>
        </w:tc>
      </w:tr>
      <w:tr w:rsidR="001B26BB" w:rsidRPr="00206792" w14:paraId="4654FC69" w14:textId="77777777" w:rsidTr="008A190D">
        <w:trPr>
          <w:trHeight w:val="620"/>
        </w:trPr>
        <w:tc>
          <w:tcPr>
            <w:tcW w:w="2757" w:type="pct"/>
          </w:tcPr>
          <w:p w14:paraId="0B463FFF" w14:textId="77777777" w:rsidR="001B26BB" w:rsidRPr="00206792" w:rsidRDefault="001B26BB" w:rsidP="00C575C8">
            <w:pPr>
              <w:pStyle w:val="ListParagraph"/>
              <w:numPr>
                <w:ilvl w:val="0"/>
                <w:numId w:val="89"/>
              </w:numPr>
            </w:pPr>
            <w:r w:rsidRPr="00206792">
              <w:rPr>
                <w:color w:val="000000"/>
              </w:rPr>
              <w:t>Assist in the development of new or revised policies and procedures to implement apprenticeship opportunities</w:t>
            </w:r>
            <w:r w:rsidRPr="00206792">
              <w:t>.</w:t>
            </w:r>
          </w:p>
        </w:tc>
        <w:tc>
          <w:tcPr>
            <w:tcW w:w="2243" w:type="pct"/>
          </w:tcPr>
          <w:p w14:paraId="2111E398" w14:textId="77777777" w:rsidR="001B26BB" w:rsidRPr="00206792" w:rsidRDefault="001B26BB" w:rsidP="00C575C8">
            <w:pPr>
              <w:pStyle w:val="ListParagraph"/>
              <w:numPr>
                <w:ilvl w:val="0"/>
                <w:numId w:val="90"/>
              </w:numPr>
              <w:ind w:left="346"/>
            </w:pPr>
            <w:r w:rsidRPr="00206792">
              <w:rPr>
                <w:color w:val="000000"/>
              </w:rPr>
              <w:t>Draft of new and/or revised policies and procedures related to apprenticeships</w:t>
            </w:r>
            <w:r w:rsidRPr="00206792">
              <w:t>.</w:t>
            </w:r>
          </w:p>
        </w:tc>
      </w:tr>
      <w:tr w:rsidR="001B26BB" w:rsidRPr="00206792" w14:paraId="77FFD112" w14:textId="77777777" w:rsidTr="008A190D">
        <w:trPr>
          <w:trHeight w:val="647"/>
        </w:trPr>
        <w:tc>
          <w:tcPr>
            <w:tcW w:w="2757" w:type="pct"/>
          </w:tcPr>
          <w:p w14:paraId="456418D8" w14:textId="77777777" w:rsidR="001B26BB" w:rsidRPr="00206792" w:rsidRDefault="001B26BB" w:rsidP="00C575C8">
            <w:pPr>
              <w:pStyle w:val="ListParagraph"/>
              <w:numPr>
                <w:ilvl w:val="0"/>
                <w:numId w:val="89"/>
              </w:numPr>
            </w:pPr>
            <w:r w:rsidRPr="00206792">
              <w:rPr>
                <w:color w:val="000000"/>
              </w:rPr>
              <w:t>Provide training to VR (and any other partners) on apprenticeships.</w:t>
            </w:r>
          </w:p>
        </w:tc>
        <w:tc>
          <w:tcPr>
            <w:tcW w:w="2243" w:type="pct"/>
          </w:tcPr>
          <w:p w14:paraId="2C19E1FF" w14:textId="77777777" w:rsidR="001B26BB" w:rsidRPr="00206792" w:rsidRDefault="001B26BB" w:rsidP="00C575C8">
            <w:pPr>
              <w:pStyle w:val="ListParagraph"/>
              <w:numPr>
                <w:ilvl w:val="0"/>
                <w:numId w:val="90"/>
              </w:numPr>
              <w:ind w:left="346"/>
            </w:pPr>
            <w:r w:rsidRPr="00206792">
              <w:rPr>
                <w:color w:val="000000"/>
              </w:rPr>
              <w:t>The number of individuals that complete the training by agency and the content delivered</w:t>
            </w:r>
            <w:r>
              <w:rPr>
                <w:color w:val="000000"/>
              </w:rPr>
              <w:t>.</w:t>
            </w:r>
          </w:p>
        </w:tc>
      </w:tr>
      <w:tr w:rsidR="001B26BB" w:rsidRPr="00420A1B" w14:paraId="0CC3F2DE" w14:textId="77777777" w:rsidTr="008A190D">
        <w:trPr>
          <w:trHeight w:val="647"/>
        </w:trPr>
        <w:tc>
          <w:tcPr>
            <w:tcW w:w="5000" w:type="pct"/>
            <w:gridSpan w:val="2"/>
            <w:shd w:val="clear" w:color="auto" w:fill="D9E2F3" w:themeFill="accent1" w:themeFillTint="33"/>
            <w:vAlign w:val="center"/>
          </w:tcPr>
          <w:p w14:paraId="2C048CC9" w14:textId="77777777" w:rsidR="001B26BB" w:rsidRPr="00206792" w:rsidRDefault="001B26BB" w:rsidP="008A190D">
            <w:pPr>
              <w:ind w:firstLine="0"/>
              <w:jc w:val="center"/>
              <w:rPr>
                <w:b/>
              </w:rPr>
            </w:pPr>
            <w:r w:rsidRPr="00206792">
              <w:rPr>
                <w:b/>
              </w:rPr>
              <w:t>Short-Term Outcomes</w:t>
            </w:r>
          </w:p>
          <w:p w14:paraId="4599CE91" w14:textId="77777777" w:rsidR="001B26BB" w:rsidRDefault="001B26BB" w:rsidP="00C575C8">
            <w:pPr>
              <w:pStyle w:val="ListParagraph"/>
              <w:numPr>
                <w:ilvl w:val="0"/>
                <w:numId w:val="87"/>
              </w:numPr>
              <w:rPr>
                <w:color w:val="000000"/>
              </w:rPr>
            </w:pPr>
            <w:r w:rsidRPr="00206792">
              <w:t xml:space="preserve">Outcome 1:  </w:t>
            </w:r>
            <w:r w:rsidRPr="00231A92">
              <w:rPr>
                <w:color w:val="000000"/>
              </w:rPr>
              <w:t>The number of VR consumers that participate in apprenticeships will be established as a baseline at the beginning of the ITA, and then identified from the VR program's CMS annually and compared to the previous year</w:t>
            </w:r>
            <w:r>
              <w:rPr>
                <w:color w:val="000000"/>
              </w:rPr>
              <w:t xml:space="preserve">.  </w:t>
            </w:r>
            <w:r w:rsidRPr="00206792">
              <w:rPr>
                <w:color w:val="000000"/>
              </w:rPr>
              <w:t xml:space="preserve">There will be an increase of (x percent or number) in the number of VR consumers that </w:t>
            </w:r>
            <w:r>
              <w:rPr>
                <w:color w:val="000000"/>
              </w:rPr>
              <w:t xml:space="preserve">participate in apprenticeships each year.  </w:t>
            </w:r>
          </w:p>
          <w:p w14:paraId="38965875" w14:textId="77777777" w:rsidR="001B26BB" w:rsidRPr="00206792" w:rsidRDefault="001B26BB" w:rsidP="00C575C8">
            <w:pPr>
              <w:pStyle w:val="ListParagraph"/>
              <w:numPr>
                <w:ilvl w:val="1"/>
                <w:numId w:val="87"/>
              </w:numPr>
              <w:rPr>
                <w:color w:val="000000"/>
              </w:rPr>
            </w:pPr>
            <w:r>
              <w:rPr>
                <w:color w:val="000000"/>
              </w:rPr>
              <w:t xml:space="preserve">Measure:  </w:t>
            </w:r>
            <w:r w:rsidRPr="00005C58">
              <w:rPr>
                <w:color w:val="000000"/>
              </w:rPr>
              <w:t>VR agency will report the number of customers engaged in apprenticeship activity through their case management system</w:t>
            </w:r>
            <w:r>
              <w:rPr>
                <w:color w:val="000000"/>
              </w:rPr>
              <w:t>.</w:t>
            </w:r>
          </w:p>
          <w:p w14:paraId="7ACC5ACA" w14:textId="77777777" w:rsidR="001B26BB" w:rsidRPr="00206792" w:rsidRDefault="001B26BB" w:rsidP="00C575C8">
            <w:pPr>
              <w:pStyle w:val="ListParagraph"/>
              <w:numPr>
                <w:ilvl w:val="0"/>
                <w:numId w:val="88"/>
              </w:numPr>
            </w:pPr>
            <w:r>
              <w:t>Outcome 2:  There will be an increase of (x percent or number) in the number of students who include apprenticeships in their IEP planning process.</w:t>
            </w:r>
          </w:p>
        </w:tc>
      </w:tr>
      <w:bookmarkEnd w:id="188"/>
    </w:tbl>
    <w:p w14:paraId="5448EF50" w14:textId="77777777" w:rsidR="001B26BB" w:rsidRDefault="001B26BB" w:rsidP="001B26BB">
      <w:pPr>
        <w:pStyle w:val="Heading2"/>
        <w:rPr>
          <w:szCs w:val="36"/>
        </w:rPr>
      </w:pPr>
      <w:r>
        <w:rPr>
          <w:szCs w:val="36"/>
        </w:rPr>
        <w:br w:type="page"/>
      </w:r>
    </w:p>
    <w:p w14:paraId="0D11A08A" w14:textId="08130045" w:rsidR="001B26BB" w:rsidRPr="004B327C" w:rsidRDefault="00167597" w:rsidP="001B26BB">
      <w:pPr>
        <w:pStyle w:val="Heading2"/>
        <w:rPr>
          <w:szCs w:val="36"/>
        </w:rPr>
      </w:pPr>
      <w:bookmarkStart w:id="189" w:name="_Toc41940293"/>
      <w:r>
        <w:rPr>
          <w:szCs w:val="36"/>
        </w:rPr>
        <w:lastRenderedPageBreak/>
        <w:t>Apprenticeship</w:t>
      </w:r>
      <w:r w:rsidRPr="004B327C">
        <w:rPr>
          <w:szCs w:val="36"/>
        </w:rPr>
        <w:t>: Activities &amp; Outputs Progress Dashboards</w:t>
      </w:r>
      <w:bookmarkEnd w:id="189"/>
    </w:p>
    <w:p w14:paraId="784884C1" w14:textId="77777777" w:rsidR="001B26BB" w:rsidRDefault="001B26BB" w:rsidP="001B26BB"/>
    <w:p w14:paraId="2563DBC5" w14:textId="7B8CE36C" w:rsidR="001B26BB" w:rsidRPr="00AF4EBF" w:rsidRDefault="00910D21" w:rsidP="00910D21">
      <w:pPr>
        <w:ind w:firstLine="0"/>
        <w:rPr>
          <w:sz w:val="24"/>
          <w:szCs w:val="24"/>
        </w:rPr>
      </w:pPr>
      <w:r>
        <w:rPr>
          <w:noProof/>
          <w:lang w:eastAsia="ko-KR"/>
        </w:rPr>
        <w:drawing>
          <wp:inline distT="0" distB="0" distL="0" distR="0" wp14:anchorId="4BAEB171" wp14:editId="7140F67D">
            <wp:extent cx="6858000" cy="2955925"/>
            <wp:effectExtent l="0" t="0" r="0" b="0"/>
            <wp:docPr id="438" name="Picture 438" descr="Progress Apprenticeship Activities showing 100% complete">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6858000" cy="2955925"/>
                    </a:xfrm>
                    <a:prstGeom prst="rect">
                      <a:avLst/>
                    </a:prstGeom>
                  </pic:spPr>
                </pic:pic>
              </a:graphicData>
            </a:graphic>
          </wp:inline>
        </w:drawing>
      </w:r>
      <w:r w:rsidR="001B26BB">
        <w:rPr>
          <w:sz w:val="24"/>
          <w:szCs w:val="24"/>
        </w:rPr>
        <w:t>A</w:t>
      </w:r>
      <w:r w:rsidR="001B26BB" w:rsidRPr="00AF4EBF">
        <w:rPr>
          <w:sz w:val="24"/>
          <w:szCs w:val="24"/>
        </w:rPr>
        <w:t xml:space="preserve">ctivities are </w:t>
      </w:r>
      <w:r w:rsidR="001B26BB">
        <w:rPr>
          <w:sz w:val="24"/>
          <w:szCs w:val="24"/>
        </w:rPr>
        <w:t xml:space="preserve">all </w:t>
      </w:r>
      <w:r w:rsidR="001B26BB" w:rsidRPr="00AF4EBF">
        <w:rPr>
          <w:sz w:val="24"/>
          <w:szCs w:val="24"/>
        </w:rPr>
        <w:t>complete</w:t>
      </w:r>
      <w:r w:rsidR="001B26BB">
        <w:rPr>
          <w:sz w:val="24"/>
          <w:szCs w:val="24"/>
        </w:rPr>
        <w:t xml:space="preserve">. </w:t>
      </w:r>
      <w:r w:rsidR="001B26BB" w:rsidRPr="00AF4EBF">
        <w:rPr>
          <w:sz w:val="24"/>
          <w:szCs w:val="24"/>
        </w:rPr>
        <w:t>Below, thermometers demonstrate the level of completion for the different activities and outputs as defined in the logic model.  A handful of idiosyncratic activities in the ITAAs not listed in logic models are captured together in their own thermometer.</w:t>
      </w:r>
    </w:p>
    <w:p w14:paraId="02F2CC2B" w14:textId="77777777" w:rsidR="001B26BB" w:rsidRDefault="001B26BB" w:rsidP="001B26BB"/>
    <w:p w14:paraId="378F388E" w14:textId="77777777" w:rsidR="001B26BB" w:rsidRDefault="001B26BB" w:rsidP="001B26BB">
      <w:pPr>
        <w:sectPr w:rsidR="001B26BB" w:rsidSect="00C97C03">
          <w:pgSz w:w="12240" w:h="15840"/>
          <w:pgMar w:top="720" w:right="720" w:bottom="720" w:left="720" w:header="720" w:footer="720" w:gutter="0"/>
          <w:cols w:space="720"/>
          <w:docGrid w:linePitch="381"/>
        </w:sectPr>
      </w:pPr>
    </w:p>
    <w:p w14:paraId="2BAA0DF9" w14:textId="77777777" w:rsidR="001B26BB" w:rsidRDefault="001B26BB" w:rsidP="00910D21">
      <w:pPr>
        <w:spacing w:after="0"/>
        <w:ind w:firstLine="0"/>
        <w:jc w:val="center"/>
        <w:rPr>
          <w:sz w:val="36"/>
          <w:szCs w:val="36"/>
        </w:rPr>
      </w:pPr>
      <w:r w:rsidRPr="003A10D6">
        <w:rPr>
          <w:sz w:val="36"/>
          <w:szCs w:val="36"/>
        </w:rPr>
        <w:lastRenderedPageBreak/>
        <w:t xml:space="preserve">Activity </w:t>
      </w:r>
      <w:r>
        <w:rPr>
          <w:sz w:val="36"/>
          <w:szCs w:val="36"/>
        </w:rPr>
        <w:t>1</w:t>
      </w:r>
      <w:r>
        <w:rPr>
          <w:szCs w:val="14"/>
        </w:rPr>
        <w:br/>
      </w:r>
      <w:r>
        <w:rPr>
          <w:noProof/>
          <w:lang w:eastAsia="ko-KR"/>
        </w:rPr>
        <w:drawing>
          <wp:inline distT="0" distB="0" distL="0" distR="0" wp14:anchorId="386BC9A3" wp14:editId="1DEB0A08">
            <wp:extent cx="1472184" cy="4572000"/>
            <wp:effectExtent l="0" t="0" r="0" b="0"/>
            <wp:docPr id="431" name="Picture 431" descr="Activity &amp; Outputs Progress 1">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1472184" cy="4572000"/>
                    </a:xfrm>
                    <a:prstGeom prst="rect">
                      <a:avLst/>
                    </a:prstGeom>
                  </pic:spPr>
                </pic:pic>
              </a:graphicData>
            </a:graphic>
          </wp:inline>
        </w:drawing>
      </w:r>
      <w:r>
        <w:rPr>
          <w:sz w:val="36"/>
          <w:szCs w:val="36"/>
        </w:rPr>
        <w:br/>
      </w:r>
      <w:r>
        <w:rPr>
          <w:noProof/>
          <w:lang w:eastAsia="ko-KR"/>
        </w:rPr>
        <w:drawing>
          <wp:inline distT="0" distB="0" distL="0" distR="0" wp14:anchorId="57EA1E18" wp14:editId="3C3292B1">
            <wp:extent cx="2090057" cy="370114"/>
            <wp:effectExtent l="0" t="0" r="5715" b="0"/>
            <wp:docPr id="432" name="Picture 432"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35E6CA45" w14:textId="77777777" w:rsidR="001B26BB" w:rsidRPr="00F0402F" w:rsidRDefault="001B26BB" w:rsidP="00910D21">
      <w:pPr>
        <w:spacing w:after="0"/>
        <w:ind w:firstLine="0"/>
        <w:rPr>
          <w:rFonts w:cstheme="minorHAnsi"/>
        </w:rPr>
      </w:pPr>
      <w:r w:rsidRPr="00F0402F">
        <w:rPr>
          <w:rFonts w:cstheme="minorHAnsi"/>
          <w:b/>
          <w:bCs/>
        </w:rPr>
        <w:t xml:space="preserve">Activity </w:t>
      </w:r>
      <w:r>
        <w:rPr>
          <w:rFonts w:cstheme="minorHAnsi"/>
          <w:b/>
          <w:bCs/>
        </w:rPr>
        <w:t>1</w:t>
      </w:r>
      <w:r w:rsidRPr="00F0402F">
        <w:rPr>
          <w:rFonts w:cstheme="minorHAnsi"/>
          <w:b/>
          <w:bCs/>
        </w:rPr>
        <w:t>:</w:t>
      </w:r>
      <w:r w:rsidRPr="00F0402F">
        <w:rPr>
          <w:rFonts w:cstheme="minorHAnsi"/>
        </w:rPr>
        <w:t xml:space="preserve"> </w:t>
      </w:r>
      <w:r w:rsidRPr="00895FF2">
        <w:rPr>
          <w:rFonts w:cstheme="minorHAnsi"/>
        </w:rPr>
        <w:t>Assist agency to identify resources that will promote and increase the use of apprenticeships in the VR service delivery system</w:t>
      </w:r>
      <w:r w:rsidRPr="00F0402F">
        <w:rPr>
          <w:rFonts w:cstheme="minorHAnsi"/>
        </w:rPr>
        <w:t>.</w:t>
      </w:r>
    </w:p>
    <w:p w14:paraId="71EA9779" w14:textId="77777777" w:rsidR="001B26BB" w:rsidRPr="00F0402F" w:rsidRDefault="001B26BB" w:rsidP="00910D21">
      <w:pPr>
        <w:spacing w:after="0"/>
        <w:ind w:firstLine="0"/>
        <w:rPr>
          <w:rFonts w:cstheme="minorHAnsi"/>
        </w:rPr>
      </w:pPr>
      <w:r w:rsidRPr="00F0402F">
        <w:rPr>
          <w:rFonts w:cstheme="minorHAnsi"/>
          <w:b/>
          <w:bCs/>
        </w:rPr>
        <w:t>Output</w:t>
      </w:r>
      <w:r>
        <w:rPr>
          <w:rFonts w:cstheme="minorHAnsi"/>
          <w:b/>
          <w:bCs/>
        </w:rPr>
        <w:t xml:space="preserve"> A</w:t>
      </w:r>
      <w:r w:rsidRPr="00F0402F">
        <w:rPr>
          <w:rFonts w:cstheme="minorHAnsi"/>
          <w:b/>
          <w:bCs/>
        </w:rPr>
        <w:t>:</w:t>
      </w:r>
      <w:r w:rsidRPr="00F0402F">
        <w:rPr>
          <w:rFonts w:cstheme="minorHAnsi"/>
        </w:rPr>
        <w:t xml:space="preserve"> The information and resources provided to the agency. </w:t>
      </w:r>
    </w:p>
    <w:p w14:paraId="4FC1F810" w14:textId="77777777" w:rsidR="001B26BB" w:rsidRDefault="001B26BB" w:rsidP="00910D21">
      <w:pPr>
        <w:spacing w:after="0"/>
        <w:ind w:firstLine="0"/>
        <w:jc w:val="center"/>
        <w:rPr>
          <w:sz w:val="36"/>
          <w:szCs w:val="36"/>
        </w:rPr>
      </w:pPr>
      <w:r w:rsidRPr="003A10D6">
        <w:rPr>
          <w:sz w:val="36"/>
          <w:szCs w:val="36"/>
        </w:rPr>
        <w:t xml:space="preserve">Activity </w:t>
      </w:r>
      <w:r>
        <w:rPr>
          <w:sz w:val="36"/>
          <w:szCs w:val="36"/>
        </w:rPr>
        <w:t>2</w:t>
      </w:r>
      <w:r>
        <w:rPr>
          <w:szCs w:val="14"/>
        </w:rPr>
        <w:br/>
      </w:r>
      <w:r>
        <w:rPr>
          <w:noProof/>
          <w:lang w:eastAsia="ko-KR"/>
        </w:rPr>
        <w:drawing>
          <wp:inline distT="0" distB="0" distL="0" distR="0" wp14:anchorId="20CBA576" wp14:editId="64EFADE7">
            <wp:extent cx="1490472" cy="4572000"/>
            <wp:effectExtent l="0" t="0" r="0" b="0"/>
            <wp:docPr id="433" name="Picture 433" descr="Activity &amp; Outputs Progress 2">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1490472" cy="4572000"/>
                    </a:xfrm>
                    <a:prstGeom prst="rect">
                      <a:avLst/>
                    </a:prstGeom>
                  </pic:spPr>
                </pic:pic>
              </a:graphicData>
            </a:graphic>
          </wp:inline>
        </w:drawing>
      </w:r>
      <w:r>
        <w:rPr>
          <w:sz w:val="36"/>
          <w:szCs w:val="36"/>
        </w:rPr>
        <w:br/>
      </w:r>
      <w:r>
        <w:rPr>
          <w:noProof/>
          <w:lang w:eastAsia="ko-KR"/>
        </w:rPr>
        <w:drawing>
          <wp:inline distT="0" distB="0" distL="0" distR="0" wp14:anchorId="2E2B28B3" wp14:editId="1770EB4E">
            <wp:extent cx="2090057" cy="370114"/>
            <wp:effectExtent l="0" t="0" r="5715" b="0"/>
            <wp:docPr id="434" name="Picture 434" title="Activity and output legend">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5310" cy="418857"/>
                    </a:xfrm>
                    <a:prstGeom prst="rect">
                      <a:avLst/>
                    </a:prstGeom>
                  </pic:spPr>
                </pic:pic>
              </a:graphicData>
            </a:graphic>
          </wp:inline>
        </w:drawing>
      </w:r>
    </w:p>
    <w:p w14:paraId="5F56686F" w14:textId="77777777" w:rsidR="001B26BB" w:rsidRPr="00F0402F" w:rsidRDefault="001B26BB" w:rsidP="00910D21">
      <w:pPr>
        <w:spacing w:after="0"/>
        <w:ind w:firstLine="0"/>
        <w:rPr>
          <w:rFonts w:cstheme="minorHAnsi"/>
        </w:rPr>
      </w:pPr>
      <w:r w:rsidRPr="00F0402F">
        <w:rPr>
          <w:rFonts w:cstheme="minorHAnsi"/>
          <w:b/>
          <w:bCs/>
        </w:rPr>
        <w:t xml:space="preserve">Activity </w:t>
      </w:r>
      <w:r>
        <w:rPr>
          <w:rFonts w:cstheme="minorHAnsi"/>
          <w:b/>
          <w:bCs/>
        </w:rPr>
        <w:t>2</w:t>
      </w:r>
      <w:r w:rsidRPr="00F0402F">
        <w:rPr>
          <w:rFonts w:cstheme="minorHAnsi"/>
          <w:b/>
          <w:bCs/>
        </w:rPr>
        <w:t>:</w:t>
      </w:r>
      <w:r w:rsidRPr="00F0402F">
        <w:rPr>
          <w:rFonts w:cstheme="minorHAnsi"/>
        </w:rPr>
        <w:t xml:space="preserve"> </w:t>
      </w:r>
      <w:r w:rsidRPr="00206792">
        <w:rPr>
          <w:color w:val="000000"/>
        </w:rPr>
        <w:t>Assist in the development of new or revised policies and procedures to implement apprenticeship opportunities</w:t>
      </w:r>
      <w:r w:rsidRPr="00206792">
        <w:t>.</w:t>
      </w:r>
    </w:p>
    <w:p w14:paraId="72646A4D" w14:textId="78265045" w:rsidR="001B26BB" w:rsidRDefault="001B26BB" w:rsidP="0048500F">
      <w:pPr>
        <w:spacing w:after="0"/>
        <w:ind w:firstLine="0"/>
        <w:rPr>
          <w:rFonts w:cstheme="minorHAnsi"/>
        </w:rPr>
      </w:pPr>
      <w:r w:rsidRPr="00F0402F">
        <w:rPr>
          <w:rFonts w:cstheme="minorHAnsi"/>
          <w:b/>
          <w:bCs/>
        </w:rPr>
        <w:t>Output</w:t>
      </w:r>
      <w:r>
        <w:rPr>
          <w:rFonts w:cstheme="minorHAnsi"/>
          <w:b/>
          <w:bCs/>
        </w:rPr>
        <w:t xml:space="preserve"> B</w:t>
      </w:r>
      <w:r w:rsidRPr="00F0402F">
        <w:rPr>
          <w:rFonts w:cstheme="minorHAnsi"/>
          <w:b/>
          <w:bCs/>
        </w:rPr>
        <w:t>:</w:t>
      </w:r>
      <w:r w:rsidRPr="00F0402F">
        <w:rPr>
          <w:rFonts w:cstheme="minorHAnsi"/>
        </w:rPr>
        <w:t xml:space="preserve"> </w:t>
      </w:r>
      <w:r w:rsidRPr="00206792">
        <w:rPr>
          <w:color w:val="000000"/>
        </w:rPr>
        <w:t>Draft of new and/or revised policies and procedures related to apprenticeships</w:t>
      </w:r>
      <w:r w:rsidRPr="00206792">
        <w:t>.</w:t>
      </w:r>
      <w:r w:rsidR="0048500F">
        <w:rPr>
          <w:rFonts w:cstheme="minorHAnsi"/>
        </w:rPr>
        <w:t xml:space="preserve"> </w:t>
      </w:r>
    </w:p>
    <w:p w14:paraId="114EF5A0" w14:textId="77777777" w:rsidR="001B26BB" w:rsidRDefault="001B26BB" w:rsidP="001B26BB">
      <w:pPr>
        <w:spacing w:after="0"/>
        <w:rPr>
          <w:rFonts w:cstheme="minorHAnsi"/>
        </w:rPr>
        <w:sectPr w:rsidR="001B26BB" w:rsidSect="00C97C03">
          <w:pgSz w:w="12240" w:h="15840"/>
          <w:pgMar w:top="720" w:right="720" w:bottom="720" w:left="720" w:header="720" w:footer="720" w:gutter="0"/>
          <w:cols w:num="2" w:space="720"/>
          <w:docGrid w:linePitch="381"/>
        </w:sectPr>
      </w:pPr>
    </w:p>
    <w:p w14:paraId="1D31B319" w14:textId="77777777" w:rsidR="001B26BB" w:rsidRPr="00F0402F" w:rsidRDefault="001B26BB" w:rsidP="001B26BB">
      <w:pPr>
        <w:spacing w:after="0"/>
        <w:rPr>
          <w:rFonts w:cstheme="minorHAnsi"/>
        </w:rPr>
      </w:pPr>
    </w:p>
    <w:p w14:paraId="16B093DC" w14:textId="28731EDA" w:rsidR="001B26BB" w:rsidRDefault="00910D21" w:rsidP="001B26BB">
      <w:pPr>
        <w:pStyle w:val="Heading2"/>
      </w:pPr>
      <w:bookmarkStart w:id="190" w:name="_Toc41940294"/>
      <w:r>
        <w:t>Apprenticeship: Outcomes Progress Dashboards</w:t>
      </w:r>
      <w:bookmarkEnd w:id="190"/>
    </w:p>
    <w:p w14:paraId="0F25273B" w14:textId="77777777" w:rsidR="001B26BB" w:rsidRDefault="001B26BB" w:rsidP="001B26BB">
      <w:pPr>
        <w:jc w:val="center"/>
        <w:rPr>
          <w:noProof/>
        </w:rPr>
      </w:pPr>
    </w:p>
    <w:p w14:paraId="1F5EC0C7" w14:textId="77777777" w:rsidR="001B26BB" w:rsidRDefault="001B26BB" w:rsidP="004B6277">
      <w:pPr>
        <w:ind w:firstLine="0"/>
        <w:jc w:val="center"/>
      </w:pPr>
      <w:r>
        <w:rPr>
          <w:noProof/>
          <w:lang w:eastAsia="ko-KR"/>
        </w:rPr>
        <w:drawing>
          <wp:inline distT="0" distB="0" distL="0" distR="0" wp14:anchorId="4D67FE67" wp14:editId="458C72AA">
            <wp:extent cx="5019675" cy="3590925"/>
            <wp:effectExtent l="0" t="0" r="9525" b="9525"/>
            <wp:docPr id="435" name="Picture 435" descr="Outcomes Progress speedometer showing 75% complete">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5019675" cy="3590925"/>
                    </a:xfrm>
                    <a:prstGeom prst="rect">
                      <a:avLst/>
                    </a:prstGeom>
                  </pic:spPr>
                </pic:pic>
              </a:graphicData>
            </a:graphic>
          </wp:inline>
        </w:drawing>
      </w:r>
    </w:p>
    <w:p w14:paraId="45FB5396" w14:textId="3BFE0B14" w:rsidR="004B6277" w:rsidRDefault="001B26BB" w:rsidP="004B6277">
      <w:pPr>
        <w:shd w:val="clear" w:color="auto" w:fill="FFFFFF"/>
        <w:spacing w:after="0" w:line="240" w:lineRule="auto"/>
        <w:ind w:firstLine="0"/>
      </w:pPr>
      <w:r>
        <w:t>Progress on outcomes is strong, with 33% of activities at a 50% progress rate, and 33% of activities at a 75% progress rate. and 33% of activities at a Completed.  The overall outcomes progress is thus 75%.</w:t>
      </w:r>
    </w:p>
    <w:p w14:paraId="1BFBDD6D" w14:textId="77777777" w:rsidR="00E67C52" w:rsidRPr="004B6277" w:rsidRDefault="00E67C52" w:rsidP="004B6277">
      <w:pPr>
        <w:shd w:val="clear" w:color="auto" w:fill="FFFFFF"/>
        <w:spacing w:after="0" w:line="240" w:lineRule="auto"/>
        <w:ind w:firstLine="0"/>
        <w:rPr>
          <w:rFonts w:ascii="Calibri" w:eastAsia="Times New Roman" w:hAnsi="Calibri" w:cs="Calibri"/>
          <w:color w:val="212121"/>
          <w:sz w:val="24"/>
          <w:szCs w:val="24"/>
        </w:rPr>
      </w:pPr>
    </w:p>
    <w:tbl>
      <w:tblPr>
        <w:tblW w:w="8000" w:type="dxa"/>
        <w:jc w:val="center"/>
        <w:shd w:val="clear" w:color="auto" w:fill="FFFFFF"/>
        <w:tblCellMar>
          <w:left w:w="0" w:type="dxa"/>
          <w:right w:w="0" w:type="dxa"/>
        </w:tblCellMar>
        <w:tblLook w:val="04A0" w:firstRow="1" w:lastRow="0" w:firstColumn="1" w:lastColumn="0" w:noHBand="0" w:noVBand="1"/>
      </w:tblPr>
      <w:tblGrid>
        <w:gridCol w:w="4100"/>
        <w:gridCol w:w="1300"/>
        <w:gridCol w:w="1300"/>
        <w:gridCol w:w="1300"/>
      </w:tblGrid>
      <w:tr w:rsidR="004B6277" w:rsidRPr="004B6277" w14:paraId="2227705D" w14:textId="77777777" w:rsidTr="00CC3D2E">
        <w:trPr>
          <w:trHeight w:val="400"/>
          <w:jc w:val="center"/>
        </w:trPr>
        <w:tc>
          <w:tcPr>
            <w:tcW w:w="8000" w:type="dxa"/>
            <w:gridSpan w:val="4"/>
            <w:tcBorders>
              <w:top w:val="single" w:sz="8" w:space="0" w:color="auto"/>
              <w:left w:val="single" w:sz="8" w:space="0" w:color="auto"/>
              <w:bottom w:val="single" w:sz="8" w:space="0" w:color="auto"/>
              <w:right w:val="single" w:sz="8" w:space="0" w:color="auto"/>
            </w:tcBorders>
            <w:shd w:val="clear" w:color="auto" w:fill="FCE4D6"/>
            <w:tcMar>
              <w:top w:w="0" w:type="dxa"/>
              <w:left w:w="108" w:type="dxa"/>
              <w:bottom w:w="0" w:type="dxa"/>
              <w:right w:w="108" w:type="dxa"/>
            </w:tcMar>
            <w:vAlign w:val="bottom"/>
            <w:hideMark/>
          </w:tcPr>
          <w:p w14:paraId="55C282F9" w14:textId="77777777" w:rsidR="004B6277" w:rsidRPr="004B6277" w:rsidRDefault="004B6277" w:rsidP="004B6277">
            <w:pPr>
              <w:spacing w:after="0" w:line="240" w:lineRule="auto"/>
              <w:ind w:firstLine="0"/>
              <w:jc w:val="center"/>
              <w:rPr>
                <w:rFonts w:eastAsia="Times New Roman" w:cstheme="minorHAnsi"/>
                <w:color w:val="212121"/>
                <w:sz w:val="24"/>
                <w:szCs w:val="24"/>
              </w:rPr>
            </w:pPr>
            <w:r w:rsidRPr="004B6277">
              <w:rPr>
                <w:rFonts w:eastAsia="Times New Roman" w:cstheme="minorHAnsi"/>
                <w:b/>
                <w:bCs/>
                <w:color w:val="000000"/>
                <w:sz w:val="24"/>
                <w:szCs w:val="24"/>
              </w:rPr>
              <w:t>SVRA Apprenticeship Activities and Outcomes</w:t>
            </w:r>
          </w:p>
        </w:tc>
      </w:tr>
      <w:tr w:rsidR="004B6277" w:rsidRPr="004B6277" w14:paraId="6973B34C" w14:textId="77777777" w:rsidTr="00CC3D2E">
        <w:trPr>
          <w:trHeight w:val="680"/>
          <w:jc w:val="center"/>
        </w:trPr>
        <w:tc>
          <w:tcPr>
            <w:tcW w:w="4100" w:type="dxa"/>
            <w:tcBorders>
              <w:top w:val="nil"/>
              <w:left w:val="single" w:sz="8" w:space="0" w:color="auto"/>
              <w:bottom w:val="single" w:sz="8" w:space="0" w:color="auto"/>
              <w:right w:val="single" w:sz="8" w:space="0" w:color="auto"/>
            </w:tcBorders>
            <w:shd w:val="clear" w:color="auto" w:fill="F8CBAD"/>
            <w:tcMar>
              <w:top w:w="0" w:type="dxa"/>
              <w:left w:w="108" w:type="dxa"/>
              <w:bottom w:w="0" w:type="dxa"/>
              <w:right w:w="108" w:type="dxa"/>
            </w:tcMar>
            <w:vAlign w:val="bottom"/>
            <w:hideMark/>
          </w:tcPr>
          <w:p w14:paraId="5E0E5475" w14:textId="77777777" w:rsidR="004B6277" w:rsidRPr="004B6277" w:rsidRDefault="004B6277" w:rsidP="004B6277">
            <w:pPr>
              <w:spacing w:after="0" w:line="240" w:lineRule="auto"/>
              <w:ind w:firstLine="0"/>
              <w:jc w:val="center"/>
              <w:rPr>
                <w:rFonts w:eastAsia="Times New Roman" w:cstheme="minorHAnsi"/>
                <w:color w:val="212121"/>
              </w:rPr>
            </w:pPr>
            <w:r w:rsidRPr="004B6277">
              <w:rPr>
                <w:rFonts w:eastAsia="Times New Roman" w:cstheme="minorHAnsi"/>
                <w:b/>
                <w:bCs/>
                <w:color w:val="000000"/>
              </w:rPr>
              <w:t>Item/Activity</w:t>
            </w:r>
          </w:p>
        </w:tc>
        <w:tc>
          <w:tcPr>
            <w:tcW w:w="1300" w:type="dxa"/>
            <w:tcBorders>
              <w:top w:val="nil"/>
              <w:left w:val="nil"/>
              <w:bottom w:val="single" w:sz="8" w:space="0" w:color="auto"/>
              <w:right w:val="single" w:sz="8" w:space="0" w:color="auto"/>
            </w:tcBorders>
            <w:shd w:val="clear" w:color="auto" w:fill="FFF2CC"/>
            <w:tcMar>
              <w:top w:w="0" w:type="dxa"/>
              <w:left w:w="108" w:type="dxa"/>
              <w:bottom w:w="0" w:type="dxa"/>
              <w:right w:w="108" w:type="dxa"/>
            </w:tcMar>
            <w:vAlign w:val="bottom"/>
            <w:hideMark/>
          </w:tcPr>
          <w:p w14:paraId="66CB00F1" w14:textId="77777777" w:rsidR="004B6277" w:rsidRPr="004B6277" w:rsidRDefault="004B6277" w:rsidP="004B6277">
            <w:pPr>
              <w:spacing w:after="0" w:line="240" w:lineRule="auto"/>
              <w:ind w:firstLine="0"/>
              <w:jc w:val="center"/>
              <w:rPr>
                <w:rFonts w:eastAsia="Times New Roman" w:cstheme="minorHAnsi"/>
                <w:color w:val="212121"/>
              </w:rPr>
            </w:pPr>
            <w:r w:rsidRPr="004B6277">
              <w:rPr>
                <w:rFonts w:eastAsia="Times New Roman" w:cstheme="minorHAnsi"/>
                <w:b/>
                <w:bCs/>
                <w:color w:val="000000"/>
              </w:rPr>
              <w:t>Pre-TA</w:t>
            </w:r>
          </w:p>
        </w:tc>
        <w:tc>
          <w:tcPr>
            <w:tcW w:w="1300" w:type="dxa"/>
            <w:tcBorders>
              <w:top w:val="nil"/>
              <w:left w:val="nil"/>
              <w:bottom w:val="single" w:sz="8" w:space="0" w:color="auto"/>
              <w:right w:val="single" w:sz="8" w:space="0" w:color="auto"/>
            </w:tcBorders>
            <w:shd w:val="clear" w:color="auto" w:fill="D9E1F2"/>
            <w:tcMar>
              <w:top w:w="0" w:type="dxa"/>
              <w:left w:w="108" w:type="dxa"/>
              <w:bottom w:w="0" w:type="dxa"/>
              <w:right w:w="108" w:type="dxa"/>
            </w:tcMar>
            <w:vAlign w:val="bottom"/>
            <w:hideMark/>
          </w:tcPr>
          <w:p w14:paraId="14F001BC" w14:textId="77777777" w:rsidR="004B6277" w:rsidRPr="004B6277" w:rsidRDefault="004B6277" w:rsidP="004B6277">
            <w:pPr>
              <w:spacing w:after="0" w:line="240" w:lineRule="auto"/>
              <w:ind w:firstLine="0"/>
              <w:jc w:val="center"/>
              <w:rPr>
                <w:rFonts w:eastAsia="Times New Roman" w:cstheme="minorHAnsi"/>
                <w:color w:val="212121"/>
              </w:rPr>
            </w:pPr>
            <w:r w:rsidRPr="004B6277">
              <w:rPr>
                <w:rFonts w:eastAsia="Times New Roman" w:cstheme="minorHAnsi"/>
                <w:b/>
                <w:bCs/>
                <w:color w:val="000000"/>
              </w:rPr>
              <w:t>Since TA started</w:t>
            </w:r>
          </w:p>
        </w:tc>
        <w:tc>
          <w:tcPr>
            <w:tcW w:w="1300" w:type="dxa"/>
            <w:tcBorders>
              <w:top w:val="nil"/>
              <w:left w:val="nil"/>
              <w:bottom w:val="single" w:sz="8" w:space="0" w:color="auto"/>
              <w:right w:val="single" w:sz="8" w:space="0" w:color="auto"/>
            </w:tcBorders>
            <w:shd w:val="clear" w:color="auto" w:fill="E2EFDA"/>
            <w:tcMar>
              <w:top w:w="0" w:type="dxa"/>
              <w:left w:w="108" w:type="dxa"/>
              <w:bottom w:w="0" w:type="dxa"/>
              <w:right w:w="108" w:type="dxa"/>
            </w:tcMar>
            <w:vAlign w:val="bottom"/>
            <w:hideMark/>
          </w:tcPr>
          <w:p w14:paraId="567F3727" w14:textId="77777777" w:rsidR="004B6277" w:rsidRPr="004B6277" w:rsidRDefault="004B6277" w:rsidP="004B6277">
            <w:pPr>
              <w:spacing w:after="0" w:line="240" w:lineRule="auto"/>
              <w:ind w:firstLine="0"/>
              <w:jc w:val="center"/>
              <w:rPr>
                <w:rFonts w:eastAsia="Times New Roman" w:cstheme="minorHAnsi"/>
                <w:color w:val="212121"/>
              </w:rPr>
            </w:pPr>
            <w:r w:rsidRPr="004B6277">
              <w:rPr>
                <w:rFonts w:eastAsia="Times New Roman" w:cstheme="minorHAnsi"/>
                <w:b/>
                <w:bCs/>
                <w:color w:val="000000"/>
              </w:rPr>
              <w:t>ITAA target</w:t>
            </w:r>
          </w:p>
        </w:tc>
      </w:tr>
      <w:tr w:rsidR="004B6277" w:rsidRPr="004B6277" w14:paraId="4B6A8BFF" w14:textId="77777777" w:rsidTr="00CC3D2E">
        <w:trPr>
          <w:trHeight w:val="340"/>
          <w:jc w:val="center"/>
        </w:trPr>
        <w:tc>
          <w:tcPr>
            <w:tcW w:w="410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16B26C8A" w14:textId="77777777" w:rsidR="004B6277" w:rsidRPr="004B6277" w:rsidRDefault="004B6277" w:rsidP="004B6277">
            <w:pPr>
              <w:spacing w:after="0" w:line="240" w:lineRule="auto"/>
              <w:ind w:firstLine="0"/>
              <w:rPr>
                <w:rFonts w:eastAsia="Times New Roman" w:cstheme="minorHAnsi"/>
                <w:color w:val="212121"/>
              </w:rPr>
            </w:pPr>
            <w:r w:rsidRPr="004B6277">
              <w:rPr>
                <w:rFonts w:eastAsia="Times New Roman" w:cstheme="minorHAnsi"/>
                <w:b/>
                <w:bCs/>
                <w:color w:val="000000"/>
              </w:rPr>
              <w:t>Apprenticeship</w:t>
            </w:r>
          </w:p>
        </w:tc>
        <w:tc>
          <w:tcPr>
            <w:tcW w:w="1300" w:type="dxa"/>
            <w:tcBorders>
              <w:top w:val="nil"/>
              <w:left w:val="nil"/>
              <w:bottom w:val="single" w:sz="8" w:space="0" w:color="auto"/>
              <w:right w:val="single" w:sz="8" w:space="0" w:color="auto"/>
            </w:tcBorders>
            <w:shd w:val="clear" w:color="auto" w:fill="FFF2CC"/>
            <w:tcMar>
              <w:top w:w="0" w:type="dxa"/>
              <w:left w:w="108" w:type="dxa"/>
              <w:bottom w:w="0" w:type="dxa"/>
              <w:right w:w="108" w:type="dxa"/>
            </w:tcMar>
            <w:vAlign w:val="center"/>
            <w:hideMark/>
          </w:tcPr>
          <w:p w14:paraId="55FA9C42" w14:textId="200D9088" w:rsidR="004B6277" w:rsidRPr="004B6277" w:rsidRDefault="004B6277" w:rsidP="004B6277">
            <w:pPr>
              <w:spacing w:after="0" w:line="240" w:lineRule="auto"/>
              <w:ind w:firstLine="0"/>
              <w:jc w:val="center"/>
              <w:rPr>
                <w:rFonts w:eastAsia="Times New Roman" w:cstheme="minorHAnsi"/>
                <w:color w:val="212121"/>
              </w:rPr>
            </w:pPr>
          </w:p>
        </w:tc>
        <w:tc>
          <w:tcPr>
            <w:tcW w:w="1300" w:type="dxa"/>
            <w:tcBorders>
              <w:top w:val="nil"/>
              <w:left w:val="nil"/>
              <w:bottom w:val="single" w:sz="8" w:space="0" w:color="auto"/>
              <w:right w:val="single" w:sz="8" w:space="0" w:color="auto"/>
            </w:tcBorders>
            <w:shd w:val="clear" w:color="auto" w:fill="D9E1F2"/>
            <w:tcMar>
              <w:top w:w="0" w:type="dxa"/>
              <w:left w:w="108" w:type="dxa"/>
              <w:bottom w:w="0" w:type="dxa"/>
              <w:right w:w="108" w:type="dxa"/>
            </w:tcMar>
            <w:vAlign w:val="center"/>
            <w:hideMark/>
          </w:tcPr>
          <w:p w14:paraId="0A497DAD" w14:textId="436E70A5" w:rsidR="004B6277" w:rsidRPr="004B6277" w:rsidRDefault="004B6277" w:rsidP="004B6277">
            <w:pPr>
              <w:spacing w:after="0" w:line="240" w:lineRule="auto"/>
              <w:ind w:firstLine="0"/>
              <w:jc w:val="center"/>
              <w:rPr>
                <w:rFonts w:eastAsia="Times New Roman" w:cstheme="minorHAnsi"/>
                <w:color w:val="212121"/>
              </w:rPr>
            </w:pPr>
          </w:p>
        </w:tc>
        <w:tc>
          <w:tcPr>
            <w:tcW w:w="1300" w:type="dxa"/>
            <w:tcBorders>
              <w:top w:val="nil"/>
              <w:left w:val="nil"/>
              <w:bottom w:val="single" w:sz="8" w:space="0" w:color="auto"/>
              <w:right w:val="single" w:sz="8" w:space="0" w:color="auto"/>
            </w:tcBorders>
            <w:shd w:val="clear" w:color="auto" w:fill="E2EFDA"/>
            <w:tcMar>
              <w:top w:w="0" w:type="dxa"/>
              <w:left w:w="108" w:type="dxa"/>
              <w:bottom w:w="0" w:type="dxa"/>
              <w:right w:w="108" w:type="dxa"/>
            </w:tcMar>
            <w:vAlign w:val="center"/>
            <w:hideMark/>
          </w:tcPr>
          <w:p w14:paraId="40670654" w14:textId="7EE44F77" w:rsidR="004B6277" w:rsidRPr="004B6277" w:rsidRDefault="004B6277" w:rsidP="004B6277">
            <w:pPr>
              <w:spacing w:after="0" w:line="240" w:lineRule="auto"/>
              <w:ind w:firstLine="0"/>
              <w:jc w:val="center"/>
              <w:rPr>
                <w:rFonts w:eastAsia="Times New Roman" w:cstheme="minorHAnsi"/>
                <w:color w:val="212121"/>
              </w:rPr>
            </w:pPr>
          </w:p>
        </w:tc>
      </w:tr>
      <w:tr w:rsidR="004B6277" w:rsidRPr="004B6277" w14:paraId="6E575B2C" w14:textId="77777777" w:rsidTr="00CC3D2E">
        <w:trPr>
          <w:trHeight w:val="340"/>
          <w:jc w:val="center"/>
        </w:trPr>
        <w:tc>
          <w:tcPr>
            <w:tcW w:w="410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51899A6A" w14:textId="77777777" w:rsidR="004B6277" w:rsidRPr="004B6277" w:rsidRDefault="004B6277" w:rsidP="004B6277">
            <w:pPr>
              <w:spacing w:after="0" w:line="240" w:lineRule="auto"/>
              <w:ind w:firstLine="0"/>
              <w:rPr>
                <w:rFonts w:eastAsia="Times New Roman" w:cstheme="minorHAnsi"/>
                <w:color w:val="212121"/>
              </w:rPr>
            </w:pPr>
            <w:r w:rsidRPr="004B6277">
              <w:rPr>
                <w:rFonts w:eastAsia="Times New Roman" w:cstheme="minorHAnsi"/>
                <w:color w:val="000000"/>
              </w:rPr>
              <w:t># programs</w:t>
            </w:r>
          </w:p>
        </w:tc>
        <w:tc>
          <w:tcPr>
            <w:tcW w:w="1300" w:type="dxa"/>
            <w:tcBorders>
              <w:top w:val="nil"/>
              <w:left w:val="nil"/>
              <w:bottom w:val="single" w:sz="8" w:space="0" w:color="auto"/>
              <w:right w:val="single" w:sz="8" w:space="0" w:color="auto"/>
            </w:tcBorders>
            <w:shd w:val="clear" w:color="auto" w:fill="FFF2CC"/>
            <w:tcMar>
              <w:top w:w="0" w:type="dxa"/>
              <w:left w:w="108" w:type="dxa"/>
              <w:bottom w:w="0" w:type="dxa"/>
              <w:right w:w="108" w:type="dxa"/>
            </w:tcMar>
            <w:vAlign w:val="center"/>
            <w:hideMark/>
          </w:tcPr>
          <w:p w14:paraId="26F5BA1D" w14:textId="17C98D28" w:rsidR="004B6277" w:rsidRPr="004B6277" w:rsidRDefault="004B6277" w:rsidP="004B6277">
            <w:pPr>
              <w:spacing w:after="0" w:line="240" w:lineRule="auto"/>
              <w:ind w:firstLine="0"/>
              <w:jc w:val="center"/>
              <w:rPr>
                <w:rFonts w:eastAsia="Times New Roman" w:cstheme="minorHAnsi"/>
                <w:color w:val="212121"/>
              </w:rPr>
            </w:pPr>
          </w:p>
        </w:tc>
        <w:tc>
          <w:tcPr>
            <w:tcW w:w="1300" w:type="dxa"/>
            <w:tcBorders>
              <w:top w:val="nil"/>
              <w:left w:val="nil"/>
              <w:bottom w:val="single" w:sz="8" w:space="0" w:color="auto"/>
              <w:right w:val="single" w:sz="8" w:space="0" w:color="auto"/>
            </w:tcBorders>
            <w:shd w:val="clear" w:color="auto" w:fill="D9E1F2"/>
            <w:tcMar>
              <w:top w:w="0" w:type="dxa"/>
              <w:left w:w="108" w:type="dxa"/>
              <w:bottom w:w="0" w:type="dxa"/>
              <w:right w:w="108" w:type="dxa"/>
            </w:tcMar>
            <w:vAlign w:val="center"/>
            <w:hideMark/>
          </w:tcPr>
          <w:p w14:paraId="3BF1A9B3" w14:textId="2A38F400" w:rsidR="004B6277" w:rsidRPr="004B6277" w:rsidRDefault="004B6277" w:rsidP="004B6277">
            <w:pPr>
              <w:spacing w:after="0" w:line="240" w:lineRule="auto"/>
              <w:ind w:firstLine="0"/>
              <w:jc w:val="center"/>
              <w:rPr>
                <w:rFonts w:eastAsia="Times New Roman" w:cstheme="minorHAnsi"/>
                <w:color w:val="212121"/>
              </w:rPr>
            </w:pPr>
          </w:p>
        </w:tc>
        <w:tc>
          <w:tcPr>
            <w:tcW w:w="1300" w:type="dxa"/>
            <w:tcBorders>
              <w:top w:val="nil"/>
              <w:left w:val="nil"/>
              <w:bottom w:val="single" w:sz="8" w:space="0" w:color="auto"/>
              <w:right w:val="single" w:sz="8" w:space="0" w:color="auto"/>
            </w:tcBorders>
            <w:shd w:val="clear" w:color="auto" w:fill="E2EFDA"/>
            <w:tcMar>
              <w:top w:w="0" w:type="dxa"/>
              <w:left w:w="108" w:type="dxa"/>
              <w:bottom w:w="0" w:type="dxa"/>
              <w:right w:w="108" w:type="dxa"/>
            </w:tcMar>
            <w:vAlign w:val="center"/>
            <w:hideMark/>
          </w:tcPr>
          <w:p w14:paraId="41081696" w14:textId="65F56DE1" w:rsidR="004B6277" w:rsidRPr="004B6277" w:rsidRDefault="004B6277" w:rsidP="004B6277">
            <w:pPr>
              <w:spacing w:after="0" w:line="240" w:lineRule="auto"/>
              <w:ind w:firstLine="0"/>
              <w:jc w:val="center"/>
              <w:rPr>
                <w:rFonts w:eastAsia="Times New Roman" w:cstheme="minorHAnsi"/>
                <w:color w:val="212121"/>
              </w:rPr>
            </w:pPr>
          </w:p>
        </w:tc>
      </w:tr>
      <w:tr w:rsidR="004B6277" w:rsidRPr="004B6277" w14:paraId="0E9270A9" w14:textId="77777777" w:rsidTr="00CC3D2E">
        <w:trPr>
          <w:trHeight w:val="340"/>
          <w:jc w:val="center"/>
        </w:trPr>
        <w:tc>
          <w:tcPr>
            <w:tcW w:w="410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851894B" w14:textId="77777777" w:rsidR="004B6277" w:rsidRPr="004B6277" w:rsidRDefault="004B6277" w:rsidP="004B6277">
            <w:pPr>
              <w:spacing w:after="0" w:line="240" w:lineRule="auto"/>
              <w:ind w:firstLine="0"/>
              <w:rPr>
                <w:rFonts w:eastAsia="Times New Roman" w:cstheme="minorHAnsi"/>
                <w:color w:val="212121"/>
              </w:rPr>
            </w:pPr>
            <w:r w:rsidRPr="004B6277">
              <w:rPr>
                <w:rFonts w:eastAsia="Times New Roman" w:cstheme="minorHAnsi"/>
                <w:color w:val="000000"/>
              </w:rPr>
              <w:t># participants</w:t>
            </w:r>
          </w:p>
        </w:tc>
        <w:tc>
          <w:tcPr>
            <w:tcW w:w="1300" w:type="dxa"/>
            <w:tcBorders>
              <w:top w:val="nil"/>
              <w:left w:val="nil"/>
              <w:bottom w:val="single" w:sz="8" w:space="0" w:color="auto"/>
              <w:right w:val="single" w:sz="8" w:space="0" w:color="auto"/>
            </w:tcBorders>
            <w:shd w:val="clear" w:color="auto" w:fill="FFF2CC"/>
            <w:tcMar>
              <w:top w:w="0" w:type="dxa"/>
              <w:left w:w="108" w:type="dxa"/>
              <w:bottom w:w="0" w:type="dxa"/>
              <w:right w:w="108" w:type="dxa"/>
            </w:tcMar>
            <w:vAlign w:val="center"/>
            <w:hideMark/>
          </w:tcPr>
          <w:p w14:paraId="5B0CC1B6" w14:textId="77777777" w:rsidR="004B6277" w:rsidRPr="004B6277" w:rsidRDefault="004B6277" w:rsidP="004B6277">
            <w:pPr>
              <w:spacing w:after="0" w:line="240" w:lineRule="auto"/>
              <w:ind w:firstLine="0"/>
              <w:jc w:val="center"/>
              <w:rPr>
                <w:rFonts w:eastAsia="Times New Roman" w:cstheme="minorHAnsi"/>
                <w:color w:val="212121"/>
              </w:rPr>
            </w:pPr>
            <w:r w:rsidRPr="004B6277">
              <w:rPr>
                <w:rFonts w:eastAsia="Times New Roman" w:cstheme="minorHAnsi"/>
                <w:color w:val="000000"/>
              </w:rPr>
              <w:t>0</w:t>
            </w:r>
          </w:p>
        </w:tc>
        <w:tc>
          <w:tcPr>
            <w:tcW w:w="1300" w:type="dxa"/>
            <w:tcBorders>
              <w:top w:val="nil"/>
              <w:left w:val="nil"/>
              <w:bottom w:val="single" w:sz="8" w:space="0" w:color="auto"/>
              <w:right w:val="single" w:sz="8" w:space="0" w:color="auto"/>
            </w:tcBorders>
            <w:shd w:val="clear" w:color="auto" w:fill="D9E1F2"/>
            <w:tcMar>
              <w:top w:w="0" w:type="dxa"/>
              <w:left w:w="108" w:type="dxa"/>
              <w:bottom w:w="0" w:type="dxa"/>
              <w:right w:w="108" w:type="dxa"/>
            </w:tcMar>
            <w:vAlign w:val="center"/>
            <w:hideMark/>
          </w:tcPr>
          <w:p w14:paraId="13703731" w14:textId="77777777" w:rsidR="004B6277" w:rsidRPr="004B6277" w:rsidRDefault="004B6277" w:rsidP="004B6277">
            <w:pPr>
              <w:spacing w:after="0" w:line="240" w:lineRule="auto"/>
              <w:ind w:firstLine="0"/>
              <w:jc w:val="center"/>
              <w:rPr>
                <w:rFonts w:eastAsia="Times New Roman" w:cstheme="minorHAnsi"/>
                <w:color w:val="212121"/>
              </w:rPr>
            </w:pPr>
            <w:r w:rsidRPr="004B6277">
              <w:rPr>
                <w:rFonts w:eastAsia="Times New Roman" w:cstheme="minorHAnsi"/>
                <w:color w:val="000000"/>
              </w:rPr>
              <w:t>29</w:t>
            </w:r>
          </w:p>
        </w:tc>
        <w:tc>
          <w:tcPr>
            <w:tcW w:w="1300" w:type="dxa"/>
            <w:tcBorders>
              <w:top w:val="nil"/>
              <w:left w:val="nil"/>
              <w:bottom w:val="single" w:sz="8" w:space="0" w:color="auto"/>
              <w:right w:val="single" w:sz="8" w:space="0" w:color="auto"/>
            </w:tcBorders>
            <w:shd w:val="clear" w:color="auto" w:fill="E2EFDA"/>
            <w:tcMar>
              <w:top w:w="0" w:type="dxa"/>
              <w:left w:w="108" w:type="dxa"/>
              <w:bottom w:w="0" w:type="dxa"/>
              <w:right w:w="108" w:type="dxa"/>
            </w:tcMar>
            <w:vAlign w:val="center"/>
            <w:hideMark/>
          </w:tcPr>
          <w:p w14:paraId="5301FEA2" w14:textId="13852E54" w:rsidR="004B6277" w:rsidRPr="004B6277" w:rsidRDefault="004B6277" w:rsidP="004B6277">
            <w:pPr>
              <w:spacing w:after="0" w:line="240" w:lineRule="auto"/>
              <w:ind w:firstLine="0"/>
              <w:jc w:val="center"/>
              <w:rPr>
                <w:rFonts w:eastAsia="Times New Roman" w:cstheme="minorHAnsi"/>
                <w:color w:val="212121"/>
              </w:rPr>
            </w:pPr>
          </w:p>
        </w:tc>
      </w:tr>
      <w:tr w:rsidR="004B6277" w:rsidRPr="004B6277" w14:paraId="38BDC56D" w14:textId="77777777" w:rsidTr="00CC3D2E">
        <w:trPr>
          <w:trHeight w:val="340"/>
          <w:jc w:val="center"/>
        </w:trPr>
        <w:tc>
          <w:tcPr>
            <w:tcW w:w="410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2F8B4C6" w14:textId="77777777" w:rsidR="004B6277" w:rsidRPr="004B6277" w:rsidRDefault="004B6277" w:rsidP="004B6277">
            <w:pPr>
              <w:spacing w:after="0" w:line="240" w:lineRule="auto"/>
              <w:ind w:firstLine="0"/>
              <w:jc w:val="right"/>
              <w:rPr>
                <w:rFonts w:eastAsia="Times New Roman" w:cstheme="minorHAnsi"/>
                <w:color w:val="212121"/>
              </w:rPr>
            </w:pPr>
            <w:r w:rsidRPr="004B6277">
              <w:rPr>
                <w:rFonts w:eastAsia="Times New Roman" w:cstheme="minorHAnsi"/>
                <w:color w:val="000000"/>
              </w:rPr>
              <w:t>established</w:t>
            </w:r>
          </w:p>
        </w:tc>
        <w:tc>
          <w:tcPr>
            <w:tcW w:w="1300" w:type="dxa"/>
            <w:tcBorders>
              <w:top w:val="nil"/>
              <w:left w:val="nil"/>
              <w:bottom w:val="single" w:sz="8" w:space="0" w:color="auto"/>
              <w:right w:val="single" w:sz="8" w:space="0" w:color="auto"/>
            </w:tcBorders>
            <w:shd w:val="clear" w:color="auto" w:fill="FFF2CC"/>
            <w:tcMar>
              <w:top w:w="0" w:type="dxa"/>
              <w:left w:w="108" w:type="dxa"/>
              <w:bottom w:w="0" w:type="dxa"/>
              <w:right w:w="108" w:type="dxa"/>
            </w:tcMar>
            <w:vAlign w:val="center"/>
            <w:hideMark/>
          </w:tcPr>
          <w:p w14:paraId="3A3BDE4E" w14:textId="77777777" w:rsidR="004B6277" w:rsidRPr="004B6277" w:rsidRDefault="004B6277" w:rsidP="004B6277">
            <w:pPr>
              <w:spacing w:after="0" w:line="240" w:lineRule="auto"/>
              <w:ind w:firstLine="0"/>
              <w:jc w:val="center"/>
              <w:rPr>
                <w:rFonts w:eastAsia="Times New Roman" w:cstheme="minorHAnsi"/>
                <w:color w:val="212121"/>
              </w:rPr>
            </w:pPr>
            <w:r w:rsidRPr="004B6277">
              <w:rPr>
                <w:rFonts w:eastAsia="Times New Roman" w:cstheme="minorHAnsi"/>
                <w:color w:val="000000"/>
              </w:rPr>
              <w:t>0</w:t>
            </w:r>
          </w:p>
        </w:tc>
        <w:tc>
          <w:tcPr>
            <w:tcW w:w="1300" w:type="dxa"/>
            <w:tcBorders>
              <w:top w:val="nil"/>
              <w:left w:val="nil"/>
              <w:bottom w:val="single" w:sz="8" w:space="0" w:color="auto"/>
              <w:right w:val="single" w:sz="8" w:space="0" w:color="auto"/>
            </w:tcBorders>
            <w:shd w:val="clear" w:color="auto" w:fill="D9E1F2"/>
            <w:tcMar>
              <w:top w:w="0" w:type="dxa"/>
              <w:left w:w="108" w:type="dxa"/>
              <w:bottom w:w="0" w:type="dxa"/>
              <w:right w:w="108" w:type="dxa"/>
            </w:tcMar>
            <w:vAlign w:val="center"/>
            <w:hideMark/>
          </w:tcPr>
          <w:p w14:paraId="25CC3007" w14:textId="77777777" w:rsidR="004B6277" w:rsidRPr="004B6277" w:rsidRDefault="004B6277" w:rsidP="004B6277">
            <w:pPr>
              <w:spacing w:after="0" w:line="240" w:lineRule="auto"/>
              <w:ind w:firstLine="0"/>
              <w:jc w:val="center"/>
              <w:rPr>
                <w:rFonts w:eastAsia="Times New Roman" w:cstheme="minorHAnsi"/>
                <w:color w:val="212121"/>
              </w:rPr>
            </w:pPr>
            <w:r w:rsidRPr="004B6277">
              <w:rPr>
                <w:rFonts w:eastAsia="Times New Roman" w:cstheme="minorHAnsi"/>
                <w:color w:val="000000"/>
              </w:rPr>
              <w:t>18</w:t>
            </w:r>
          </w:p>
        </w:tc>
        <w:tc>
          <w:tcPr>
            <w:tcW w:w="1300" w:type="dxa"/>
            <w:tcBorders>
              <w:top w:val="nil"/>
              <w:left w:val="nil"/>
              <w:bottom w:val="single" w:sz="8" w:space="0" w:color="auto"/>
              <w:right w:val="single" w:sz="8" w:space="0" w:color="auto"/>
            </w:tcBorders>
            <w:shd w:val="clear" w:color="auto" w:fill="E2EFDA"/>
            <w:tcMar>
              <w:top w:w="0" w:type="dxa"/>
              <w:left w:w="108" w:type="dxa"/>
              <w:bottom w:w="0" w:type="dxa"/>
              <w:right w:w="108" w:type="dxa"/>
            </w:tcMar>
            <w:vAlign w:val="center"/>
            <w:hideMark/>
          </w:tcPr>
          <w:p w14:paraId="255B4048" w14:textId="774EFAF8" w:rsidR="004B6277" w:rsidRPr="004B6277" w:rsidRDefault="004B6277" w:rsidP="004B6277">
            <w:pPr>
              <w:spacing w:after="0" w:line="240" w:lineRule="auto"/>
              <w:ind w:firstLine="0"/>
              <w:jc w:val="center"/>
              <w:rPr>
                <w:rFonts w:eastAsia="Times New Roman" w:cstheme="minorHAnsi"/>
                <w:color w:val="212121"/>
              </w:rPr>
            </w:pPr>
          </w:p>
        </w:tc>
      </w:tr>
      <w:tr w:rsidR="004B6277" w:rsidRPr="004B6277" w14:paraId="2BEEAA41" w14:textId="77777777" w:rsidTr="00CC3D2E">
        <w:trPr>
          <w:trHeight w:val="340"/>
          <w:jc w:val="center"/>
        </w:trPr>
        <w:tc>
          <w:tcPr>
            <w:tcW w:w="410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634BB412" w14:textId="77777777" w:rsidR="004B6277" w:rsidRPr="004B6277" w:rsidRDefault="004B6277" w:rsidP="004B6277">
            <w:pPr>
              <w:spacing w:after="0" w:line="240" w:lineRule="auto"/>
              <w:ind w:firstLine="0"/>
              <w:jc w:val="right"/>
              <w:rPr>
                <w:rFonts w:eastAsia="Times New Roman" w:cstheme="minorHAnsi"/>
                <w:color w:val="212121"/>
              </w:rPr>
            </w:pPr>
            <w:r w:rsidRPr="004B6277">
              <w:rPr>
                <w:rFonts w:eastAsia="Times New Roman" w:cstheme="minorHAnsi"/>
                <w:color w:val="000000"/>
              </w:rPr>
              <w:t>pipeline</w:t>
            </w:r>
          </w:p>
        </w:tc>
        <w:tc>
          <w:tcPr>
            <w:tcW w:w="1300" w:type="dxa"/>
            <w:tcBorders>
              <w:top w:val="nil"/>
              <w:left w:val="nil"/>
              <w:bottom w:val="single" w:sz="8" w:space="0" w:color="auto"/>
              <w:right w:val="single" w:sz="8" w:space="0" w:color="auto"/>
            </w:tcBorders>
            <w:shd w:val="clear" w:color="auto" w:fill="FFF2CC"/>
            <w:tcMar>
              <w:top w:w="0" w:type="dxa"/>
              <w:left w:w="108" w:type="dxa"/>
              <w:bottom w:w="0" w:type="dxa"/>
              <w:right w:w="108" w:type="dxa"/>
            </w:tcMar>
            <w:vAlign w:val="center"/>
            <w:hideMark/>
          </w:tcPr>
          <w:p w14:paraId="6A480FB2" w14:textId="77777777" w:rsidR="004B6277" w:rsidRPr="004B6277" w:rsidRDefault="004B6277" w:rsidP="004B6277">
            <w:pPr>
              <w:spacing w:after="0" w:line="240" w:lineRule="auto"/>
              <w:ind w:firstLine="0"/>
              <w:jc w:val="center"/>
              <w:rPr>
                <w:rFonts w:eastAsia="Times New Roman" w:cstheme="minorHAnsi"/>
                <w:color w:val="212121"/>
              </w:rPr>
            </w:pPr>
            <w:r w:rsidRPr="004B6277">
              <w:rPr>
                <w:rFonts w:eastAsia="Times New Roman" w:cstheme="minorHAnsi"/>
                <w:color w:val="000000"/>
              </w:rPr>
              <w:t>0</w:t>
            </w:r>
          </w:p>
        </w:tc>
        <w:tc>
          <w:tcPr>
            <w:tcW w:w="1300" w:type="dxa"/>
            <w:tcBorders>
              <w:top w:val="nil"/>
              <w:left w:val="nil"/>
              <w:bottom w:val="single" w:sz="8" w:space="0" w:color="auto"/>
              <w:right w:val="single" w:sz="8" w:space="0" w:color="auto"/>
            </w:tcBorders>
            <w:shd w:val="clear" w:color="auto" w:fill="D9E1F2"/>
            <w:tcMar>
              <w:top w:w="0" w:type="dxa"/>
              <w:left w:w="108" w:type="dxa"/>
              <w:bottom w:w="0" w:type="dxa"/>
              <w:right w:w="108" w:type="dxa"/>
            </w:tcMar>
            <w:vAlign w:val="center"/>
            <w:hideMark/>
          </w:tcPr>
          <w:p w14:paraId="698F14DA" w14:textId="77777777" w:rsidR="004B6277" w:rsidRPr="004B6277" w:rsidRDefault="004B6277" w:rsidP="004B6277">
            <w:pPr>
              <w:spacing w:after="0" w:line="240" w:lineRule="auto"/>
              <w:ind w:firstLine="0"/>
              <w:jc w:val="center"/>
              <w:rPr>
                <w:rFonts w:eastAsia="Times New Roman" w:cstheme="minorHAnsi"/>
                <w:color w:val="212121"/>
              </w:rPr>
            </w:pPr>
            <w:r w:rsidRPr="004B6277">
              <w:rPr>
                <w:rFonts w:eastAsia="Times New Roman" w:cstheme="minorHAnsi"/>
                <w:color w:val="000000"/>
              </w:rPr>
              <w:t>11</w:t>
            </w:r>
          </w:p>
        </w:tc>
        <w:tc>
          <w:tcPr>
            <w:tcW w:w="1300" w:type="dxa"/>
            <w:tcBorders>
              <w:top w:val="nil"/>
              <w:left w:val="nil"/>
              <w:bottom w:val="single" w:sz="8" w:space="0" w:color="auto"/>
              <w:right w:val="single" w:sz="8" w:space="0" w:color="auto"/>
            </w:tcBorders>
            <w:shd w:val="clear" w:color="auto" w:fill="E2EFDA"/>
            <w:tcMar>
              <w:top w:w="0" w:type="dxa"/>
              <w:left w:w="108" w:type="dxa"/>
              <w:bottom w:w="0" w:type="dxa"/>
              <w:right w:w="108" w:type="dxa"/>
            </w:tcMar>
            <w:vAlign w:val="center"/>
            <w:hideMark/>
          </w:tcPr>
          <w:p w14:paraId="311FCC55" w14:textId="2BFEED9D" w:rsidR="004B6277" w:rsidRPr="004B6277" w:rsidRDefault="004B6277" w:rsidP="004B6277">
            <w:pPr>
              <w:spacing w:after="0" w:line="240" w:lineRule="auto"/>
              <w:ind w:firstLine="0"/>
              <w:jc w:val="center"/>
              <w:rPr>
                <w:rFonts w:eastAsia="Times New Roman" w:cstheme="minorHAnsi"/>
                <w:color w:val="212121"/>
              </w:rPr>
            </w:pPr>
          </w:p>
        </w:tc>
      </w:tr>
    </w:tbl>
    <w:p w14:paraId="7E063D20" w14:textId="77777777" w:rsidR="004B6277" w:rsidRPr="004B6277" w:rsidRDefault="004B6277" w:rsidP="004B6277">
      <w:pPr>
        <w:shd w:val="clear" w:color="auto" w:fill="FFFFFF"/>
        <w:spacing w:after="0" w:line="240" w:lineRule="auto"/>
        <w:ind w:firstLine="0"/>
        <w:rPr>
          <w:rFonts w:ascii="Calibri" w:eastAsia="Times New Roman" w:hAnsi="Calibri" w:cs="Calibri"/>
          <w:color w:val="212121"/>
          <w:sz w:val="24"/>
          <w:szCs w:val="24"/>
        </w:rPr>
      </w:pPr>
      <w:r w:rsidRPr="004B6277">
        <w:rPr>
          <w:rFonts w:ascii="Calibri" w:eastAsia="Times New Roman" w:hAnsi="Calibri" w:cs="Calibri"/>
          <w:color w:val="212121"/>
        </w:rPr>
        <w:t> </w:t>
      </w:r>
    </w:p>
    <w:p w14:paraId="765491DF" w14:textId="77777777" w:rsidR="004B6277" w:rsidRDefault="004B6277" w:rsidP="001B26BB"/>
    <w:p w14:paraId="2A693E8E" w14:textId="77777777" w:rsidR="001B26BB" w:rsidRDefault="001B26BB" w:rsidP="001B26BB">
      <w:r>
        <w:br w:type="page"/>
      </w:r>
    </w:p>
    <w:p w14:paraId="22918D6D" w14:textId="59B55F35" w:rsidR="001B26BB" w:rsidRPr="004B327C" w:rsidRDefault="00910D21" w:rsidP="001B26BB">
      <w:pPr>
        <w:pStyle w:val="Heading2"/>
        <w:rPr>
          <w:szCs w:val="36"/>
        </w:rPr>
      </w:pPr>
      <w:bookmarkStart w:id="191" w:name="_Toc41940295"/>
      <w:r>
        <w:rPr>
          <w:szCs w:val="36"/>
        </w:rPr>
        <w:lastRenderedPageBreak/>
        <w:t>Apprenticeship</w:t>
      </w:r>
      <w:r w:rsidR="001B26BB" w:rsidRPr="004B327C">
        <w:rPr>
          <w:szCs w:val="36"/>
        </w:rPr>
        <w:t xml:space="preserve"> </w:t>
      </w:r>
      <w:r>
        <w:rPr>
          <w:szCs w:val="36"/>
        </w:rPr>
        <w:t>ITA</w:t>
      </w:r>
      <w:r w:rsidRPr="004B327C">
        <w:rPr>
          <w:szCs w:val="36"/>
        </w:rPr>
        <w:t>s: Resources</w:t>
      </w:r>
      <w:bookmarkEnd w:id="191"/>
    </w:p>
    <w:p w14:paraId="44EB5F25" w14:textId="77777777" w:rsidR="001B26BB" w:rsidRPr="00295A1F" w:rsidRDefault="001B26BB" w:rsidP="00910D21">
      <w:r w:rsidRPr="00295A1F">
        <w:t xml:space="preserve">Available on the WINTAC website, the Apprenticeship team has developed a number of resources to support TA and training and provide guidance to SVRAs.  As with all topic area pages, up at the top is an immediately visible section linking visitors to COVID-19 relevant resources.  </w:t>
      </w:r>
    </w:p>
    <w:p w14:paraId="7038F25E" w14:textId="77777777" w:rsidR="001B26BB" w:rsidRDefault="001B26BB" w:rsidP="00910D21">
      <w:r w:rsidRPr="00211CEB">
        <w:t xml:space="preserve">Examining traffic to the Apprenticeship Resources page, we see 221 Page Views &amp; 12 Entrances for Year 5 thus far.  </w:t>
      </w:r>
      <w:r>
        <w:t>There does appear to be higher rates of traffic</w:t>
      </w:r>
      <w:r w:rsidRPr="00211CEB">
        <w:t xml:space="preserve"> after the pandemic, when online resources became critical for SVRAs operating largely or entirely virtually</w:t>
      </w:r>
      <w:r>
        <w:t>, but not a clear spike as seen for some other pages.  Nonetheless, traffic is strong and stable and not declining, which shows ongoing engagement and exploration of apprenticeship strategies.</w:t>
      </w:r>
    </w:p>
    <w:p w14:paraId="53B6ECA5" w14:textId="77777777" w:rsidR="001B26BB" w:rsidRPr="00BF43AE" w:rsidRDefault="001B26BB" w:rsidP="001B26BB">
      <w:pPr>
        <w:spacing w:after="0" w:line="240" w:lineRule="auto"/>
      </w:pPr>
    </w:p>
    <w:p w14:paraId="2BA15062" w14:textId="77777777" w:rsidR="001B26BB" w:rsidRDefault="001B26BB" w:rsidP="00910D21">
      <w:pPr>
        <w:ind w:firstLine="0"/>
      </w:pPr>
      <w:r>
        <w:rPr>
          <w:noProof/>
          <w:lang w:eastAsia="ko-KR"/>
        </w:rPr>
        <w:drawing>
          <wp:inline distT="0" distB="0" distL="0" distR="0" wp14:anchorId="36234B5D" wp14:editId="143C9350">
            <wp:extent cx="5943600" cy="1308735"/>
            <wp:effectExtent l="0" t="0" r="0" b="5715"/>
            <wp:docPr id="436" name="Picture 436" descr="Web analytics chart showing entrances and page views">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5943600" cy="1308735"/>
                    </a:xfrm>
                    <a:prstGeom prst="rect">
                      <a:avLst/>
                    </a:prstGeom>
                  </pic:spPr>
                </pic:pic>
              </a:graphicData>
            </a:graphic>
          </wp:inline>
        </w:drawing>
      </w:r>
    </w:p>
    <w:p w14:paraId="66957C4B" w14:textId="77777777" w:rsidR="001B26BB" w:rsidRDefault="001B26BB" w:rsidP="001B26BB">
      <w:pPr>
        <w:spacing w:after="0" w:line="240" w:lineRule="auto"/>
        <w:rPr>
          <w:rFonts w:eastAsia="Times New Roman" w:cstheme="minorHAnsi"/>
        </w:rPr>
      </w:pPr>
    </w:p>
    <w:p w14:paraId="7826A3EE" w14:textId="77777777" w:rsidR="001B26BB" w:rsidRPr="00EA77D7" w:rsidRDefault="001B26BB" w:rsidP="00C575C8">
      <w:pPr>
        <w:pStyle w:val="ListParagraph"/>
        <w:numPr>
          <w:ilvl w:val="1"/>
          <w:numId w:val="91"/>
        </w:numPr>
        <w:ind w:left="360"/>
        <w:rPr>
          <w:rFonts w:cstheme="minorHAnsi"/>
          <w:b/>
          <w:bCs/>
        </w:rPr>
      </w:pPr>
      <w:bookmarkStart w:id="192" w:name="apprenticeships"/>
      <w:bookmarkEnd w:id="192"/>
      <w:r w:rsidRPr="00EA77D7">
        <w:rPr>
          <w:rFonts w:cstheme="minorHAnsi"/>
          <w:b/>
          <w:bCs/>
        </w:rPr>
        <w:t>Apprenticeships: Resources</w:t>
      </w:r>
    </w:p>
    <w:p w14:paraId="7D6BC87C" w14:textId="77777777" w:rsidR="001B26BB" w:rsidRPr="00EA77D7" w:rsidRDefault="0084664F" w:rsidP="00C575C8">
      <w:pPr>
        <w:pStyle w:val="ListParagraph"/>
        <w:numPr>
          <w:ilvl w:val="1"/>
          <w:numId w:val="92"/>
        </w:numPr>
        <w:rPr>
          <w:rFonts w:cstheme="minorHAnsi"/>
        </w:rPr>
      </w:pPr>
      <w:hyperlink r:id="rId513" w:tgtFrame="_blank" w:history="1">
        <w:r w:rsidR="001B26BB" w:rsidRPr="00EA77D7">
          <w:rPr>
            <w:rStyle w:val="Hyperlink"/>
            <w:rFonts w:cstheme="minorHAnsi"/>
          </w:rPr>
          <w:t>Apprenticeship Sponsor database by location</w:t>
        </w:r>
      </w:hyperlink>
    </w:p>
    <w:p w14:paraId="2AF733F6" w14:textId="77777777" w:rsidR="001B26BB" w:rsidRPr="00EA77D7" w:rsidRDefault="0084664F" w:rsidP="00C575C8">
      <w:pPr>
        <w:pStyle w:val="ListParagraph"/>
        <w:numPr>
          <w:ilvl w:val="1"/>
          <w:numId w:val="92"/>
        </w:numPr>
        <w:rPr>
          <w:rFonts w:cstheme="minorHAnsi"/>
        </w:rPr>
      </w:pPr>
      <w:hyperlink r:id="rId514" w:tgtFrame="_blank" w:history="1">
        <w:r w:rsidR="001B26BB" w:rsidRPr="00EA77D7">
          <w:rPr>
            <w:rStyle w:val="Hyperlink"/>
            <w:rFonts w:cstheme="minorHAnsi"/>
          </w:rPr>
          <w:t>JDVRTAC guide to pre-apprenticeship</w:t>
        </w:r>
      </w:hyperlink>
    </w:p>
    <w:p w14:paraId="68912208" w14:textId="77777777" w:rsidR="001B26BB" w:rsidRPr="00EA77D7" w:rsidRDefault="0084664F" w:rsidP="00C575C8">
      <w:pPr>
        <w:pStyle w:val="ListParagraph"/>
        <w:numPr>
          <w:ilvl w:val="1"/>
          <w:numId w:val="92"/>
        </w:numPr>
        <w:rPr>
          <w:rFonts w:cstheme="minorHAnsi"/>
        </w:rPr>
      </w:pPr>
      <w:hyperlink r:id="rId515" w:tgtFrame="_blank" w:history="1">
        <w:r w:rsidR="001B26BB" w:rsidRPr="00EA77D7">
          <w:rPr>
            <w:rStyle w:val="Hyperlink"/>
            <w:rFonts w:cstheme="minorHAnsi"/>
          </w:rPr>
          <w:t>Step-by-Step Apprenticeship Implementation Guide for VR agencies</w:t>
        </w:r>
      </w:hyperlink>
    </w:p>
    <w:p w14:paraId="22D3798E" w14:textId="77777777" w:rsidR="001B26BB" w:rsidRPr="00EA77D7" w:rsidRDefault="0084664F" w:rsidP="00C575C8">
      <w:pPr>
        <w:pStyle w:val="ListParagraph"/>
        <w:numPr>
          <w:ilvl w:val="1"/>
          <w:numId w:val="92"/>
        </w:numPr>
        <w:rPr>
          <w:rFonts w:cstheme="minorHAnsi"/>
        </w:rPr>
      </w:pPr>
      <w:hyperlink r:id="rId516" w:tgtFrame="_blank" w:history="1">
        <w:r w:rsidR="001B26BB" w:rsidRPr="00EA77D7">
          <w:rPr>
            <w:rStyle w:val="Hyperlink"/>
            <w:rFonts w:cstheme="minorHAnsi"/>
          </w:rPr>
          <w:t>Apprenticeship Works Video Series</w:t>
        </w:r>
      </w:hyperlink>
    </w:p>
    <w:p w14:paraId="25EAFE9A" w14:textId="77777777" w:rsidR="001B26BB" w:rsidRPr="00EA77D7" w:rsidRDefault="0084664F" w:rsidP="00C575C8">
      <w:pPr>
        <w:pStyle w:val="ListParagraph"/>
        <w:numPr>
          <w:ilvl w:val="1"/>
          <w:numId w:val="92"/>
        </w:numPr>
        <w:rPr>
          <w:rFonts w:cstheme="minorHAnsi"/>
        </w:rPr>
      </w:pPr>
      <w:hyperlink r:id="rId517" w:tgtFrame="_blank" w:history="1">
        <w:r w:rsidR="001B26BB" w:rsidRPr="00EA77D7">
          <w:rPr>
            <w:rStyle w:val="Hyperlink"/>
            <w:rFonts w:cstheme="minorHAnsi"/>
          </w:rPr>
          <w:t>Fact Sheet on updated EEO regulations that pertain to Apprenticeship</w:t>
        </w:r>
      </w:hyperlink>
    </w:p>
    <w:p w14:paraId="43360E65" w14:textId="77777777" w:rsidR="001B26BB" w:rsidRPr="00EA77D7" w:rsidRDefault="0084664F" w:rsidP="00C575C8">
      <w:pPr>
        <w:pStyle w:val="ListParagraph"/>
        <w:numPr>
          <w:ilvl w:val="1"/>
          <w:numId w:val="92"/>
        </w:numPr>
        <w:rPr>
          <w:rFonts w:cstheme="minorHAnsi"/>
        </w:rPr>
      </w:pPr>
      <w:hyperlink r:id="rId518" w:tgtFrame="_blank" w:history="1">
        <w:r w:rsidR="001B26BB" w:rsidRPr="00EA77D7">
          <w:rPr>
            <w:rStyle w:val="Hyperlink"/>
            <w:rFonts w:cstheme="minorHAnsi"/>
          </w:rPr>
          <w:t>ApprenticeshipUSA Toolkit</w:t>
        </w:r>
      </w:hyperlink>
    </w:p>
    <w:p w14:paraId="0BD3183A" w14:textId="77777777" w:rsidR="001B26BB" w:rsidRPr="00EA77D7" w:rsidRDefault="0084664F" w:rsidP="00C575C8">
      <w:pPr>
        <w:pStyle w:val="ListParagraph"/>
        <w:numPr>
          <w:ilvl w:val="1"/>
          <w:numId w:val="92"/>
        </w:numPr>
        <w:rPr>
          <w:rFonts w:cstheme="minorHAnsi"/>
        </w:rPr>
      </w:pPr>
      <w:hyperlink r:id="rId519" w:tgtFrame="_blank" w:history="1">
        <w:r w:rsidR="001B26BB" w:rsidRPr="00EA77D7">
          <w:rPr>
            <w:rStyle w:val="Hyperlink"/>
            <w:rFonts w:cstheme="minorHAnsi"/>
          </w:rPr>
          <w:t>Apprenticeship and VA benefits</w:t>
        </w:r>
      </w:hyperlink>
    </w:p>
    <w:p w14:paraId="3C553340" w14:textId="77777777" w:rsidR="001B26BB" w:rsidRPr="00EA77D7" w:rsidRDefault="0084664F" w:rsidP="00C575C8">
      <w:pPr>
        <w:pStyle w:val="ListParagraph"/>
        <w:numPr>
          <w:ilvl w:val="1"/>
          <w:numId w:val="92"/>
        </w:numPr>
        <w:rPr>
          <w:rFonts w:cstheme="minorHAnsi"/>
        </w:rPr>
      </w:pPr>
      <w:hyperlink r:id="rId520" w:tgtFrame="_blank" w:history="1">
        <w:r w:rsidR="001B26BB" w:rsidRPr="00EA77D7">
          <w:rPr>
            <w:rStyle w:val="Hyperlink"/>
            <w:rFonts w:cstheme="minorHAnsi"/>
          </w:rPr>
          <w:t>Leveraging partners: WIOA authorized use of Title I funds for apprenticeship</w:t>
        </w:r>
      </w:hyperlink>
    </w:p>
    <w:p w14:paraId="2B9BF159" w14:textId="77777777" w:rsidR="001B26BB" w:rsidRPr="00EA77D7" w:rsidRDefault="0084664F" w:rsidP="00C575C8">
      <w:pPr>
        <w:pStyle w:val="ListParagraph"/>
        <w:numPr>
          <w:ilvl w:val="1"/>
          <w:numId w:val="92"/>
        </w:numPr>
        <w:rPr>
          <w:rFonts w:cstheme="minorHAnsi"/>
        </w:rPr>
      </w:pPr>
      <w:hyperlink r:id="rId521" w:history="1">
        <w:r w:rsidR="001B26BB" w:rsidRPr="00EA77D7">
          <w:rPr>
            <w:rStyle w:val="Hyperlink"/>
            <w:rFonts w:cstheme="minorHAnsi"/>
          </w:rPr>
          <w:t>WINTAC Career Pathways Community of Practice</w:t>
        </w:r>
      </w:hyperlink>
    </w:p>
    <w:p w14:paraId="1886A7AB" w14:textId="77777777" w:rsidR="001B26BB" w:rsidRPr="00EA77D7" w:rsidRDefault="0084664F" w:rsidP="00C575C8">
      <w:pPr>
        <w:pStyle w:val="ListParagraph"/>
        <w:numPr>
          <w:ilvl w:val="1"/>
          <w:numId w:val="92"/>
        </w:numPr>
        <w:rPr>
          <w:rFonts w:cstheme="minorHAnsi"/>
        </w:rPr>
      </w:pPr>
      <w:hyperlink r:id="rId522" w:tgtFrame="_blank" w:history="1">
        <w:r w:rsidR="001B26BB" w:rsidRPr="00EA77D7">
          <w:rPr>
            <w:rStyle w:val="Hyperlink"/>
            <w:rFonts w:cstheme="minorHAnsi"/>
          </w:rPr>
          <w:t>Apprenticeship Fact Sheet</w:t>
        </w:r>
      </w:hyperlink>
    </w:p>
    <w:p w14:paraId="00DB17C7" w14:textId="77777777" w:rsidR="001B26BB" w:rsidRPr="00EA77D7" w:rsidRDefault="001B26BB" w:rsidP="00C575C8">
      <w:pPr>
        <w:pStyle w:val="ListParagraph"/>
        <w:numPr>
          <w:ilvl w:val="1"/>
          <w:numId w:val="91"/>
        </w:numPr>
        <w:ind w:left="360"/>
        <w:rPr>
          <w:rFonts w:cstheme="minorHAnsi"/>
          <w:b/>
          <w:bCs/>
        </w:rPr>
      </w:pPr>
      <w:r w:rsidRPr="00EA77D7">
        <w:rPr>
          <w:rFonts w:cstheme="minorHAnsi"/>
          <w:b/>
          <w:bCs/>
        </w:rPr>
        <w:t>Apprenticeships: Training</w:t>
      </w:r>
    </w:p>
    <w:p w14:paraId="702BD9CC" w14:textId="77777777" w:rsidR="001B26BB" w:rsidRPr="00EA77D7" w:rsidRDefault="0084664F" w:rsidP="00C575C8">
      <w:pPr>
        <w:pStyle w:val="ListParagraph"/>
        <w:numPr>
          <w:ilvl w:val="2"/>
          <w:numId w:val="91"/>
        </w:numPr>
        <w:ind w:left="1440"/>
        <w:rPr>
          <w:rFonts w:cstheme="minorHAnsi"/>
        </w:rPr>
      </w:pPr>
      <w:hyperlink r:id="rId523" w:history="1">
        <w:r w:rsidR="001B26BB" w:rsidRPr="00EA77D7">
          <w:rPr>
            <w:rStyle w:val="Hyperlink"/>
            <w:rFonts w:cstheme="minorHAnsi"/>
          </w:rPr>
          <w:t>Pennsylvania Apprenticeship Approach</w:t>
        </w:r>
      </w:hyperlink>
      <w:r w:rsidR="001B26BB" w:rsidRPr="00EA77D7">
        <w:rPr>
          <w:rFonts w:cstheme="minorHAnsi"/>
        </w:rPr>
        <w:t xml:space="preserve"> (Login required)</w:t>
      </w:r>
    </w:p>
    <w:p w14:paraId="5D4F6344" w14:textId="77777777" w:rsidR="001B26BB" w:rsidRPr="0041079B" w:rsidRDefault="001B26BB" w:rsidP="00C575C8">
      <w:pPr>
        <w:pStyle w:val="ListParagraph"/>
        <w:numPr>
          <w:ilvl w:val="2"/>
          <w:numId w:val="91"/>
        </w:numPr>
        <w:ind w:left="1440"/>
        <w:rPr>
          <w:rFonts w:cstheme="minorHAnsi"/>
        </w:rPr>
      </w:pPr>
      <w:r w:rsidRPr="00EA77D7">
        <w:rPr>
          <w:rFonts w:cstheme="minorHAnsi"/>
        </w:rPr>
        <w:t>U.S. Department of Labor Apprenticeship Toolkit</w:t>
      </w:r>
      <w:r w:rsidRPr="0041079B">
        <w:rPr>
          <w:rFonts w:cstheme="minorHAnsi"/>
        </w:rPr>
        <w:t xml:space="preserve"> - </w:t>
      </w:r>
      <w:hyperlink r:id="rId524" w:tgtFrame="_blank" w:history="1">
        <w:r>
          <w:rPr>
            <w:rStyle w:val="Hyperlink"/>
            <w:rFonts w:cstheme="minorHAnsi"/>
          </w:rPr>
          <w:t>Training modules</w:t>
        </w:r>
      </w:hyperlink>
    </w:p>
    <w:p w14:paraId="49A00C55" w14:textId="77777777" w:rsidR="001B26BB" w:rsidRPr="00EA77D7" w:rsidRDefault="001B26BB" w:rsidP="00C575C8">
      <w:pPr>
        <w:pStyle w:val="ListParagraph"/>
        <w:numPr>
          <w:ilvl w:val="1"/>
          <w:numId w:val="91"/>
        </w:numPr>
        <w:ind w:left="360"/>
        <w:rPr>
          <w:rFonts w:cstheme="minorHAnsi"/>
          <w:b/>
          <w:bCs/>
        </w:rPr>
      </w:pPr>
      <w:bookmarkStart w:id="193" w:name="customized-training"/>
      <w:bookmarkEnd w:id="193"/>
      <w:r w:rsidRPr="00EA77D7">
        <w:rPr>
          <w:rFonts w:cstheme="minorHAnsi"/>
          <w:b/>
          <w:bCs/>
        </w:rPr>
        <w:t>Customized Training: "Building Capacity"</w:t>
      </w:r>
    </w:p>
    <w:p w14:paraId="1C05F08C" w14:textId="77777777" w:rsidR="001B26BB" w:rsidRPr="00910D21" w:rsidRDefault="0084664F" w:rsidP="00C575C8">
      <w:pPr>
        <w:pStyle w:val="ListParagraph"/>
        <w:numPr>
          <w:ilvl w:val="2"/>
          <w:numId w:val="91"/>
        </w:numPr>
        <w:ind w:left="1440"/>
        <w:rPr>
          <w:rFonts w:cstheme="minorHAnsi"/>
        </w:rPr>
      </w:pPr>
      <w:hyperlink r:id="rId525" w:history="1">
        <w:r w:rsidR="001B26BB" w:rsidRPr="00910D21">
          <w:rPr>
            <w:rStyle w:val="Hyperlink"/>
            <w:rFonts w:cstheme="minorHAnsi"/>
          </w:rPr>
          <w:t>LMI</w:t>
        </w:r>
      </w:hyperlink>
      <w:r w:rsidR="001B26BB" w:rsidRPr="00910D21">
        <w:rPr>
          <w:rFonts w:cstheme="minorHAnsi"/>
        </w:rPr>
        <w:t xml:space="preserve"> </w:t>
      </w:r>
    </w:p>
    <w:p w14:paraId="2AE9F245" w14:textId="77777777" w:rsidR="001B26BB" w:rsidRPr="00910D21" w:rsidRDefault="0084664F" w:rsidP="00C575C8">
      <w:pPr>
        <w:pStyle w:val="ListParagraph"/>
        <w:numPr>
          <w:ilvl w:val="2"/>
          <w:numId w:val="91"/>
        </w:numPr>
        <w:ind w:left="1440"/>
        <w:rPr>
          <w:rFonts w:cstheme="minorHAnsi"/>
        </w:rPr>
      </w:pPr>
      <w:hyperlink r:id="rId526" w:tgtFrame="_blank" w:history="1">
        <w:r w:rsidR="001B26BB" w:rsidRPr="00910D21">
          <w:rPr>
            <w:rStyle w:val="Hyperlink"/>
            <w:rFonts w:cstheme="minorHAnsi"/>
          </w:rPr>
          <w:t>middle skills</w:t>
        </w:r>
      </w:hyperlink>
    </w:p>
    <w:p w14:paraId="6BFFF883" w14:textId="77777777" w:rsidR="001B26BB" w:rsidRPr="00910D21" w:rsidRDefault="0084664F" w:rsidP="00C575C8">
      <w:pPr>
        <w:pStyle w:val="ListParagraph"/>
        <w:numPr>
          <w:ilvl w:val="2"/>
          <w:numId w:val="91"/>
        </w:numPr>
        <w:ind w:left="1440"/>
        <w:rPr>
          <w:rFonts w:cstheme="minorHAnsi"/>
        </w:rPr>
      </w:pPr>
      <w:hyperlink r:id="rId527" w:history="1">
        <w:r w:rsidR="001B26BB" w:rsidRPr="00910D21">
          <w:rPr>
            <w:rStyle w:val="Hyperlink"/>
            <w:rFonts w:cstheme="minorHAnsi"/>
          </w:rPr>
          <w:t>Promising Practices</w:t>
        </w:r>
      </w:hyperlink>
      <w:r w:rsidR="001B26BB" w:rsidRPr="00910D21">
        <w:rPr>
          <w:rFonts w:cstheme="minorHAnsi"/>
        </w:rPr>
        <w:t xml:space="preserve"> </w:t>
      </w:r>
    </w:p>
    <w:p w14:paraId="55EDA350" w14:textId="77777777" w:rsidR="001B26BB" w:rsidRPr="00910D21" w:rsidRDefault="0084664F" w:rsidP="00C575C8">
      <w:pPr>
        <w:pStyle w:val="ListParagraph"/>
        <w:numPr>
          <w:ilvl w:val="2"/>
          <w:numId w:val="91"/>
        </w:numPr>
        <w:ind w:left="1440"/>
        <w:rPr>
          <w:rFonts w:cstheme="minorHAnsi"/>
        </w:rPr>
      </w:pPr>
      <w:hyperlink r:id="rId528" w:tgtFrame="_blank" w:history="1">
        <w:r w:rsidR="001B26BB" w:rsidRPr="00910D21">
          <w:rPr>
            <w:rStyle w:val="Hyperlink"/>
            <w:rFonts w:cstheme="minorHAnsi"/>
            <w:i/>
            <w:iCs/>
          </w:rPr>
          <w:t>Recovery: Job Growth and Education Requirements Through 2020, Executive Summary [PDF]</w:t>
        </w:r>
      </w:hyperlink>
    </w:p>
    <w:p w14:paraId="189F194B" w14:textId="77777777" w:rsidR="001B26BB" w:rsidRPr="00910D21" w:rsidRDefault="0084664F" w:rsidP="00C575C8">
      <w:pPr>
        <w:pStyle w:val="ListParagraph"/>
        <w:numPr>
          <w:ilvl w:val="2"/>
          <w:numId w:val="91"/>
        </w:numPr>
        <w:ind w:left="1440"/>
        <w:rPr>
          <w:rFonts w:cstheme="minorHAnsi"/>
        </w:rPr>
      </w:pPr>
      <w:hyperlink r:id="rId529" w:tgtFrame="_blank" w:history="1">
        <w:r w:rsidR="001B26BB" w:rsidRPr="00910D21">
          <w:rPr>
            <w:rStyle w:val="Hyperlink"/>
            <w:rFonts w:cstheme="minorHAnsi"/>
          </w:rPr>
          <w:t>Monthly Labor Review: Occupational employment projections to 2024 [PDF]</w:t>
        </w:r>
      </w:hyperlink>
    </w:p>
    <w:p w14:paraId="2A9A14EF" w14:textId="77777777" w:rsidR="001B26BB" w:rsidRPr="00910D21" w:rsidRDefault="0084664F" w:rsidP="00C575C8">
      <w:pPr>
        <w:pStyle w:val="ListParagraph"/>
        <w:numPr>
          <w:ilvl w:val="2"/>
          <w:numId w:val="91"/>
        </w:numPr>
        <w:ind w:left="1440"/>
        <w:rPr>
          <w:rFonts w:cstheme="minorHAnsi"/>
        </w:rPr>
      </w:pPr>
      <w:hyperlink r:id="rId530" w:history="1">
        <w:r w:rsidR="001B26BB" w:rsidRPr="00910D21">
          <w:rPr>
            <w:rStyle w:val="Hyperlink"/>
            <w:rFonts w:cstheme="minorHAnsi"/>
          </w:rPr>
          <w:t>Promising Practices</w:t>
        </w:r>
      </w:hyperlink>
      <w:r w:rsidR="001B26BB" w:rsidRPr="00910D21">
        <w:rPr>
          <w:rFonts w:cstheme="minorHAnsi"/>
        </w:rPr>
        <w:t xml:space="preserve"> section of the CT Toolkit</w:t>
      </w:r>
    </w:p>
    <w:p w14:paraId="7421E19F" w14:textId="77777777" w:rsidR="001B26BB" w:rsidRPr="00910D21" w:rsidRDefault="001B26BB" w:rsidP="00C575C8">
      <w:pPr>
        <w:pStyle w:val="ListParagraph"/>
        <w:numPr>
          <w:ilvl w:val="2"/>
          <w:numId w:val="91"/>
        </w:numPr>
        <w:ind w:left="1440"/>
      </w:pPr>
      <w:r w:rsidRPr="00910D21">
        <w:rPr>
          <w:rFonts w:cstheme="minorHAnsi"/>
        </w:rPr>
        <w:t xml:space="preserve">Brigance and McNeil: Customized Training and VR - </w:t>
      </w:r>
      <w:hyperlink r:id="rId531" w:tgtFrame="_blank" w:history="1">
        <w:r w:rsidRPr="00910D21">
          <w:rPr>
            <w:rStyle w:val="Hyperlink"/>
            <w:rFonts w:cstheme="minorHAnsi"/>
          </w:rPr>
          <w:t>Terry Brigance</w:t>
        </w:r>
      </w:hyperlink>
      <w:r w:rsidRPr="00910D21">
        <w:rPr>
          <w:rFonts w:cstheme="minorHAnsi"/>
        </w:rPr>
        <w:t xml:space="preserve"> </w:t>
      </w:r>
    </w:p>
    <w:p w14:paraId="52D997EE" w14:textId="77777777" w:rsidR="001B26BB" w:rsidRPr="00910D21" w:rsidRDefault="0084664F" w:rsidP="00C575C8">
      <w:pPr>
        <w:pStyle w:val="ListParagraph"/>
        <w:numPr>
          <w:ilvl w:val="2"/>
          <w:numId w:val="91"/>
        </w:numPr>
        <w:ind w:left="1440"/>
        <w:rPr>
          <w:rFonts w:cstheme="minorHAnsi"/>
        </w:rPr>
      </w:pPr>
      <w:hyperlink r:id="rId532" w:tgtFrame="_blank" w:history="1">
        <w:r w:rsidR="001B26BB" w:rsidRPr="00910D21">
          <w:rPr>
            <w:rStyle w:val="Hyperlink"/>
            <w:rFonts w:cstheme="minorHAnsi"/>
          </w:rPr>
          <w:t>An analysis of evidence-based best practices in the public vocational rehabilitation program: Gaps, future directions, and recommended steps to move forward</w:t>
        </w:r>
      </w:hyperlink>
      <w:r w:rsidR="001B26BB" w:rsidRPr="00910D21">
        <w:rPr>
          <w:rFonts w:cstheme="minorHAnsi"/>
        </w:rPr>
        <w:t xml:space="preserve">. </w:t>
      </w:r>
    </w:p>
    <w:p w14:paraId="00A67961" w14:textId="77777777" w:rsidR="001B26BB" w:rsidRPr="00EA77D7" w:rsidRDefault="001B26BB" w:rsidP="00C575C8">
      <w:pPr>
        <w:pStyle w:val="ListParagraph"/>
        <w:numPr>
          <w:ilvl w:val="1"/>
          <w:numId w:val="91"/>
        </w:numPr>
        <w:ind w:left="360"/>
        <w:rPr>
          <w:rFonts w:cstheme="minorHAnsi"/>
          <w:b/>
          <w:bCs/>
        </w:rPr>
      </w:pPr>
      <w:r w:rsidRPr="00EA77D7">
        <w:rPr>
          <w:rFonts w:cstheme="minorHAnsi"/>
          <w:b/>
          <w:bCs/>
        </w:rPr>
        <w:t>Building a Customized Training Program</w:t>
      </w:r>
    </w:p>
    <w:p w14:paraId="0D8B31A4" w14:textId="77777777" w:rsidR="001B26BB" w:rsidRPr="00910D21" w:rsidRDefault="0084664F" w:rsidP="00C575C8">
      <w:pPr>
        <w:pStyle w:val="ListParagraph"/>
        <w:numPr>
          <w:ilvl w:val="2"/>
          <w:numId w:val="91"/>
        </w:numPr>
        <w:ind w:left="1440"/>
        <w:rPr>
          <w:rFonts w:cstheme="minorHAnsi"/>
        </w:rPr>
      </w:pPr>
      <w:hyperlink r:id="rId533" w:tgtFrame="_blank" w:history="1">
        <w:r w:rsidR="001B26BB" w:rsidRPr="00910D21">
          <w:rPr>
            <w:rStyle w:val="Hyperlink"/>
            <w:rFonts w:cstheme="minorHAnsi"/>
            <w:i/>
            <w:iCs/>
          </w:rPr>
          <w:t> Download the PDF</w:t>
        </w:r>
      </w:hyperlink>
      <w:r w:rsidR="001B26BB" w:rsidRPr="00910D21">
        <w:rPr>
          <w:rFonts w:cstheme="minorHAnsi"/>
          <w:i/>
          <w:iCs/>
        </w:rPr>
        <w:t> version of this checklist.</w:t>
      </w:r>
    </w:p>
    <w:p w14:paraId="2FFC2B49" w14:textId="77777777" w:rsidR="001B26BB" w:rsidRPr="00910D21" w:rsidRDefault="0084664F" w:rsidP="00C575C8">
      <w:pPr>
        <w:pStyle w:val="ListParagraph"/>
        <w:numPr>
          <w:ilvl w:val="1"/>
          <w:numId w:val="91"/>
        </w:numPr>
        <w:ind w:left="360"/>
        <w:rPr>
          <w:rFonts w:cstheme="minorHAnsi"/>
        </w:rPr>
      </w:pPr>
      <w:hyperlink r:id="rId534" w:history="1">
        <w:r w:rsidR="001B26BB" w:rsidRPr="00910D21">
          <w:rPr>
            <w:rStyle w:val="Hyperlink"/>
            <w:rFonts w:cstheme="minorHAnsi"/>
          </w:rPr>
          <w:t>Customized Training: Additional Resources</w:t>
        </w:r>
      </w:hyperlink>
    </w:p>
    <w:p w14:paraId="7815522A" w14:textId="77777777" w:rsidR="001B26BB" w:rsidRDefault="001B26BB" w:rsidP="001B26BB"/>
    <w:p w14:paraId="64FE181E" w14:textId="77777777" w:rsidR="001B26BB" w:rsidRDefault="001B26BB" w:rsidP="001B26BB">
      <w:r>
        <w:br w:type="page"/>
      </w:r>
    </w:p>
    <w:p w14:paraId="02F02D10" w14:textId="7FD0B9E7" w:rsidR="001B26BB" w:rsidRPr="004B327C" w:rsidRDefault="00910D21" w:rsidP="001B26BB">
      <w:pPr>
        <w:pStyle w:val="Heading2"/>
        <w:rPr>
          <w:szCs w:val="36"/>
        </w:rPr>
      </w:pPr>
      <w:bookmarkStart w:id="194" w:name="_Toc41940296"/>
      <w:r>
        <w:rPr>
          <w:szCs w:val="36"/>
        </w:rPr>
        <w:lastRenderedPageBreak/>
        <w:t>Apprenticeship</w:t>
      </w:r>
      <w:r w:rsidRPr="004B327C">
        <w:rPr>
          <w:szCs w:val="36"/>
        </w:rPr>
        <w:t xml:space="preserve"> I</w:t>
      </w:r>
      <w:r>
        <w:rPr>
          <w:szCs w:val="36"/>
        </w:rPr>
        <w:t>TA</w:t>
      </w:r>
      <w:r w:rsidRPr="004B327C">
        <w:rPr>
          <w:szCs w:val="36"/>
        </w:rPr>
        <w:t>s: Progress Narrative</w:t>
      </w:r>
      <w:bookmarkEnd w:id="194"/>
    </w:p>
    <w:p w14:paraId="52FD8372" w14:textId="77777777" w:rsidR="001B26BB" w:rsidRPr="00910D21" w:rsidRDefault="001B26BB" w:rsidP="00910D21">
      <w:pPr>
        <w:pStyle w:val="Heading3"/>
      </w:pPr>
      <w:bookmarkStart w:id="195" w:name="_Toc41940297"/>
      <w:r w:rsidRPr="00910D21">
        <w:t>National Lens</w:t>
      </w:r>
      <w:bookmarkEnd w:id="195"/>
    </w:p>
    <w:p w14:paraId="62A894F1" w14:textId="77777777" w:rsidR="001B26BB" w:rsidRDefault="001B26BB" w:rsidP="001B26BB">
      <w:pPr>
        <w:ind w:firstLine="360"/>
      </w:pPr>
      <w:r>
        <w:t xml:space="preserve">Under WIOA, apprenticeships that are “registered apprenticeships” or simply “apprenticeships” are useful for supporting competitive integrated employment outcomes for youth and adults with disabilities and are an important area of implementation for the workforce system as a whole as part of a career pathways approach.  The Departments of Labor and Education both administer apprenticeship aspects of WIOA to support the use of apprenticeships and offer joint guidance and technical assistance documents to ensure coordination between WIOA Youth programs and VR programs (May, 2019 Joint Guidance on Collaboration Opportunities).  Apprenticeship USA delineates how an apprenticeship model combines WIOA mandated and encouraged strategies involving a focus on career pathways, work-based learning, business engagement, and consideration of high-growth sectors (Apprenticeship USA, n.d.).  All of these areas are covered by WINTAC services and TA Teams and coordination across the teams has been ensuring the work of agencies is integrated in alignment with this model.  </w:t>
      </w:r>
    </w:p>
    <w:p w14:paraId="7866BAF0" w14:textId="77777777" w:rsidR="001B26BB" w:rsidRPr="00035CD7" w:rsidRDefault="001B26BB" w:rsidP="001B26BB">
      <w:pPr>
        <w:ind w:firstLine="360"/>
      </w:pPr>
      <w:r>
        <w:t xml:space="preserve">The opportunities exist.  In 2017 the National Association of Workforce Boards and Jobs for the Future conducted a survey of workforce boards; 145 boards responded (24% of all state and local boards) and of those, 63% had apprenticeship programs.  The report notes that many boards partner with VR, though it did not present statistics; 49% of respondents did indicate considering issues related to equity and diversity.  Critically for our purposes, boards indicated a desire for technical assistance to meet current WIOA requirements regarding apprenticeships (Bergman &amp; Kobes, n.d.).  In concert with WINTAC’s Integration TA Team’s work, the WINTAC Apprenticeship TA Team can support the partnership between VR and the Workforce Development System – including these boards – to facilitate inclusion of people with disabilities in apprenticeship programs as students and adults on a career pathway.  Those systems have obligations under WIOA to provide reasonable accommodations, conduct outreach and recruitment that is inclusive of persons with disabilities, and to set an aspirational goal of 7% of apprentices being a person with a disability (DOL ETA, 2019).  Program Year 2017 WIOA and Wagner-Peyser Data show that only 1 in 100 jobseekers in training programs is a registered apprentice (Berkowitz, 2019).  The need for WINTAC TA is manifest; as is the opportunity. </w:t>
      </w:r>
    </w:p>
    <w:p w14:paraId="181E7DC7" w14:textId="77777777" w:rsidR="001B26BB" w:rsidRPr="00035CD7" w:rsidRDefault="001B26BB" w:rsidP="00910D21">
      <w:pPr>
        <w:pStyle w:val="Heading3"/>
      </w:pPr>
      <w:bookmarkStart w:id="196" w:name="_Toc41940298"/>
      <w:r w:rsidRPr="00035CD7">
        <w:t>WINTAC Lens</w:t>
      </w:r>
      <w:bookmarkEnd w:id="196"/>
    </w:p>
    <w:p w14:paraId="64CC070B" w14:textId="0578C03E" w:rsidR="001B26BB" w:rsidRPr="00035CD7" w:rsidRDefault="001B26BB" w:rsidP="001B26BB">
      <w:pPr>
        <w:tabs>
          <w:tab w:val="left" w:pos="360"/>
        </w:tabs>
      </w:pPr>
      <w:r>
        <w:t>Apprenticeship</w:t>
      </w:r>
      <w:r w:rsidRPr="00035CD7">
        <w:t xml:space="preserve"> </w:t>
      </w:r>
      <w:r>
        <w:t>was previously a set of activities combined with the Workforce Integration topic area and has since become a stand-alone topic area with three</w:t>
      </w:r>
      <w:r w:rsidRPr="00035CD7">
        <w:t xml:space="preserve"> formal intensive technical assistance agreements (ITAAs) in place.  These ITAAs draw from a menu of activities identified in </w:t>
      </w:r>
      <w:r>
        <w:t>an initial, brief</w:t>
      </w:r>
      <w:r w:rsidRPr="00035CD7">
        <w:t xml:space="preserve"> logic model which each have an associated output and contribute to a set of defined short-term outcomes expected to be achieved within this funding cycle.  </w:t>
      </w:r>
    </w:p>
    <w:p w14:paraId="02372357" w14:textId="17820C7B" w:rsidR="001B26BB" w:rsidRDefault="001B26BB" w:rsidP="001B26BB">
      <w:pPr>
        <w:tabs>
          <w:tab w:val="left" w:pos="360"/>
        </w:tabs>
        <w:rPr>
          <w:szCs w:val="14"/>
        </w:rPr>
      </w:pPr>
      <w:r w:rsidRPr="006F5E21">
        <w:rPr>
          <w:b/>
          <w:bCs/>
          <w:i/>
          <w:iCs/>
          <w:szCs w:val="14"/>
          <w:u w:val="single"/>
        </w:rPr>
        <w:t>TA Progress: Activities and Outputs.</w:t>
      </w:r>
      <w:r w:rsidRPr="006F5E21">
        <w:rPr>
          <w:szCs w:val="14"/>
        </w:rPr>
        <w:t xml:space="preserve"> Across the topic area of Apprenticeship, progress on activities is now 100% complete, significant progress in just two quarters as it was 40% complete and 60% almost complete (75% or more) at the end of Year 4</w:t>
      </w:r>
      <w:r w:rsidR="00820B9F">
        <w:rPr>
          <w:szCs w:val="14"/>
        </w:rPr>
        <w:t xml:space="preserve"> </w:t>
      </w:r>
      <w:r w:rsidRPr="006F5E21">
        <w:rPr>
          <w:szCs w:val="14"/>
        </w:rPr>
        <w:t xml:space="preserve">(first dashboard).  Below that average activity progress bar, using “thermometer charts,” the progress rate is broken out by specific activity with the linked outputs’ progress rates provided side-by-side.  </w:t>
      </w:r>
      <w:r>
        <w:rPr>
          <w:szCs w:val="14"/>
        </w:rPr>
        <w:t>These cover Activities 1 and 2 (assisting in identifying resources and development of new or revised policies and procedures, respectively). None of the current ITAAs under Apprenticeship chose Activity 3 regarding training.</w:t>
      </w:r>
      <w:r w:rsidRPr="006F5E21">
        <w:rPr>
          <w:szCs w:val="14"/>
        </w:rPr>
        <w:t xml:space="preserve">  </w:t>
      </w:r>
    </w:p>
    <w:p w14:paraId="18537B21" w14:textId="73259A08" w:rsidR="001B26BB" w:rsidRPr="00D4416D" w:rsidRDefault="001B26BB" w:rsidP="001B26BB">
      <w:pPr>
        <w:tabs>
          <w:tab w:val="left" w:pos="360"/>
        </w:tabs>
        <w:rPr>
          <w:szCs w:val="14"/>
        </w:rPr>
      </w:pPr>
      <w:r w:rsidRPr="00765997">
        <w:rPr>
          <w:b/>
          <w:bCs/>
          <w:i/>
          <w:iCs/>
          <w:szCs w:val="14"/>
          <w:u w:val="single"/>
        </w:rPr>
        <w:lastRenderedPageBreak/>
        <w:t>TA Progress: Out</w:t>
      </w:r>
      <w:r>
        <w:rPr>
          <w:b/>
          <w:bCs/>
          <w:i/>
          <w:iCs/>
          <w:szCs w:val="14"/>
          <w:u w:val="single"/>
        </w:rPr>
        <w:t>come</w:t>
      </w:r>
      <w:r w:rsidRPr="00765997">
        <w:rPr>
          <w:b/>
          <w:bCs/>
          <w:i/>
          <w:iCs/>
          <w:szCs w:val="14"/>
          <w:u w:val="single"/>
        </w:rPr>
        <w:t>s.</w:t>
      </w:r>
      <w:r>
        <w:rPr>
          <w:szCs w:val="14"/>
        </w:rPr>
        <w:t xml:space="preserve">  Outcomes address (1) adults engaged in apprenticeships and (2) students including apprenticeship in their IEP planning process.  Overall, progress is 75%.  In one state, </w:t>
      </w:r>
      <w:r w:rsidR="004B6277">
        <w:rPr>
          <w:rFonts w:ascii="Calibri" w:hAnsi="Calibri" w:cs="Calibri"/>
          <w:color w:val="212121"/>
          <w:shd w:val="clear" w:color="auto" w:fill="FFFFFF"/>
        </w:rPr>
        <w:t xml:space="preserve">29 total </w:t>
      </w:r>
      <w:r>
        <w:rPr>
          <w:szCs w:val="14"/>
        </w:rPr>
        <w:t>consumers are noted as being in apprenticeships</w:t>
      </w:r>
      <w:r w:rsidR="004B6277" w:rsidRPr="004B6277">
        <w:rPr>
          <w:rFonts w:ascii="Calibri" w:hAnsi="Calibri" w:cs="Calibri"/>
          <w:color w:val="212121"/>
          <w:shd w:val="clear" w:color="auto" w:fill="FFFFFF"/>
        </w:rPr>
        <w:t xml:space="preserve"> </w:t>
      </w:r>
      <w:r w:rsidR="004B6277">
        <w:rPr>
          <w:rFonts w:ascii="Calibri" w:hAnsi="Calibri" w:cs="Calibri"/>
          <w:color w:val="212121"/>
          <w:shd w:val="clear" w:color="auto" w:fill="FFFFFF"/>
        </w:rPr>
        <w:t>so far</w:t>
      </w:r>
      <w:r>
        <w:rPr>
          <w:szCs w:val="14"/>
        </w:rPr>
        <w:t>.  Two of these stories have been posted to WINTAC’s website and submitted for RSA’s celebration of 100 years of VR.  Notable as other outcomes not specified in the ITAAs has been the collaboration between VR and American Job Centers (AJCs) to facilitate the involvement of clients in apprenticeships, and the use of a “Roadmap” to plan work, and collaboration between SVRAs to share and translate knowledge.  Three states have partnered and expanded apprenticeship programs to reach larger pools of individuals, including one program that is now statewide.</w:t>
      </w:r>
    </w:p>
    <w:p w14:paraId="55A74F25" w14:textId="494B27A6" w:rsidR="001B26BB" w:rsidRPr="005D6FBE" w:rsidRDefault="001B26BB" w:rsidP="001B26BB">
      <w:pPr>
        <w:tabs>
          <w:tab w:val="left" w:pos="360"/>
        </w:tabs>
        <w:rPr>
          <w:szCs w:val="14"/>
        </w:rPr>
      </w:pPr>
      <w:r w:rsidRPr="00765997">
        <w:rPr>
          <w:b/>
          <w:bCs/>
          <w:i/>
          <w:iCs/>
          <w:szCs w:val="14"/>
          <w:u w:val="single"/>
        </w:rPr>
        <w:t>Covid-19 Impacts.</w:t>
      </w:r>
      <w:r>
        <w:rPr>
          <w:szCs w:val="14"/>
        </w:rPr>
        <w:t xml:space="preserve">  Due to the pandemic, in-person participation in programs has been put on hold, including at least one student with a disability ready to begin a pre-apprenticeship.  TA Team check-ins with SVRAs in March indicated work was continuing on apprenticeship programs.</w:t>
      </w:r>
    </w:p>
    <w:p w14:paraId="6545D35E" w14:textId="75F4128F" w:rsidR="001B26BB" w:rsidRDefault="001B26BB" w:rsidP="00910D21">
      <w:pPr>
        <w:tabs>
          <w:tab w:val="left" w:pos="360"/>
        </w:tabs>
        <w:rPr>
          <w:szCs w:val="14"/>
        </w:rPr>
      </w:pPr>
      <w:r w:rsidRPr="00765997">
        <w:rPr>
          <w:b/>
          <w:bCs/>
          <w:i/>
          <w:iCs/>
          <w:szCs w:val="14"/>
          <w:u w:val="single"/>
        </w:rPr>
        <w:t>Sustainability.</w:t>
      </w:r>
      <w:r>
        <w:rPr>
          <w:szCs w:val="14"/>
        </w:rPr>
        <w:t xml:space="preserve">  As noted in outcomes, partnerships and collaborations have been unarticulated outcomes of work on this topic, including engagement with other SVRAs and workforce partners doing work on apprenticeship programs.  This community will support sustainability beyond the pilot stage</w:t>
      </w:r>
      <w:r w:rsidR="00820B9F">
        <w:rPr>
          <w:szCs w:val="14"/>
        </w:rPr>
        <w:t>, serving</w:t>
      </w:r>
      <w:r>
        <w:rPr>
          <w:szCs w:val="14"/>
        </w:rPr>
        <w:t xml:space="preserve"> as resources.  Continued work on planning through the pandemic reflects a commitment to continue with apprenticeships as a strategy for achieving work-based training and employment once states re-open.</w:t>
      </w:r>
    </w:p>
    <w:p w14:paraId="713497E6" w14:textId="3661C292" w:rsidR="001B26BB" w:rsidRPr="00910D21" w:rsidRDefault="001B26BB" w:rsidP="00910D21">
      <w:pPr>
        <w:rPr>
          <w:rFonts w:cstheme="minorHAnsi"/>
          <w:b/>
          <w:bCs/>
          <w:i/>
          <w:iCs/>
          <w:color w:val="C00000"/>
        </w:rPr>
      </w:pPr>
      <w:r w:rsidRPr="00910D21">
        <w:rPr>
          <w:rFonts w:cstheme="minorHAnsi"/>
          <w:b/>
          <w:bCs/>
          <w:i/>
          <w:iCs/>
          <w:color w:val="C00000"/>
        </w:rPr>
        <w:t>“Challenges Overcome,” “Changes Made,” and “Evaluation Recommendations” will be updated as part of the Year 5 Annual Evaluation Report.  But important findings presented in the Year 4 Annual Evaluation Report (2 quarters ago) are reproduced below for ease of reference and context as to the significant and valuable work that has been done by the Pre-ETS TA Team.</w:t>
      </w:r>
    </w:p>
    <w:p w14:paraId="09B4431A" w14:textId="4142AFDF" w:rsidR="001B26BB" w:rsidRDefault="001B26BB" w:rsidP="001B26BB">
      <w:pPr>
        <w:tabs>
          <w:tab w:val="left" w:pos="360"/>
        </w:tabs>
        <w:rPr>
          <w:szCs w:val="14"/>
        </w:rPr>
      </w:pPr>
      <w:r w:rsidRPr="00662F12">
        <w:rPr>
          <w:b/>
          <w:bCs/>
          <w:i/>
          <w:iCs/>
          <w:szCs w:val="14"/>
          <w:u w:val="single"/>
        </w:rPr>
        <w:t>Challenges Overcome.</w:t>
      </w:r>
      <w:r>
        <w:rPr>
          <w:i/>
          <w:iCs/>
          <w:szCs w:val="14"/>
        </w:rPr>
        <w:t xml:space="preserve"> </w:t>
      </w:r>
      <w:r w:rsidRPr="00662F12">
        <w:rPr>
          <w:szCs w:val="14"/>
        </w:rPr>
        <w:t xml:space="preserve"> </w:t>
      </w:r>
      <w:r>
        <w:rPr>
          <w:szCs w:val="14"/>
        </w:rPr>
        <w:t xml:space="preserve">WIOA’s mandates make clear that tracking data on performance is critical to improving it.  The BE TA team narratives indicate that none of the agencies receiving intensive (and significant targeted) TA from them collected BE data prior to their interventions.  Now five of the agencies are working with them to implement a system to do so.  </w:t>
      </w:r>
    </w:p>
    <w:p w14:paraId="637EE953" w14:textId="3C8B8017" w:rsidR="001B26BB" w:rsidRPr="00D43F44" w:rsidRDefault="001B26BB" w:rsidP="001B26BB">
      <w:pPr>
        <w:tabs>
          <w:tab w:val="left" w:pos="360"/>
        </w:tabs>
        <w:rPr>
          <w:rFonts w:cstheme="minorHAnsi"/>
        </w:rPr>
      </w:pPr>
      <w:r>
        <w:rPr>
          <w:szCs w:val="14"/>
        </w:rPr>
        <w:t>Other challenges plaguing the agencies are those that are repeated across chapters and team reports: significant staff and leadership turnover and delays in filling open positions rendered agencies’ human capacity low.  Coupled with the deadlines for WIOA mandates on other issues (e.g., Pre-ETS and CPMs) the low agency bandwidth to attend to non-urgent/non-deadline activities resulted</w:t>
      </w:r>
      <w:r w:rsidRPr="00D43F44">
        <w:rPr>
          <w:rFonts w:cstheme="minorHAnsi"/>
        </w:rPr>
        <w:t xml:space="preserve"> </w:t>
      </w:r>
      <w:r>
        <w:rPr>
          <w:rFonts w:cstheme="minorHAnsi"/>
        </w:rPr>
        <w:t>in slow progress and BE activities often being put on hold.  Still, agencies working with the BE TA team found solutions to work around these challenges, leveraging the power of collaboration with state partners in business-oriented events.  Ultimately, in five agencies, the BE TA Team supported five agencies in hiring and onboarding new staff dedicated to business engagement roles – building capacity and making system changes to these agencies.</w:t>
      </w:r>
      <w:r w:rsidRPr="00D43F44">
        <w:rPr>
          <w:rFonts w:cstheme="minorHAnsi"/>
        </w:rPr>
        <w:t xml:space="preserve"> </w:t>
      </w:r>
    </w:p>
    <w:p w14:paraId="16CA0DCA" w14:textId="4EBDC946" w:rsidR="001B26BB" w:rsidRPr="00521DA6" w:rsidRDefault="001B26BB" w:rsidP="001B26BB">
      <w:pPr>
        <w:tabs>
          <w:tab w:val="left" w:pos="360"/>
        </w:tabs>
        <w:rPr>
          <w:rFonts w:cstheme="minorHAnsi"/>
        </w:rPr>
      </w:pPr>
      <w:r>
        <w:rPr>
          <w:rFonts w:cstheme="minorHAnsi"/>
          <w:b/>
          <w:bCs/>
          <w:i/>
          <w:iCs/>
          <w:u w:val="single"/>
        </w:rPr>
        <w:t>Changes Made</w:t>
      </w:r>
      <w:r w:rsidRPr="00D43F44">
        <w:rPr>
          <w:rFonts w:cstheme="minorHAnsi"/>
          <w:i/>
          <w:iCs/>
        </w:rPr>
        <w:t>.</w:t>
      </w:r>
      <w:r w:rsidRPr="00AD7B12">
        <w:rPr>
          <w:rFonts w:cstheme="minorHAnsi"/>
        </w:rPr>
        <w:t xml:space="preserve">  </w:t>
      </w:r>
      <w:r>
        <w:rPr>
          <w:rFonts w:cstheme="minorHAnsi"/>
        </w:rPr>
        <w:t xml:space="preserve">Outcomes for the Apprenticeship topic area are also progressing well, with 67% of outcomes at least 75% complete and 33% of outcomes at the 50% completion level for an overall outcomes completion rate of 67%. Across the three ITA states, 2, 7, and 11 individuals are engaged or about to be engaged in apprenticeships for a total of 20.  These numbers demonstrate that all ITAA states are making headway on </w:t>
      </w:r>
      <w:r>
        <w:rPr>
          <w:rFonts w:cstheme="minorHAnsi"/>
          <w:i/>
          <w:iCs/>
        </w:rPr>
        <w:t>the</w:t>
      </w:r>
      <w:r>
        <w:rPr>
          <w:rFonts w:cstheme="minorHAnsi"/>
        </w:rPr>
        <w:t xml:space="preserve"> concrete outcome for this topic area and that systems are in place to track the progress in a measurable way at each agency.  As these numbers grow, future reporting could </w:t>
      </w:r>
      <w:r>
        <w:rPr>
          <w:rFonts w:cstheme="minorHAnsi"/>
        </w:rPr>
        <w:lastRenderedPageBreak/>
        <w:t>put them in context by noting the industries or SOC codes and relating that to the high growth industries for that state.  Are they permanent pipelines that VR can continue to make placements into?</w:t>
      </w:r>
    </w:p>
    <w:p w14:paraId="607FC2CA" w14:textId="61DF50E1" w:rsidR="001B26BB" w:rsidRPr="001F752C" w:rsidRDefault="001B26BB" w:rsidP="001B26BB">
      <w:pPr>
        <w:tabs>
          <w:tab w:val="left" w:pos="360"/>
        </w:tabs>
        <w:rPr>
          <w:rFonts w:cstheme="minorHAnsi"/>
        </w:rPr>
      </w:pPr>
      <w:r w:rsidRPr="001F752C">
        <w:rPr>
          <w:rFonts w:cstheme="minorHAnsi"/>
          <w:b/>
          <w:bCs/>
          <w:i/>
          <w:iCs/>
          <w:u w:val="single"/>
        </w:rPr>
        <w:t>Evaluation Recommendations.</w:t>
      </w:r>
      <w:r w:rsidRPr="001F752C">
        <w:rPr>
          <w:rFonts w:cstheme="minorHAnsi"/>
        </w:rPr>
        <w:t xml:space="preserve">  </w:t>
      </w:r>
      <w:r>
        <w:rPr>
          <w:rFonts w:cstheme="minorHAnsi"/>
        </w:rPr>
        <w:t xml:space="preserve">The numbers of apprenticeships is being tracked by agencies.  As noted above, the next step can be to provide context to these numbers.  How many apprenticeships is the rest of the workforce development system taking advantage of for people without disabilities?  (This can help examine disparities or the ned to improve targeted outreach.)  In what industries?  Are those the high growth ones for the state?  Are they established pipelines or particular opportunities that came up?  Are they students or adults?  Were these aligned to goals in IEPs or IPEs?  Are they registered apprenticeships?  How many programs are there in the state and is the state nearing its aspirational goals for people with disabilities in state apprenticeship programs?  Is VR making these strides unilaterally, or in concert with workforce boards and their members from apprenticeship programs?  How is the state coordinating its apprenticeship work with other WINTAC topic areas such as Workforce Integration, Pre-ETS, TCI+/LMI, or Business Engagement?  </w:t>
      </w:r>
    </w:p>
    <w:p w14:paraId="33F59ACF" w14:textId="538651E1" w:rsidR="00D43BC9" w:rsidRDefault="00D43BC9" w:rsidP="00581F18">
      <w:pPr>
        <w:ind w:firstLine="0"/>
      </w:pPr>
    </w:p>
    <w:p w14:paraId="54E14912" w14:textId="77777777" w:rsidR="00F264A2" w:rsidRDefault="00F264A2" w:rsidP="00581F18">
      <w:pPr>
        <w:ind w:firstLine="0"/>
        <w:sectPr w:rsidR="00F264A2" w:rsidSect="00C97C03">
          <w:headerReference w:type="even" r:id="rId535"/>
          <w:headerReference w:type="default" r:id="rId536"/>
          <w:footerReference w:type="even" r:id="rId537"/>
          <w:footerReference w:type="default" r:id="rId538"/>
          <w:headerReference w:type="first" r:id="rId539"/>
          <w:footerReference w:type="first" r:id="rId540"/>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cols w:space="720"/>
          <w:docGrid w:linePitch="360"/>
        </w:sectPr>
      </w:pPr>
    </w:p>
    <w:p w14:paraId="3F3E7613" w14:textId="228EB80C" w:rsidR="00F264A2" w:rsidRPr="00AD27AF" w:rsidRDefault="00F264A2" w:rsidP="00AD27AF">
      <w:pPr>
        <w:pStyle w:val="Heading1"/>
        <w:ind w:firstLine="0"/>
        <w:rPr>
          <w:sz w:val="40"/>
          <w:szCs w:val="40"/>
        </w:rPr>
      </w:pPr>
      <w:bookmarkStart w:id="197" w:name="_Toc28011477"/>
      <w:bookmarkStart w:id="198" w:name="_Toc41940299"/>
      <w:r w:rsidRPr="00AD27AF">
        <w:rPr>
          <w:sz w:val="40"/>
          <w:szCs w:val="40"/>
        </w:rPr>
        <w:lastRenderedPageBreak/>
        <w:t>Appendix A</w:t>
      </w:r>
      <w:r w:rsidR="00AD27AF">
        <w:rPr>
          <w:sz w:val="40"/>
          <w:szCs w:val="40"/>
        </w:rPr>
        <w:t xml:space="preserve">: </w:t>
      </w:r>
      <w:r w:rsidRPr="00AD27AF">
        <w:rPr>
          <w:sz w:val="40"/>
          <w:szCs w:val="40"/>
        </w:rPr>
        <w:t>ITA Activity Progress by State</w:t>
      </w:r>
      <w:bookmarkEnd w:id="197"/>
      <w:bookmarkEnd w:id="198"/>
    </w:p>
    <w:tbl>
      <w:tblPr>
        <w:tblW w:w="5000" w:type="pct"/>
        <w:tblLook w:val="04A0" w:firstRow="1" w:lastRow="0" w:firstColumn="1" w:lastColumn="0" w:noHBand="0" w:noVBand="1"/>
      </w:tblPr>
      <w:tblGrid>
        <w:gridCol w:w="2840"/>
        <w:gridCol w:w="818"/>
        <w:gridCol w:w="818"/>
        <w:gridCol w:w="747"/>
        <w:gridCol w:w="747"/>
        <w:gridCol w:w="747"/>
        <w:gridCol w:w="881"/>
        <w:gridCol w:w="881"/>
        <w:gridCol w:w="881"/>
      </w:tblGrid>
      <w:tr w:rsidR="00AD27AF" w:rsidRPr="00216251" w14:paraId="70CEFEC9"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40E6C98D" w14:textId="77777777" w:rsidR="00AD27AF" w:rsidRPr="00216251" w:rsidRDefault="00AD27AF" w:rsidP="00C97C03">
            <w:pPr>
              <w:spacing w:after="0" w:line="240" w:lineRule="auto"/>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All States</w:t>
            </w:r>
          </w:p>
        </w:tc>
      </w:tr>
      <w:tr w:rsidR="00AD27AF" w:rsidRPr="00216251" w14:paraId="197FF664" w14:textId="77777777" w:rsidTr="00C97C03">
        <w:trPr>
          <w:trHeight w:val="1050"/>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501159AF"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44AA615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5766485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w:t>
            </w:r>
          </w:p>
        </w:tc>
        <w:tc>
          <w:tcPr>
            <w:tcW w:w="399" w:type="pct"/>
            <w:tcBorders>
              <w:top w:val="nil"/>
              <w:left w:val="nil"/>
              <w:bottom w:val="single" w:sz="4" w:space="0" w:color="auto"/>
              <w:right w:val="single" w:sz="4" w:space="0" w:color="auto"/>
            </w:tcBorders>
            <w:shd w:val="clear" w:color="000000" w:fill="B4C6E7"/>
            <w:vAlign w:val="bottom"/>
            <w:hideMark/>
          </w:tcPr>
          <w:p w14:paraId="09F1E86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206CA29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02A71E8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Outputs Met</w:t>
            </w:r>
          </w:p>
        </w:tc>
        <w:tc>
          <w:tcPr>
            <w:tcW w:w="471" w:type="pct"/>
            <w:tcBorders>
              <w:top w:val="nil"/>
              <w:left w:val="nil"/>
              <w:bottom w:val="single" w:sz="4" w:space="0" w:color="auto"/>
              <w:right w:val="single" w:sz="4" w:space="0" w:color="auto"/>
            </w:tcBorders>
            <w:shd w:val="clear" w:color="000000" w:fill="B4C6E7"/>
            <w:vAlign w:val="bottom"/>
            <w:hideMark/>
          </w:tcPr>
          <w:p w14:paraId="604BE5E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5AC0CC1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Achieved</w:t>
            </w:r>
          </w:p>
        </w:tc>
        <w:tc>
          <w:tcPr>
            <w:tcW w:w="471" w:type="pct"/>
            <w:tcBorders>
              <w:top w:val="nil"/>
              <w:left w:val="nil"/>
              <w:bottom w:val="single" w:sz="4" w:space="0" w:color="auto"/>
              <w:right w:val="single" w:sz="4" w:space="0" w:color="auto"/>
            </w:tcBorders>
            <w:shd w:val="clear" w:color="000000" w:fill="B4C6E7"/>
            <w:vAlign w:val="bottom"/>
            <w:hideMark/>
          </w:tcPr>
          <w:p w14:paraId="31620C5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722F2A02"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D1C282D"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1C3E3BF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233</w:t>
            </w:r>
          </w:p>
        </w:tc>
        <w:tc>
          <w:tcPr>
            <w:tcW w:w="437" w:type="pct"/>
            <w:tcBorders>
              <w:top w:val="nil"/>
              <w:left w:val="nil"/>
              <w:bottom w:val="single" w:sz="4" w:space="0" w:color="auto"/>
              <w:right w:val="single" w:sz="4" w:space="0" w:color="auto"/>
            </w:tcBorders>
            <w:shd w:val="clear" w:color="000000" w:fill="FFFFFF"/>
            <w:noWrap/>
            <w:vAlign w:val="center"/>
            <w:hideMark/>
          </w:tcPr>
          <w:p w14:paraId="1A90132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84%</w:t>
            </w:r>
          </w:p>
        </w:tc>
        <w:tc>
          <w:tcPr>
            <w:tcW w:w="399" w:type="pct"/>
            <w:tcBorders>
              <w:top w:val="nil"/>
              <w:left w:val="nil"/>
              <w:bottom w:val="single" w:sz="4" w:space="0" w:color="auto"/>
              <w:right w:val="single" w:sz="4" w:space="0" w:color="auto"/>
            </w:tcBorders>
            <w:shd w:val="clear" w:color="000000" w:fill="FFFFFF"/>
            <w:noWrap/>
            <w:vAlign w:val="center"/>
            <w:hideMark/>
          </w:tcPr>
          <w:p w14:paraId="243AB80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232</w:t>
            </w:r>
          </w:p>
        </w:tc>
        <w:tc>
          <w:tcPr>
            <w:tcW w:w="399" w:type="pct"/>
            <w:tcBorders>
              <w:top w:val="nil"/>
              <w:left w:val="nil"/>
              <w:bottom w:val="single" w:sz="4" w:space="0" w:color="auto"/>
              <w:right w:val="single" w:sz="4" w:space="0" w:color="auto"/>
            </w:tcBorders>
            <w:shd w:val="clear" w:color="000000" w:fill="FFFFFF"/>
            <w:noWrap/>
            <w:vAlign w:val="center"/>
            <w:hideMark/>
          </w:tcPr>
          <w:p w14:paraId="7BB197C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165</w:t>
            </w:r>
          </w:p>
        </w:tc>
        <w:tc>
          <w:tcPr>
            <w:tcW w:w="399" w:type="pct"/>
            <w:tcBorders>
              <w:top w:val="nil"/>
              <w:left w:val="nil"/>
              <w:bottom w:val="single" w:sz="4" w:space="0" w:color="auto"/>
              <w:right w:val="single" w:sz="4" w:space="0" w:color="auto"/>
            </w:tcBorders>
            <w:shd w:val="clear" w:color="000000" w:fill="FFFFFF"/>
            <w:noWrap/>
            <w:vAlign w:val="center"/>
            <w:hideMark/>
          </w:tcPr>
          <w:p w14:paraId="671803C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71%</w:t>
            </w:r>
          </w:p>
        </w:tc>
        <w:tc>
          <w:tcPr>
            <w:tcW w:w="471" w:type="pct"/>
            <w:tcBorders>
              <w:top w:val="nil"/>
              <w:left w:val="nil"/>
              <w:bottom w:val="single" w:sz="4" w:space="0" w:color="auto"/>
              <w:right w:val="single" w:sz="4" w:space="0" w:color="auto"/>
            </w:tcBorders>
            <w:shd w:val="clear" w:color="000000" w:fill="FFFFFF"/>
            <w:noWrap/>
            <w:vAlign w:val="center"/>
            <w:hideMark/>
          </w:tcPr>
          <w:p w14:paraId="1F55F7E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121</w:t>
            </w:r>
          </w:p>
        </w:tc>
        <w:tc>
          <w:tcPr>
            <w:tcW w:w="471" w:type="pct"/>
            <w:tcBorders>
              <w:top w:val="nil"/>
              <w:left w:val="nil"/>
              <w:bottom w:val="single" w:sz="4" w:space="0" w:color="auto"/>
              <w:right w:val="single" w:sz="4" w:space="0" w:color="auto"/>
            </w:tcBorders>
            <w:shd w:val="clear" w:color="000000" w:fill="FFFFFF"/>
            <w:noWrap/>
            <w:vAlign w:val="center"/>
            <w:hideMark/>
          </w:tcPr>
          <w:p w14:paraId="401365F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57</w:t>
            </w:r>
          </w:p>
        </w:tc>
        <w:tc>
          <w:tcPr>
            <w:tcW w:w="471" w:type="pct"/>
            <w:tcBorders>
              <w:top w:val="nil"/>
              <w:left w:val="nil"/>
              <w:bottom w:val="single" w:sz="4" w:space="0" w:color="auto"/>
              <w:right w:val="single" w:sz="4" w:space="0" w:color="auto"/>
            </w:tcBorders>
            <w:shd w:val="clear" w:color="000000" w:fill="FFFFFF"/>
            <w:noWrap/>
            <w:vAlign w:val="center"/>
            <w:hideMark/>
          </w:tcPr>
          <w:p w14:paraId="433C0F9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47%</w:t>
            </w:r>
          </w:p>
        </w:tc>
      </w:tr>
      <w:tr w:rsidR="00AD27AF" w:rsidRPr="00216251" w14:paraId="7D52D6C9"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166B8F3B"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Section 511</w:t>
            </w:r>
          </w:p>
        </w:tc>
        <w:tc>
          <w:tcPr>
            <w:tcW w:w="437" w:type="pct"/>
            <w:tcBorders>
              <w:top w:val="nil"/>
              <w:left w:val="nil"/>
              <w:bottom w:val="single" w:sz="4" w:space="0" w:color="auto"/>
              <w:right w:val="single" w:sz="4" w:space="0" w:color="auto"/>
            </w:tcBorders>
            <w:shd w:val="clear" w:color="000000" w:fill="D9E2F3"/>
            <w:noWrap/>
            <w:vAlign w:val="center"/>
            <w:hideMark/>
          </w:tcPr>
          <w:p w14:paraId="376291B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22</w:t>
            </w:r>
          </w:p>
        </w:tc>
        <w:tc>
          <w:tcPr>
            <w:tcW w:w="437" w:type="pct"/>
            <w:tcBorders>
              <w:top w:val="nil"/>
              <w:left w:val="nil"/>
              <w:bottom w:val="single" w:sz="4" w:space="0" w:color="auto"/>
              <w:right w:val="single" w:sz="4" w:space="0" w:color="auto"/>
            </w:tcBorders>
            <w:shd w:val="clear" w:color="000000" w:fill="D9E2F3"/>
            <w:noWrap/>
            <w:vAlign w:val="center"/>
            <w:hideMark/>
          </w:tcPr>
          <w:p w14:paraId="5B7C032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2F3"/>
            <w:noWrap/>
            <w:vAlign w:val="center"/>
            <w:hideMark/>
          </w:tcPr>
          <w:p w14:paraId="3F92A0F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22</w:t>
            </w:r>
          </w:p>
        </w:tc>
        <w:tc>
          <w:tcPr>
            <w:tcW w:w="399" w:type="pct"/>
            <w:tcBorders>
              <w:top w:val="nil"/>
              <w:left w:val="nil"/>
              <w:bottom w:val="single" w:sz="4" w:space="0" w:color="auto"/>
              <w:right w:val="single" w:sz="4" w:space="0" w:color="auto"/>
            </w:tcBorders>
            <w:shd w:val="clear" w:color="000000" w:fill="D9E2F3"/>
            <w:noWrap/>
            <w:vAlign w:val="center"/>
            <w:hideMark/>
          </w:tcPr>
          <w:p w14:paraId="77356EA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22</w:t>
            </w:r>
          </w:p>
        </w:tc>
        <w:tc>
          <w:tcPr>
            <w:tcW w:w="399" w:type="pct"/>
            <w:tcBorders>
              <w:top w:val="nil"/>
              <w:left w:val="nil"/>
              <w:bottom w:val="single" w:sz="4" w:space="0" w:color="auto"/>
              <w:right w:val="single" w:sz="4" w:space="0" w:color="auto"/>
            </w:tcBorders>
            <w:shd w:val="clear" w:color="000000" w:fill="D9E2F3"/>
            <w:noWrap/>
            <w:vAlign w:val="center"/>
            <w:hideMark/>
          </w:tcPr>
          <w:p w14:paraId="57E3F25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2F3"/>
            <w:noWrap/>
            <w:vAlign w:val="center"/>
            <w:hideMark/>
          </w:tcPr>
          <w:p w14:paraId="5ED4A11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18</w:t>
            </w:r>
          </w:p>
        </w:tc>
        <w:tc>
          <w:tcPr>
            <w:tcW w:w="471" w:type="pct"/>
            <w:tcBorders>
              <w:top w:val="nil"/>
              <w:left w:val="nil"/>
              <w:bottom w:val="single" w:sz="4" w:space="0" w:color="auto"/>
              <w:right w:val="single" w:sz="4" w:space="0" w:color="auto"/>
            </w:tcBorders>
            <w:shd w:val="clear" w:color="000000" w:fill="D9E2F3"/>
            <w:noWrap/>
            <w:vAlign w:val="center"/>
            <w:hideMark/>
          </w:tcPr>
          <w:p w14:paraId="1E34ACA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15</w:t>
            </w:r>
          </w:p>
        </w:tc>
        <w:tc>
          <w:tcPr>
            <w:tcW w:w="471" w:type="pct"/>
            <w:tcBorders>
              <w:top w:val="nil"/>
              <w:left w:val="nil"/>
              <w:bottom w:val="single" w:sz="4" w:space="0" w:color="auto"/>
              <w:right w:val="single" w:sz="4" w:space="0" w:color="auto"/>
            </w:tcBorders>
            <w:shd w:val="clear" w:color="000000" w:fill="D9E2F3"/>
            <w:noWrap/>
            <w:vAlign w:val="center"/>
            <w:hideMark/>
          </w:tcPr>
          <w:p w14:paraId="65D0261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83%</w:t>
            </w:r>
          </w:p>
        </w:tc>
      </w:tr>
      <w:tr w:rsidR="00AD27AF" w:rsidRPr="00216251" w14:paraId="4D242E99"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E06DC52"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Competitive Integrated Employment</w:t>
            </w:r>
          </w:p>
        </w:tc>
        <w:tc>
          <w:tcPr>
            <w:tcW w:w="437" w:type="pct"/>
            <w:tcBorders>
              <w:top w:val="nil"/>
              <w:left w:val="nil"/>
              <w:bottom w:val="single" w:sz="4" w:space="0" w:color="auto"/>
              <w:right w:val="single" w:sz="4" w:space="0" w:color="auto"/>
            </w:tcBorders>
            <w:shd w:val="clear" w:color="000000" w:fill="FFFFFF"/>
            <w:noWrap/>
            <w:vAlign w:val="center"/>
            <w:hideMark/>
          </w:tcPr>
          <w:p w14:paraId="183F270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FFFFFF"/>
            <w:noWrap/>
            <w:vAlign w:val="center"/>
            <w:hideMark/>
          </w:tcPr>
          <w:p w14:paraId="49C83CE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21D49D0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74997AE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3F0CA37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62E80B3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7B03D21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5C9EA4C6"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eastAsia="Times New Roman" w:hAnsi="Calibri" w:cs="Calibri"/>
                <w:color w:val="000000"/>
              </w:rPr>
              <w:t>75</w:t>
            </w:r>
            <w:r w:rsidRPr="00216251">
              <w:rPr>
                <w:rFonts w:ascii="Calibri" w:eastAsia="Times New Roman" w:hAnsi="Calibri" w:cs="Calibri"/>
                <w:color w:val="000000"/>
              </w:rPr>
              <w:t>%</w:t>
            </w:r>
          </w:p>
        </w:tc>
      </w:tr>
      <w:tr w:rsidR="00AD27AF" w:rsidRPr="00216251" w14:paraId="497EF134"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01C884A"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D9E2F3"/>
            <w:noWrap/>
            <w:vAlign w:val="center"/>
            <w:hideMark/>
          </w:tcPr>
          <w:p w14:paraId="61A5372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64</w:t>
            </w:r>
          </w:p>
        </w:tc>
        <w:tc>
          <w:tcPr>
            <w:tcW w:w="437" w:type="pct"/>
            <w:tcBorders>
              <w:top w:val="nil"/>
              <w:left w:val="nil"/>
              <w:bottom w:val="single" w:sz="4" w:space="0" w:color="auto"/>
              <w:right w:val="single" w:sz="4" w:space="0" w:color="auto"/>
            </w:tcBorders>
            <w:shd w:val="clear" w:color="000000" w:fill="D9E2F3"/>
            <w:noWrap/>
            <w:vAlign w:val="center"/>
            <w:hideMark/>
          </w:tcPr>
          <w:p w14:paraId="1A41BCD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c>
          <w:tcPr>
            <w:tcW w:w="399" w:type="pct"/>
            <w:tcBorders>
              <w:top w:val="nil"/>
              <w:left w:val="nil"/>
              <w:bottom w:val="single" w:sz="4" w:space="0" w:color="auto"/>
              <w:right w:val="single" w:sz="4" w:space="0" w:color="auto"/>
            </w:tcBorders>
            <w:shd w:val="clear" w:color="000000" w:fill="D9E2F3"/>
            <w:noWrap/>
            <w:vAlign w:val="center"/>
            <w:hideMark/>
          </w:tcPr>
          <w:p w14:paraId="66F58A7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64</w:t>
            </w:r>
          </w:p>
        </w:tc>
        <w:tc>
          <w:tcPr>
            <w:tcW w:w="399" w:type="pct"/>
            <w:tcBorders>
              <w:top w:val="nil"/>
              <w:left w:val="nil"/>
              <w:bottom w:val="single" w:sz="4" w:space="0" w:color="auto"/>
              <w:right w:val="single" w:sz="4" w:space="0" w:color="auto"/>
            </w:tcBorders>
            <w:shd w:val="clear" w:color="000000" w:fill="D9E2F3"/>
            <w:noWrap/>
            <w:vAlign w:val="center"/>
            <w:hideMark/>
          </w:tcPr>
          <w:p w14:paraId="74CF0B8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34</w:t>
            </w:r>
          </w:p>
        </w:tc>
        <w:tc>
          <w:tcPr>
            <w:tcW w:w="399" w:type="pct"/>
            <w:tcBorders>
              <w:top w:val="nil"/>
              <w:left w:val="nil"/>
              <w:bottom w:val="single" w:sz="4" w:space="0" w:color="auto"/>
              <w:right w:val="single" w:sz="4" w:space="0" w:color="auto"/>
            </w:tcBorders>
            <w:shd w:val="clear" w:color="000000" w:fill="D9E2F3"/>
            <w:noWrap/>
            <w:vAlign w:val="center"/>
            <w:hideMark/>
          </w:tcPr>
          <w:p w14:paraId="45FAB26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53%</w:t>
            </w:r>
          </w:p>
        </w:tc>
        <w:tc>
          <w:tcPr>
            <w:tcW w:w="471" w:type="pct"/>
            <w:tcBorders>
              <w:top w:val="nil"/>
              <w:left w:val="nil"/>
              <w:bottom w:val="single" w:sz="4" w:space="0" w:color="auto"/>
              <w:right w:val="single" w:sz="4" w:space="0" w:color="auto"/>
            </w:tcBorders>
            <w:shd w:val="clear" w:color="000000" w:fill="D9E2F3"/>
            <w:noWrap/>
            <w:vAlign w:val="center"/>
            <w:hideMark/>
          </w:tcPr>
          <w:p w14:paraId="3D9C053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31</w:t>
            </w:r>
          </w:p>
        </w:tc>
        <w:tc>
          <w:tcPr>
            <w:tcW w:w="471" w:type="pct"/>
            <w:tcBorders>
              <w:top w:val="nil"/>
              <w:left w:val="nil"/>
              <w:bottom w:val="single" w:sz="4" w:space="0" w:color="auto"/>
              <w:right w:val="single" w:sz="4" w:space="0" w:color="auto"/>
            </w:tcBorders>
            <w:shd w:val="clear" w:color="000000" w:fill="D9E2F3"/>
            <w:noWrap/>
            <w:vAlign w:val="center"/>
            <w:hideMark/>
          </w:tcPr>
          <w:p w14:paraId="258023D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71" w:type="pct"/>
            <w:tcBorders>
              <w:top w:val="nil"/>
              <w:left w:val="nil"/>
              <w:bottom w:val="single" w:sz="4" w:space="0" w:color="auto"/>
              <w:right w:val="single" w:sz="4" w:space="0" w:color="auto"/>
            </w:tcBorders>
            <w:shd w:val="clear" w:color="000000" w:fill="D9E2F3"/>
            <w:noWrap/>
            <w:vAlign w:val="center"/>
            <w:hideMark/>
          </w:tcPr>
          <w:p w14:paraId="3FEB85F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16%</w:t>
            </w:r>
          </w:p>
        </w:tc>
      </w:tr>
      <w:tr w:rsidR="00AD27AF" w:rsidRPr="00216251" w14:paraId="44B2A494"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5F832A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FFFFFF"/>
            <w:noWrap/>
            <w:vAlign w:val="center"/>
            <w:hideMark/>
          </w:tcPr>
          <w:p w14:paraId="3DBB230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137</w:t>
            </w:r>
          </w:p>
        </w:tc>
        <w:tc>
          <w:tcPr>
            <w:tcW w:w="437" w:type="pct"/>
            <w:tcBorders>
              <w:top w:val="nil"/>
              <w:left w:val="nil"/>
              <w:bottom w:val="single" w:sz="4" w:space="0" w:color="auto"/>
              <w:right w:val="single" w:sz="4" w:space="0" w:color="auto"/>
            </w:tcBorders>
            <w:shd w:val="clear" w:color="000000" w:fill="FFFFFF"/>
            <w:noWrap/>
            <w:vAlign w:val="center"/>
            <w:hideMark/>
          </w:tcPr>
          <w:p w14:paraId="4F3C9E6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65%</w:t>
            </w:r>
          </w:p>
        </w:tc>
        <w:tc>
          <w:tcPr>
            <w:tcW w:w="399" w:type="pct"/>
            <w:tcBorders>
              <w:top w:val="nil"/>
              <w:left w:val="nil"/>
              <w:bottom w:val="single" w:sz="4" w:space="0" w:color="auto"/>
              <w:right w:val="single" w:sz="4" w:space="0" w:color="auto"/>
            </w:tcBorders>
            <w:shd w:val="clear" w:color="000000" w:fill="FFFFFF"/>
            <w:noWrap/>
            <w:vAlign w:val="center"/>
            <w:hideMark/>
          </w:tcPr>
          <w:p w14:paraId="63950EA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137</w:t>
            </w:r>
          </w:p>
        </w:tc>
        <w:tc>
          <w:tcPr>
            <w:tcW w:w="399" w:type="pct"/>
            <w:tcBorders>
              <w:top w:val="nil"/>
              <w:left w:val="nil"/>
              <w:bottom w:val="single" w:sz="4" w:space="0" w:color="auto"/>
              <w:right w:val="single" w:sz="4" w:space="0" w:color="auto"/>
            </w:tcBorders>
            <w:shd w:val="clear" w:color="000000" w:fill="FFFFFF"/>
            <w:noWrap/>
            <w:vAlign w:val="center"/>
            <w:hideMark/>
          </w:tcPr>
          <w:p w14:paraId="68613DC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63</w:t>
            </w:r>
          </w:p>
        </w:tc>
        <w:tc>
          <w:tcPr>
            <w:tcW w:w="399" w:type="pct"/>
            <w:tcBorders>
              <w:top w:val="nil"/>
              <w:left w:val="nil"/>
              <w:bottom w:val="single" w:sz="4" w:space="0" w:color="auto"/>
              <w:right w:val="single" w:sz="4" w:space="0" w:color="auto"/>
            </w:tcBorders>
            <w:shd w:val="clear" w:color="000000" w:fill="FFFFFF"/>
            <w:noWrap/>
            <w:vAlign w:val="center"/>
            <w:hideMark/>
          </w:tcPr>
          <w:p w14:paraId="758C760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46%</w:t>
            </w:r>
          </w:p>
        </w:tc>
        <w:tc>
          <w:tcPr>
            <w:tcW w:w="471" w:type="pct"/>
            <w:tcBorders>
              <w:top w:val="nil"/>
              <w:left w:val="nil"/>
              <w:bottom w:val="single" w:sz="4" w:space="0" w:color="auto"/>
              <w:right w:val="single" w:sz="4" w:space="0" w:color="auto"/>
            </w:tcBorders>
            <w:shd w:val="clear" w:color="000000" w:fill="FFFFFF"/>
            <w:noWrap/>
            <w:vAlign w:val="center"/>
            <w:hideMark/>
          </w:tcPr>
          <w:p w14:paraId="2897D55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51</w:t>
            </w:r>
          </w:p>
        </w:tc>
        <w:tc>
          <w:tcPr>
            <w:tcW w:w="471" w:type="pct"/>
            <w:tcBorders>
              <w:top w:val="nil"/>
              <w:left w:val="nil"/>
              <w:bottom w:val="single" w:sz="4" w:space="0" w:color="auto"/>
              <w:right w:val="single" w:sz="4" w:space="0" w:color="auto"/>
            </w:tcBorders>
            <w:shd w:val="clear" w:color="000000" w:fill="FFFFFF"/>
            <w:noWrap/>
            <w:vAlign w:val="center"/>
            <w:hideMark/>
          </w:tcPr>
          <w:p w14:paraId="63E111E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45</w:t>
            </w:r>
          </w:p>
        </w:tc>
        <w:tc>
          <w:tcPr>
            <w:tcW w:w="471" w:type="pct"/>
            <w:tcBorders>
              <w:top w:val="nil"/>
              <w:left w:val="nil"/>
              <w:bottom w:val="single" w:sz="4" w:space="0" w:color="auto"/>
              <w:right w:val="single" w:sz="4" w:space="0" w:color="auto"/>
            </w:tcBorders>
            <w:shd w:val="clear" w:color="000000" w:fill="FFFFFF"/>
            <w:noWrap/>
            <w:vAlign w:val="center"/>
            <w:hideMark/>
          </w:tcPr>
          <w:p w14:paraId="4C78787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88%</w:t>
            </w:r>
          </w:p>
        </w:tc>
      </w:tr>
      <w:tr w:rsidR="00AD27AF" w:rsidRPr="00216251" w14:paraId="36A0B1CB"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1460ADD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Peer Mentoring</w:t>
            </w:r>
          </w:p>
        </w:tc>
        <w:tc>
          <w:tcPr>
            <w:tcW w:w="437" w:type="pct"/>
            <w:tcBorders>
              <w:top w:val="nil"/>
              <w:left w:val="nil"/>
              <w:bottom w:val="single" w:sz="4" w:space="0" w:color="auto"/>
              <w:right w:val="single" w:sz="4" w:space="0" w:color="auto"/>
            </w:tcBorders>
            <w:shd w:val="clear" w:color="000000" w:fill="D9E2F3"/>
            <w:noWrap/>
            <w:vAlign w:val="center"/>
            <w:hideMark/>
          </w:tcPr>
          <w:p w14:paraId="5BF8DB8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c>
          <w:tcPr>
            <w:tcW w:w="437" w:type="pct"/>
            <w:tcBorders>
              <w:top w:val="nil"/>
              <w:left w:val="nil"/>
              <w:bottom w:val="single" w:sz="4" w:space="0" w:color="auto"/>
              <w:right w:val="single" w:sz="4" w:space="0" w:color="auto"/>
            </w:tcBorders>
            <w:shd w:val="clear" w:color="000000" w:fill="D9E2F3"/>
            <w:noWrap/>
            <w:vAlign w:val="center"/>
            <w:hideMark/>
          </w:tcPr>
          <w:p w14:paraId="750BAC0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98%</w:t>
            </w:r>
          </w:p>
        </w:tc>
        <w:tc>
          <w:tcPr>
            <w:tcW w:w="399" w:type="pct"/>
            <w:tcBorders>
              <w:top w:val="nil"/>
              <w:left w:val="nil"/>
              <w:bottom w:val="single" w:sz="4" w:space="0" w:color="auto"/>
              <w:right w:val="single" w:sz="4" w:space="0" w:color="auto"/>
            </w:tcBorders>
            <w:shd w:val="clear" w:color="000000" w:fill="D9E2F3"/>
            <w:noWrap/>
            <w:vAlign w:val="center"/>
            <w:hideMark/>
          </w:tcPr>
          <w:p w14:paraId="5BD27EE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c>
          <w:tcPr>
            <w:tcW w:w="399" w:type="pct"/>
            <w:tcBorders>
              <w:top w:val="nil"/>
              <w:left w:val="nil"/>
              <w:bottom w:val="single" w:sz="4" w:space="0" w:color="auto"/>
              <w:right w:val="single" w:sz="4" w:space="0" w:color="auto"/>
            </w:tcBorders>
            <w:shd w:val="clear" w:color="000000" w:fill="D9E2F3"/>
            <w:noWrap/>
            <w:vAlign w:val="center"/>
            <w:hideMark/>
          </w:tcPr>
          <w:p w14:paraId="355B23F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20</w:t>
            </w:r>
          </w:p>
        </w:tc>
        <w:tc>
          <w:tcPr>
            <w:tcW w:w="399" w:type="pct"/>
            <w:tcBorders>
              <w:top w:val="nil"/>
              <w:left w:val="nil"/>
              <w:bottom w:val="single" w:sz="4" w:space="0" w:color="auto"/>
              <w:right w:val="single" w:sz="4" w:space="0" w:color="auto"/>
            </w:tcBorders>
            <w:shd w:val="clear" w:color="000000" w:fill="D9E2F3"/>
            <w:noWrap/>
            <w:vAlign w:val="center"/>
            <w:hideMark/>
          </w:tcPr>
          <w:p w14:paraId="048039A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80%</w:t>
            </w:r>
          </w:p>
        </w:tc>
        <w:tc>
          <w:tcPr>
            <w:tcW w:w="471" w:type="pct"/>
            <w:tcBorders>
              <w:top w:val="nil"/>
              <w:left w:val="nil"/>
              <w:bottom w:val="single" w:sz="4" w:space="0" w:color="auto"/>
              <w:right w:val="single" w:sz="4" w:space="0" w:color="auto"/>
            </w:tcBorders>
            <w:shd w:val="clear" w:color="000000" w:fill="D9E2F3"/>
            <w:noWrap/>
            <w:vAlign w:val="center"/>
            <w:hideMark/>
          </w:tcPr>
          <w:p w14:paraId="462FF9C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18</w:t>
            </w:r>
          </w:p>
        </w:tc>
        <w:tc>
          <w:tcPr>
            <w:tcW w:w="471" w:type="pct"/>
            <w:tcBorders>
              <w:top w:val="nil"/>
              <w:left w:val="nil"/>
              <w:bottom w:val="single" w:sz="4" w:space="0" w:color="auto"/>
              <w:right w:val="single" w:sz="4" w:space="0" w:color="auto"/>
            </w:tcBorders>
            <w:shd w:val="clear" w:color="000000" w:fill="D9E2F3"/>
            <w:noWrap/>
            <w:vAlign w:val="center"/>
            <w:hideMark/>
          </w:tcPr>
          <w:p w14:paraId="398F3AA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71" w:type="pct"/>
            <w:tcBorders>
              <w:top w:val="nil"/>
              <w:left w:val="nil"/>
              <w:bottom w:val="single" w:sz="4" w:space="0" w:color="auto"/>
              <w:right w:val="single" w:sz="4" w:space="0" w:color="auto"/>
            </w:tcBorders>
            <w:shd w:val="clear" w:color="000000" w:fill="D9E2F3"/>
            <w:noWrap/>
            <w:vAlign w:val="center"/>
            <w:hideMark/>
          </w:tcPr>
          <w:p w14:paraId="46C9612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33%</w:t>
            </w:r>
          </w:p>
        </w:tc>
      </w:tr>
      <w:tr w:rsidR="00AD27AF" w:rsidRPr="00216251" w14:paraId="3EE9EACB"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DD17B0F"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Business Engagement</w:t>
            </w:r>
          </w:p>
        </w:tc>
        <w:tc>
          <w:tcPr>
            <w:tcW w:w="437" w:type="pct"/>
            <w:tcBorders>
              <w:top w:val="nil"/>
              <w:left w:val="nil"/>
              <w:bottom w:val="single" w:sz="4" w:space="0" w:color="auto"/>
              <w:right w:val="single" w:sz="4" w:space="0" w:color="auto"/>
            </w:tcBorders>
            <w:shd w:val="clear" w:color="000000" w:fill="FFFFFF"/>
            <w:noWrap/>
            <w:vAlign w:val="center"/>
            <w:hideMark/>
          </w:tcPr>
          <w:p w14:paraId="786ABEC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27</w:t>
            </w:r>
          </w:p>
        </w:tc>
        <w:tc>
          <w:tcPr>
            <w:tcW w:w="437" w:type="pct"/>
            <w:tcBorders>
              <w:top w:val="nil"/>
              <w:left w:val="nil"/>
              <w:bottom w:val="single" w:sz="4" w:space="0" w:color="auto"/>
              <w:right w:val="single" w:sz="4" w:space="0" w:color="auto"/>
            </w:tcBorders>
            <w:shd w:val="clear" w:color="000000" w:fill="FFFFFF"/>
            <w:noWrap/>
            <w:vAlign w:val="center"/>
            <w:hideMark/>
          </w:tcPr>
          <w:p w14:paraId="322580F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58%</w:t>
            </w:r>
          </w:p>
        </w:tc>
        <w:tc>
          <w:tcPr>
            <w:tcW w:w="399" w:type="pct"/>
            <w:tcBorders>
              <w:top w:val="nil"/>
              <w:left w:val="nil"/>
              <w:bottom w:val="single" w:sz="4" w:space="0" w:color="auto"/>
              <w:right w:val="single" w:sz="4" w:space="0" w:color="auto"/>
            </w:tcBorders>
            <w:shd w:val="clear" w:color="000000" w:fill="FFFFFF"/>
            <w:noWrap/>
            <w:vAlign w:val="center"/>
            <w:hideMark/>
          </w:tcPr>
          <w:p w14:paraId="63D1E8E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27</w:t>
            </w:r>
          </w:p>
        </w:tc>
        <w:tc>
          <w:tcPr>
            <w:tcW w:w="399" w:type="pct"/>
            <w:tcBorders>
              <w:top w:val="nil"/>
              <w:left w:val="nil"/>
              <w:bottom w:val="single" w:sz="4" w:space="0" w:color="auto"/>
              <w:right w:val="single" w:sz="4" w:space="0" w:color="auto"/>
            </w:tcBorders>
            <w:shd w:val="clear" w:color="000000" w:fill="FFFFFF"/>
            <w:noWrap/>
            <w:vAlign w:val="center"/>
            <w:hideMark/>
          </w:tcPr>
          <w:p w14:paraId="06E20B2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w:t>
            </w:r>
          </w:p>
        </w:tc>
        <w:tc>
          <w:tcPr>
            <w:tcW w:w="399" w:type="pct"/>
            <w:tcBorders>
              <w:top w:val="nil"/>
              <w:left w:val="nil"/>
              <w:bottom w:val="single" w:sz="4" w:space="0" w:color="auto"/>
              <w:right w:val="single" w:sz="4" w:space="0" w:color="auto"/>
            </w:tcBorders>
            <w:shd w:val="clear" w:color="000000" w:fill="FFFFFF"/>
            <w:noWrap/>
            <w:vAlign w:val="center"/>
            <w:hideMark/>
          </w:tcPr>
          <w:p w14:paraId="28D32B2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33%</w:t>
            </w:r>
          </w:p>
        </w:tc>
        <w:tc>
          <w:tcPr>
            <w:tcW w:w="471" w:type="pct"/>
            <w:tcBorders>
              <w:top w:val="nil"/>
              <w:left w:val="nil"/>
              <w:bottom w:val="single" w:sz="4" w:space="0" w:color="auto"/>
              <w:right w:val="single" w:sz="4" w:space="0" w:color="auto"/>
            </w:tcBorders>
            <w:shd w:val="clear" w:color="000000" w:fill="FFFFFF"/>
            <w:noWrap/>
            <w:vAlign w:val="center"/>
            <w:hideMark/>
          </w:tcPr>
          <w:p w14:paraId="482AD89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20</w:t>
            </w:r>
          </w:p>
        </w:tc>
        <w:tc>
          <w:tcPr>
            <w:tcW w:w="471" w:type="pct"/>
            <w:tcBorders>
              <w:top w:val="nil"/>
              <w:left w:val="nil"/>
              <w:bottom w:val="single" w:sz="4" w:space="0" w:color="auto"/>
              <w:right w:val="single" w:sz="4" w:space="0" w:color="auto"/>
            </w:tcBorders>
            <w:shd w:val="clear" w:color="000000" w:fill="FFFFFF"/>
            <w:noWrap/>
            <w:vAlign w:val="center"/>
            <w:hideMark/>
          </w:tcPr>
          <w:p w14:paraId="2EC43B3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3920EB2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r>
      <w:tr w:rsidR="00AD27AF" w:rsidRPr="00216251" w14:paraId="1019DC2D"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EE14D5B"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The Career Index Plus (TCI+) and LMI</w:t>
            </w:r>
          </w:p>
        </w:tc>
        <w:tc>
          <w:tcPr>
            <w:tcW w:w="437" w:type="pct"/>
            <w:tcBorders>
              <w:top w:val="nil"/>
              <w:left w:val="nil"/>
              <w:bottom w:val="single" w:sz="4" w:space="0" w:color="auto"/>
              <w:right w:val="single" w:sz="4" w:space="0" w:color="auto"/>
            </w:tcBorders>
            <w:shd w:val="clear" w:color="000000" w:fill="D9E1F2"/>
            <w:noWrap/>
            <w:vAlign w:val="center"/>
            <w:hideMark/>
          </w:tcPr>
          <w:p w14:paraId="14616D3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21</w:t>
            </w:r>
          </w:p>
        </w:tc>
        <w:tc>
          <w:tcPr>
            <w:tcW w:w="437" w:type="pct"/>
            <w:tcBorders>
              <w:top w:val="nil"/>
              <w:left w:val="nil"/>
              <w:bottom w:val="single" w:sz="4" w:space="0" w:color="auto"/>
              <w:right w:val="single" w:sz="4" w:space="0" w:color="auto"/>
            </w:tcBorders>
            <w:shd w:val="clear" w:color="000000" w:fill="D9E1F2"/>
            <w:noWrap/>
            <w:vAlign w:val="center"/>
            <w:hideMark/>
          </w:tcPr>
          <w:p w14:paraId="78A7593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84%</w:t>
            </w:r>
          </w:p>
        </w:tc>
        <w:tc>
          <w:tcPr>
            <w:tcW w:w="399" w:type="pct"/>
            <w:tcBorders>
              <w:top w:val="nil"/>
              <w:left w:val="nil"/>
              <w:bottom w:val="single" w:sz="4" w:space="0" w:color="auto"/>
              <w:right w:val="single" w:sz="4" w:space="0" w:color="auto"/>
            </w:tcBorders>
            <w:shd w:val="clear" w:color="000000" w:fill="D9E1F2"/>
            <w:noWrap/>
            <w:vAlign w:val="center"/>
            <w:hideMark/>
          </w:tcPr>
          <w:p w14:paraId="4716F12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21</w:t>
            </w:r>
          </w:p>
        </w:tc>
        <w:tc>
          <w:tcPr>
            <w:tcW w:w="399" w:type="pct"/>
            <w:tcBorders>
              <w:top w:val="nil"/>
              <w:left w:val="nil"/>
              <w:bottom w:val="single" w:sz="4" w:space="0" w:color="auto"/>
              <w:right w:val="single" w:sz="4" w:space="0" w:color="auto"/>
            </w:tcBorders>
            <w:shd w:val="clear" w:color="000000" w:fill="D9E1F2"/>
            <w:noWrap/>
            <w:vAlign w:val="center"/>
            <w:hideMark/>
          </w:tcPr>
          <w:p w14:paraId="562DE1A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15</w:t>
            </w:r>
          </w:p>
        </w:tc>
        <w:tc>
          <w:tcPr>
            <w:tcW w:w="399" w:type="pct"/>
            <w:tcBorders>
              <w:top w:val="nil"/>
              <w:left w:val="nil"/>
              <w:bottom w:val="single" w:sz="4" w:space="0" w:color="auto"/>
              <w:right w:val="single" w:sz="4" w:space="0" w:color="auto"/>
            </w:tcBorders>
            <w:shd w:val="clear" w:color="000000" w:fill="D9E1F2"/>
            <w:noWrap/>
            <w:vAlign w:val="center"/>
            <w:hideMark/>
          </w:tcPr>
          <w:p w14:paraId="3936628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71%</w:t>
            </w:r>
          </w:p>
        </w:tc>
        <w:tc>
          <w:tcPr>
            <w:tcW w:w="471" w:type="pct"/>
            <w:tcBorders>
              <w:top w:val="nil"/>
              <w:left w:val="nil"/>
              <w:bottom w:val="single" w:sz="4" w:space="0" w:color="auto"/>
              <w:right w:val="single" w:sz="4" w:space="0" w:color="auto"/>
            </w:tcBorders>
            <w:shd w:val="clear" w:color="000000" w:fill="D9E1F2"/>
            <w:noWrap/>
            <w:vAlign w:val="center"/>
            <w:hideMark/>
          </w:tcPr>
          <w:p w14:paraId="766F1BA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12</w:t>
            </w:r>
          </w:p>
        </w:tc>
        <w:tc>
          <w:tcPr>
            <w:tcW w:w="471" w:type="pct"/>
            <w:tcBorders>
              <w:top w:val="nil"/>
              <w:left w:val="nil"/>
              <w:bottom w:val="single" w:sz="4" w:space="0" w:color="auto"/>
              <w:right w:val="single" w:sz="4" w:space="0" w:color="auto"/>
            </w:tcBorders>
            <w:shd w:val="clear" w:color="000000" w:fill="D9E1F2"/>
            <w:noWrap/>
            <w:vAlign w:val="center"/>
            <w:hideMark/>
          </w:tcPr>
          <w:p w14:paraId="1F85A9F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71" w:type="pct"/>
            <w:tcBorders>
              <w:top w:val="nil"/>
              <w:left w:val="nil"/>
              <w:bottom w:val="single" w:sz="4" w:space="0" w:color="auto"/>
              <w:right w:val="single" w:sz="4" w:space="0" w:color="auto"/>
            </w:tcBorders>
            <w:shd w:val="clear" w:color="000000" w:fill="D9E1F2"/>
            <w:noWrap/>
            <w:vAlign w:val="center"/>
            <w:hideMark/>
          </w:tcPr>
          <w:p w14:paraId="65D74FB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58%</w:t>
            </w:r>
          </w:p>
        </w:tc>
      </w:tr>
      <w:tr w:rsidR="00AD27AF" w:rsidRPr="00216251" w14:paraId="34A2E3D3"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B2062C5"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SARA*</w:t>
            </w:r>
          </w:p>
        </w:tc>
        <w:tc>
          <w:tcPr>
            <w:tcW w:w="437" w:type="pct"/>
            <w:tcBorders>
              <w:top w:val="nil"/>
              <w:left w:val="nil"/>
              <w:bottom w:val="single" w:sz="4" w:space="0" w:color="auto"/>
              <w:right w:val="single" w:sz="4" w:space="0" w:color="auto"/>
            </w:tcBorders>
            <w:shd w:val="clear" w:color="000000" w:fill="FFFFFF"/>
            <w:noWrap/>
            <w:vAlign w:val="center"/>
            <w:hideMark/>
          </w:tcPr>
          <w:p w14:paraId="3479F0C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21</w:t>
            </w:r>
          </w:p>
        </w:tc>
        <w:tc>
          <w:tcPr>
            <w:tcW w:w="437" w:type="pct"/>
            <w:tcBorders>
              <w:top w:val="nil"/>
              <w:left w:val="nil"/>
              <w:bottom w:val="single" w:sz="4" w:space="0" w:color="auto"/>
              <w:right w:val="single" w:sz="4" w:space="0" w:color="auto"/>
            </w:tcBorders>
            <w:shd w:val="clear" w:color="000000" w:fill="FFFFFF"/>
            <w:noWrap/>
            <w:vAlign w:val="center"/>
            <w:hideMark/>
          </w:tcPr>
          <w:p w14:paraId="45174B5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29B1961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21</w:t>
            </w:r>
          </w:p>
        </w:tc>
        <w:tc>
          <w:tcPr>
            <w:tcW w:w="399" w:type="pct"/>
            <w:tcBorders>
              <w:top w:val="nil"/>
              <w:left w:val="nil"/>
              <w:bottom w:val="single" w:sz="4" w:space="0" w:color="auto"/>
              <w:right w:val="single" w:sz="4" w:space="0" w:color="auto"/>
            </w:tcBorders>
            <w:shd w:val="clear" w:color="000000" w:fill="FFFFFF"/>
            <w:noWrap/>
            <w:vAlign w:val="center"/>
            <w:hideMark/>
          </w:tcPr>
          <w:p w14:paraId="1CD8535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21</w:t>
            </w:r>
          </w:p>
        </w:tc>
        <w:tc>
          <w:tcPr>
            <w:tcW w:w="399" w:type="pct"/>
            <w:tcBorders>
              <w:top w:val="nil"/>
              <w:left w:val="nil"/>
              <w:bottom w:val="single" w:sz="4" w:space="0" w:color="auto"/>
              <w:right w:val="single" w:sz="4" w:space="0" w:color="auto"/>
            </w:tcBorders>
            <w:shd w:val="clear" w:color="000000" w:fill="FFFFFF"/>
            <w:noWrap/>
            <w:vAlign w:val="center"/>
            <w:hideMark/>
          </w:tcPr>
          <w:p w14:paraId="3201052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6C302C0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21</w:t>
            </w:r>
          </w:p>
        </w:tc>
        <w:tc>
          <w:tcPr>
            <w:tcW w:w="471" w:type="pct"/>
            <w:tcBorders>
              <w:top w:val="nil"/>
              <w:left w:val="nil"/>
              <w:bottom w:val="single" w:sz="4" w:space="0" w:color="auto"/>
              <w:right w:val="single" w:sz="4" w:space="0" w:color="auto"/>
            </w:tcBorders>
            <w:shd w:val="clear" w:color="000000" w:fill="FFFFFF"/>
            <w:noWrap/>
            <w:vAlign w:val="center"/>
            <w:hideMark/>
          </w:tcPr>
          <w:p w14:paraId="0F1691A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20</w:t>
            </w:r>
          </w:p>
        </w:tc>
        <w:tc>
          <w:tcPr>
            <w:tcW w:w="471" w:type="pct"/>
            <w:tcBorders>
              <w:top w:val="nil"/>
              <w:left w:val="nil"/>
              <w:bottom w:val="single" w:sz="4" w:space="0" w:color="auto"/>
              <w:right w:val="single" w:sz="4" w:space="0" w:color="auto"/>
            </w:tcBorders>
            <w:shd w:val="clear" w:color="000000" w:fill="FFFFFF"/>
            <w:noWrap/>
            <w:vAlign w:val="center"/>
            <w:hideMark/>
          </w:tcPr>
          <w:p w14:paraId="6FDE0CE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95%</w:t>
            </w:r>
          </w:p>
        </w:tc>
      </w:tr>
      <w:tr w:rsidR="00AD27AF" w:rsidRPr="00216251" w14:paraId="13D98DF0"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80AD5B7"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Apprenticeships</w:t>
            </w:r>
          </w:p>
        </w:tc>
        <w:tc>
          <w:tcPr>
            <w:tcW w:w="437" w:type="pct"/>
            <w:tcBorders>
              <w:top w:val="nil"/>
              <w:left w:val="nil"/>
              <w:bottom w:val="single" w:sz="4" w:space="0" w:color="auto"/>
              <w:right w:val="single" w:sz="4" w:space="0" w:color="auto"/>
            </w:tcBorders>
            <w:shd w:val="clear" w:color="000000" w:fill="D9E1F2"/>
            <w:noWrap/>
            <w:vAlign w:val="center"/>
            <w:hideMark/>
          </w:tcPr>
          <w:p w14:paraId="02B5B2F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D9E1F2"/>
            <w:noWrap/>
            <w:vAlign w:val="center"/>
            <w:hideMark/>
          </w:tcPr>
          <w:p w14:paraId="0F9E526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1F2"/>
            <w:noWrap/>
            <w:vAlign w:val="center"/>
            <w:hideMark/>
          </w:tcPr>
          <w:p w14:paraId="47CC935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D9E1F2"/>
            <w:noWrap/>
            <w:vAlign w:val="center"/>
            <w:hideMark/>
          </w:tcPr>
          <w:p w14:paraId="0E3C36A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D9E1F2"/>
            <w:noWrap/>
            <w:vAlign w:val="center"/>
            <w:hideMark/>
          </w:tcPr>
          <w:p w14:paraId="3708C52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1F2"/>
            <w:noWrap/>
            <w:vAlign w:val="center"/>
            <w:hideMark/>
          </w:tcPr>
          <w:p w14:paraId="667F92D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D9E1F2"/>
            <w:noWrap/>
            <w:vAlign w:val="center"/>
            <w:hideMark/>
          </w:tcPr>
          <w:p w14:paraId="4731857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51D92E7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33%</w:t>
            </w:r>
          </w:p>
        </w:tc>
      </w:tr>
      <w:tr w:rsidR="00AD27AF" w:rsidRPr="00216251" w14:paraId="421A9A76"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1C26F4D3"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Customized Employment</w:t>
            </w:r>
          </w:p>
        </w:tc>
        <w:tc>
          <w:tcPr>
            <w:tcW w:w="437" w:type="pct"/>
            <w:tcBorders>
              <w:top w:val="nil"/>
              <w:left w:val="nil"/>
              <w:bottom w:val="single" w:sz="4" w:space="0" w:color="auto"/>
              <w:right w:val="single" w:sz="4" w:space="0" w:color="auto"/>
            </w:tcBorders>
            <w:shd w:val="clear" w:color="000000" w:fill="FFFFFF"/>
            <w:noWrap/>
            <w:vAlign w:val="center"/>
            <w:hideMark/>
          </w:tcPr>
          <w:p w14:paraId="1D8B04D1"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hAnsi="Calibri" w:cs="Calibri"/>
                <w:color w:val="000000"/>
              </w:rPr>
              <w:t>74</w:t>
            </w:r>
          </w:p>
        </w:tc>
        <w:tc>
          <w:tcPr>
            <w:tcW w:w="437" w:type="pct"/>
            <w:tcBorders>
              <w:top w:val="nil"/>
              <w:left w:val="nil"/>
              <w:bottom w:val="single" w:sz="4" w:space="0" w:color="auto"/>
              <w:right w:val="single" w:sz="4" w:space="0" w:color="auto"/>
            </w:tcBorders>
            <w:shd w:val="clear" w:color="000000" w:fill="FFFFFF"/>
            <w:noWrap/>
            <w:vAlign w:val="center"/>
            <w:hideMark/>
          </w:tcPr>
          <w:p w14:paraId="7944884F"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hAnsi="Calibri" w:cs="Calibri"/>
                <w:color w:val="000000"/>
              </w:rPr>
              <w:t>78%</w:t>
            </w:r>
          </w:p>
        </w:tc>
        <w:tc>
          <w:tcPr>
            <w:tcW w:w="399" w:type="pct"/>
            <w:tcBorders>
              <w:top w:val="nil"/>
              <w:left w:val="nil"/>
              <w:bottom w:val="single" w:sz="4" w:space="0" w:color="auto"/>
              <w:right w:val="single" w:sz="4" w:space="0" w:color="auto"/>
            </w:tcBorders>
            <w:shd w:val="clear" w:color="000000" w:fill="FFFFFF"/>
            <w:noWrap/>
            <w:vAlign w:val="center"/>
            <w:hideMark/>
          </w:tcPr>
          <w:p w14:paraId="552E3C5A"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hAnsi="Calibri" w:cs="Calibri"/>
                <w:color w:val="000000"/>
              </w:rPr>
              <w:t>74</w:t>
            </w:r>
          </w:p>
        </w:tc>
        <w:tc>
          <w:tcPr>
            <w:tcW w:w="399" w:type="pct"/>
            <w:tcBorders>
              <w:top w:val="nil"/>
              <w:left w:val="nil"/>
              <w:bottom w:val="single" w:sz="4" w:space="0" w:color="auto"/>
              <w:right w:val="single" w:sz="4" w:space="0" w:color="auto"/>
            </w:tcBorders>
            <w:shd w:val="clear" w:color="000000" w:fill="FFFFFF"/>
            <w:noWrap/>
            <w:vAlign w:val="center"/>
            <w:hideMark/>
          </w:tcPr>
          <w:p w14:paraId="69CE3A0F"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hAnsi="Calibri" w:cs="Calibri"/>
                <w:color w:val="000000"/>
              </w:rPr>
              <w:t>44</w:t>
            </w:r>
          </w:p>
        </w:tc>
        <w:tc>
          <w:tcPr>
            <w:tcW w:w="399" w:type="pct"/>
            <w:tcBorders>
              <w:top w:val="nil"/>
              <w:left w:val="nil"/>
              <w:bottom w:val="single" w:sz="4" w:space="0" w:color="auto"/>
              <w:right w:val="single" w:sz="4" w:space="0" w:color="auto"/>
            </w:tcBorders>
            <w:shd w:val="clear" w:color="000000" w:fill="FFFFFF"/>
            <w:noWrap/>
            <w:vAlign w:val="center"/>
            <w:hideMark/>
          </w:tcPr>
          <w:p w14:paraId="27964AD6"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hAnsi="Calibri" w:cs="Calibri"/>
                <w:color w:val="000000"/>
              </w:rPr>
              <w:t>59%</w:t>
            </w:r>
          </w:p>
        </w:tc>
        <w:tc>
          <w:tcPr>
            <w:tcW w:w="471" w:type="pct"/>
            <w:tcBorders>
              <w:top w:val="nil"/>
              <w:left w:val="nil"/>
              <w:bottom w:val="single" w:sz="4" w:space="0" w:color="auto"/>
              <w:right w:val="single" w:sz="4" w:space="0" w:color="auto"/>
            </w:tcBorders>
            <w:shd w:val="clear" w:color="000000" w:fill="FFFFFF"/>
            <w:noWrap/>
            <w:vAlign w:val="center"/>
            <w:hideMark/>
          </w:tcPr>
          <w:p w14:paraId="4BC1B11C"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hAnsi="Calibri" w:cs="Calibri"/>
                <w:color w:val="000000"/>
              </w:rPr>
              <w:t>54</w:t>
            </w:r>
          </w:p>
        </w:tc>
        <w:tc>
          <w:tcPr>
            <w:tcW w:w="471" w:type="pct"/>
            <w:tcBorders>
              <w:top w:val="nil"/>
              <w:left w:val="nil"/>
              <w:bottom w:val="single" w:sz="4" w:space="0" w:color="auto"/>
              <w:right w:val="single" w:sz="4" w:space="0" w:color="auto"/>
            </w:tcBorders>
            <w:shd w:val="clear" w:color="000000" w:fill="FFFFFF"/>
            <w:noWrap/>
            <w:vAlign w:val="center"/>
            <w:hideMark/>
          </w:tcPr>
          <w:p w14:paraId="60B44FF1"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hAnsi="Calibri" w:cs="Calibri"/>
                <w:color w:val="000000"/>
              </w:rPr>
              <w:t>15</w:t>
            </w:r>
          </w:p>
        </w:tc>
        <w:tc>
          <w:tcPr>
            <w:tcW w:w="471" w:type="pct"/>
            <w:tcBorders>
              <w:top w:val="nil"/>
              <w:left w:val="nil"/>
              <w:bottom w:val="single" w:sz="4" w:space="0" w:color="auto"/>
              <w:right w:val="single" w:sz="4" w:space="0" w:color="auto"/>
            </w:tcBorders>
            <w:shd w:val="clear" w:color="000000" w:fill="FFFFFF"/>
            <w:noWrap/>
            <w:vAlign w:val="center"/>
            <w:hideMark/>
          </w:tcPr>
          <w:p w14:paraId="006BC96A"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hAnsi="Calibri" w:cs="Calibri"/>
                <w:color w:val="000000"/>
              </w:rPr>
              <w:t>28%</w:t>
            </w:r>
          </w:p>
        </w:tc>
      </w:tr>
      <w:tr w:rsidR="00AD27AF" w:rsidRPr="00216251" w14:paraId="5ADDC8BB"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11A4682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Supported Employment</w:t>
            </w:r>
          </w:p>
        </w:tc>
        <w:tc>
          <w:tcPr>
            <w:tcW w:w="437" w:type="pct"/>
            <w:tcBorders>
              <w:top w:val="nil"/>
              <w:left w:val="nil"/>
              <w:bottom w:val="single" w:sz="4" w:space="0" w:color="auto"/>
              <w:right w:val="single" w:sz="4" w:space="0" w:color="auto"/>
            </w:tcBorders>
            <w:shd w:val="clear" w:color="000000" w:fill="D9E1F2"/>
            <w:noWrap/>
            <w:vAlign w:val="center"/>
            <w:hideMark/>
          </w:tcPr>
          <w:p w14:paraId="6B3B6EF6"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hAnsi="Calibri" w:cs="Calibri"/>
                <w:color w:val="000000"/>
              </w:rPr>
              <w:t>2</w:t>
            </w:r>
          </w:p>
        </w:tc>
        <w:tc>
          <w:tcPr>
            <w:tcW w:w="437" w:type="pct"/>
            <w:tcBorders>
              <w:top w:val="nil"/>
              <w:left w:val="nil"/>
              <w:bottom w:val="single" w:sz="4" w:space="0" w:color="auto"/>
              <w:right w:val="single" w:sz="4" w:space="0" w:color="auto"/>
            </w:tcBorders>
            <w:shd w:val="clear" w:color="000000" w:fill="D9E1F2"/>
            <w:noWrap/>
            <w:vAlign w:val="center"/>
            <w:hideMark/>
          </w:tcPr>
          <w:p w14:paraId="621CBD50"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hAnsi="Calibri" w:cs="Calibri"/>
                <w:color w:val="000000"/>
              </w:rPr>
              <w:t>95%</w:t>
            </w:r>
          </w:p>
        </w:tc>
        <w:tc>
          <w:tcPr>
            <w:tcW w:w="399" w:type="pct"/>
            <w:tcBorders>
              <w:top w:val="nil"/>
              <w:left w:val="nil"/>
              <w:bottom w:val="single" w:sz="4" w:space="0" w:color="auto"/>
              <w:right w:val="single" w:sz="4" w:space="0" w:color="auto"/>
            </w:tcBorders>
            <w:shd w:val="clear" w:color="000000" w:fill="D9E1F2"/>
            <w:noWrap/>
            <w:vAlign w:val="center"/>
            <w:hideMark/>
          </w:tcPr>
          <w:p w14:paraId="0397A046"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6AEC5AB8"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hAnsi="Calibri" w:cs="Calibri"/>
                <w:color w:val="000000"/>
              </w:rPr>
              <w:t>1</w:t>
            </w:r>
          </w:p>
        </w:tc>
        <w:tc>
          <w:tcPr>
            <w:tcW w:w="399" w:type="pct"/>
            <w:tcBorders>
              <w:top w:val="nil"/>
              <w:left w:val="nil"/>
              <w:bottom w:val="single" w:sz="4" w:space="0" w:color="auto"/>
              <w:right w:val="single" w:sz="4" w:space="0" w:color="auto"/>
            </w:tcBorders>
            <w:shd w:val="clear" w:color="000000" w:fill="D9E1F2"/>
            <w:noWrap/>
            <w:vAlign w:val="center"/>
            <w:hideMark/>
          </w:tcPr>
          <w:p w14:paraId="08613504"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hAnsi="Calibri" w:cs="Calibri"/>
                <w:color w:val="000000"/>
              </w:rPr>
              <w:t>50%</w:t>
            </w:r>
          </w:p>
        </w:tc>
        <w:tc>
          <w:tcPr>
            <w:tcW w:w="471" w:type="pct"/>
            <w:tcBorders>
              <w:top w:val="nil"/>
              <w:left w:val="nil"/>
              <w:bottom w:val="single" w:sz="4" w:space="0" w:color="auto"/>
              <w:right w:val="single" w:sz="4" w:space="0" w:color="auto"/>
            </w:tcBorders>
            <w:shd w:val="clear" w:color="000000" w:fill="D9E1F2"/>
            <w:noWrap/>
            <w:vAlign w:val="center"/>
            <w:hideMark/>
          </w:tcPr>
          <w:p w14:paraId="143B8AC9"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4B47FA90"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23645356"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hAnsi="Calibri" w:cs="Calibri"/>
                <w:color w:val="000000"/>
              </w:rPr>
              <w:t>50%</w:t>
            </w:r>
          </w:p>
        </w:tc>
      </w:tr>
      <w:tr w:rsidR="00AD27AF" w:rsidRPr="00216251" w14:paraId="59B62845"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96A9A82"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Alaska Combined</w:t>
            </w:r>
          </w:p>
        </w:tc>
      </w:tr>
      <w:tr w:rsidR="00AD27AF" w:rsidRPr="00216251" w14:paraId="1783AE4A"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3C33BE00"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280CE52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11C0239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132265E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29ACD13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65E2496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3527A16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4C67DF3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47EAD89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14C400B5"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1C1FE69"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7A49DE7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37" w:type="pct"/>
            <w:tcBorders>
              <w:top w:val="nil"/>
              <w:left w:val="nil"/>
              <w:bottom w:val="single" w:sz="4" w:space="0" w:color="auto"/>
              <w:right w:val="single" w:sz="4" w:space="0" w:color="auto"/>
            </w:tcBorders>
            <w:shd w:val="clear" w:color="000000" w:fill="FFFFFF"/>
            <w:noWrap/>
            <w:vAlign w:val="center"/>
            <w:hideMark/>
          </w:tcPr>
          <w:p w14:paraId="7EE7FFF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2552F83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FFFFFF"/>
            <w:noWrap/>
            <w:vAlign w:val="center"/>
            <w:hideMark/>
          </w:tcPr>
          <w:p w14:paraId="7B089E2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14A8586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83%</w:t>
            </w:r>
          </w:p>
        </w:tc>
        <w:tc>
          <w:tcPr>
            <w:tcW w:w="471" w:type="pct"/>
            <w:tcBorders>
              <w:top w:val="nil"/>
              <w:left w:val="nil"/>
              <w:bottom w:val="single" w:sz="4" w:space="0" w:color="auto"/>
              <w:right w:val="single" w:sz="4" w:space="0" w:color="auto"/>
            </w:tcBorders>
            <w:shd w:val="clear" w:color="000000" w:fill="FFFFFF"/>
            <w:noWrap/>
            <w:vAlign w:val="center"/>
            <w:hideMark/>
          </w:tcPr>
          <w:p w14:paraId="1953077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2151F04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5F7B359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63807380"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E5BD63A"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Section 511</w:t>
            </w:r>
          </w:p>
        </w:tc>
        <w:tc>
          <w:tcPr>
            <w:tcW w:w="437" w:type="pct"/>
            <w:tcBorders>
              <w:top w:val="nil"/>
              <w:left w:val="nil"/>
              <w:bottom w:val="single" w:sz="4" w:space="0" w:color="auto"/>
              <w:right w:val="single" w:sz="4" w:space="0" w:color="auto"/>
            </w:tcBorders>
            <w:shd w:val="clear" w:color="000000" w:fill="D9E2F3"/>
            <w:noWrap/>
            <w:vAlign w:val="center"/>
            <w:hideMark/>
          </w:tcPr>
          <w:p w14:paraId="64364AE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D9E2F3"/>
            <w:noWrap/>
            <w:vAlign w:val="center"/>
            <w:hideMark/>
          </w:tcPr>
          <w:p w14:paraId="11E580D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2F3"/>
            <w:noWrap/>
            <w:vAlign w:val="center"/>
            <w:hideMark/>
          </w:tcPr>
          <w:p w14:paraId="2C8BFBD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2F3"/>
            <w:noWrap/>
            <w:vAlign w:val="center"/>
            <w:hideMark/>
          </w:tcPr>
          <w:p w14:paraId="114A25A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2F3"/>
            <w:noWrap/>
            <w:vAlign w:val="center"/>
            <w:hideMark/>
          </w:tcPr>
          <w:p w14:paraId="64924AE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2F3"/>
            <w:noWrap/>
            <w:vAlign w:val="center"/>
            <w:hideMark/>
          </w:tcPr>
          <w:p w14:paraId="5B4F9F2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2F3"/>
            <w:noWrap/>
            <w:vAlign w:val="center"/>
            <w:hideMark/>
          </w:tcPr>
          <w:p w14:paraId="189ABB2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2F3"/>
            <w:noWrap/>
            <w:vAlign w:val="center"/>
            <w:hideMark/>
          </w:tcPr>
          <w:p w14:paraId="030B4C7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41853BB3"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1DBD748"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FFFFFF"/>
            <w:noWrap/>
            <w:vAlign w:val="center"/>
            <w:hideMark/>
          </w:tcPr>
          <w:p w14:paraId="79DED79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FFFFFF"/>
            <w:noWrap/>
            <w:vAlign w:val="center"/>
            <w:hideMark/>
          </w:tcPr>
          <w:p w14:paraId="7500E3E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3E33726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56B7B0E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600A7A9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c>
          <w:tcPr>
            <w:tcW w:w="471" w:type="pct"/>
            <w:tcBorders>
              <w:top w:val="nil"/>
              <w:left w:val="nil"/>
              <w:bottom w:val="single" w:sz="4" w:space="0" w:color="auto"/>
              <w:right w:val="single" w:sz="4" w:space="0" w:color="auto"/>
            </w:tcBorders>
            <w:shd w:val="clear" w:color="000000" w:fill="FFFFFF"/>
            <w:noWrap/>
            <w:vAlign w:val="center"/>
            <w:hideMark/>
          </w:tcPr>
          <w:p w14:paraId="0D0CCEB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3F6210C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3029754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55586319"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F501520"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D9E2F3"/>
            <w:noWrap/>
            <w:vAlign w:val="center"/>
            <w:hideMark/>
          </w:tcPr>
          <w:p w14:paraId="2E4730F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D9E2F3"/>
            <w:noWrap/>
            <w:vAlign w:val="center"/>
            <w:hideMark/>
          </w:tcPr>
          <w:p w14:paraId="7C2E1A0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c>
          <w:tcPr>
            <w:tcW w:w="399" w:type="pct"/>
            <w:tcBorders>
              <w:top w:val="nil"/>
              <w:left w:val="nil"/>
              <w:bottom w:val="single" w:sz="4" w:space="0" w:color="auto"/>
              <w:right w:val="single" w:sz="4" w:space="0" w:color="auto"/>
            </w:tcBorders>
            <w:shd w:val="clear" w:color="000000" w:fill="D9E2F3"/>
            <w:noWrap/>
            <w:vAlign w:val="center"/>
            <w:hideMark/>
          </w:tcPr>
          <w:p w14:paraId="0FA904B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D9E2F3"/>
            <w:noWrap/>
            <w:vAlign w:val="center"/>
            <w:hideMark/>
          </w:tcPr>
          <w:p w14:paraId="6225A9E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D9E2F3"/>
            <w:noWrap/>
            <w:vAlign w:val="center"/>
            <w:hideMark/>
          </w:tcPr>
          <w:p w14:paraId="59F303B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60%</w:t>
            </w:r>
          </w:p>
        </w:tc>
        <w:tc>
          <w:tcPr>
            <w:tcW w:w="471" w:type="pct"/>
            <w:tcBorders>
              <w:top w:val="nil"/>
              <w:left w:val="nil"/>
              <w:bottom w:val="single" w:sz="4" w:space="0" w:color="auto"/>
              <w:right w:val="single" w:sz="4" w:space="0" w:color="auto"/>
            </w:tcBorders>
            <w:shd w:val="clear" w:color="000000" w:fill="D9E2F3"/>
            <w:noWrap/>
            <w:vAlign w:val="center"/>
            <w:hideMark/>
          </w:tcPr>
          <w:p w14:paraId="5AE166C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2F3"/>
            <w:noWrap/>
            <w:vAlign w:val="center"/>
            <w:hideMark/>
          </w:tcPr>
          <w:p w14:paraId="1431CDF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2F3"/>
            <w:noWrap/>
            <w:vAlign w:val="center"/>
            <w:hideMark/>
          </w:tcPr>
          <w:p w14:paraId="55B67FF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6A9A9613"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ADEA8A6"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Peer Mentoring</w:t>
            </w:r>
          </w:p>
        </w:tc>
        <w:tc>
          <w:tcPr>
            <w:tcW w:w="437" w:type="pct"/>
            <w:tcBorders>
              <w:top w:val="nil"/>
              <w:left w:val="nil"/>
              <w:bottom w:val="single" w:sz="4" w:space="0" w:color="auto"/>
              <w:right w:val="single" w:sz="4" w:space="0" w:color="auto"/>
            </w:tcBorders>
            <w:shd w:val="clear" w:color="000000" w:fill="FFFFFF"/>
            <w:noWrap/>
            <w:vAlign w:val="center"/>
            <w:hideMark/>
          </w:tcPr>
          <w:p w14:paraId="0AF8B7B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37" w:type="pct"/>
            <w:tcBorders>
              <w:top w:val="nil"/>
              <w:left w:val="nil"/>
              <w:bottom w:val="single" w:sz="4" w:space="0" w:color="auto"/>
              <w:right w:val="single" w:sz="4" w:space="0" w:color="auto"/>
            </w:tcBorders>
            <w:shd w:val="clear" w:color="000000" w:fill="FFFFFF"/>
            <w:noWrap/>
            <w:vAlign w:val="center"/>
            <w:hideMark/>
          </w:tcPr>
          <w:p w14:paraId="02AD491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4CD9CE1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5AC5622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6152D89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424D018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1F41B4D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36C2CF6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3A5FD50B"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77C4EF0"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Business Engagement</w:t>
            </w:r>
          </w:p>
        </w:tc>
        <w:tc>
          <w:tcPr>
            <w:tcW w:w="437" w:type="pct"/>
            <w:tcBorders>
              <w:top w:val="nil"/>
              <w:left w:val="nil"/>
              <w:bottom w:val="single" w:sz="4" w:space="0" w:color="auto"/>
              <w:right w:val="single" w:sz="4" w:space="0" w:color="auto"/>
            </w:tcBorders>
            <w:shd w:val="clear" w:color="000000" w:fill="D9E2F3"/>
            <w:noWrap/>
            <w:vAlign w:val="center"/>
            <w:hideMark/>
          </w:tcPr>
          <w:p w14:paraId="06ED269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37" w:type="pct"/>
            <w:tcBorders>
              <w:top w:val="nil"/>
              <w:left w:val="nil"/>
              <w:bottom w:val="single" w:sz="4" w:space="0" w:color="auto"/>
              <w:right w:val="single" w:sz="4" w:space="0" w:color="auto"/>
            </w:tcBorders>
            <w:shd w:val="clear" w:color="000000" w:fill="D9E2F3"/>
            <w:noWrap/>
            <w:vAlign w:val="center"/>
            <w:hideMark/>
          </w:tcPr>
          <w:p w14:paraId="52EDC9F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13%</w:t>
            </w:r>
          </w:p>
        </w:tc>
        <w:tc>
          <w:tcPr>
            <w:tcW w:w="399" w:type="pct"/>
            <w:tcBorders>
              <w:top w:val="nil"/>
              <w:left w:val="nil"/>
              <w:bottom w:val="single" w:sz="4" w:space="0" w:color="auto"/>
              <w:right w:val="single" w:sz="4" w:space="0" w:color="auto"/>
            </w:tcBorders>
            <w:shd w:val="clear" w:color="000000" w:fill="D9E2F3"/>
            <w:noWrap/>
            <w:vAlign w:val="center"/>
            <w:hideMark/>
          </w:tcPr>
          <w:p w14:paraId="076AE10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2F3"/>
            <w:noWrap/>
            <w:vAlign w:val="center"/>
            <w:hideMark/>
          </w:tcPr>
          <w:p w14:paraId="2A47958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D9E2F3"/>
            <w:noWrap/>
            <w:vAlign w:val="center"/>
            <w:hideMark/>
          </w:tcPr>
          <w:p w14:paraId="173FF03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2F3"/>
            <w:noWrap/>
            <w:vAlign w:val="center"/>
            <w:hideMark/>
          </w:tcPr>
          <w:p w14:paraId="0AEEA90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2F3"/>
            <w:noWrap/>
            <w:vAlign w:val="center"/>
            <w:hideMark/>
          </w:tcPr>
          <w:p w14:paraId="00D8070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2F3"/>
            <w:noWrap/>
            <w:vAlign w:val="center"/>
            <w:hideMark/>
          </w:tcPr>
          <w:p w14:paraId="7A917C7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337A2876"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97CCBDC"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SARA*</w:t>
            </w:r>
          </w:p>
        </w:tc>
        <w:tc>
          <w:tcPr>
            <w:tcW w:w="437" w:type="pct"/>
            <w:tcBorders>
              <w:top w:val="nil"/>
              <w:left w:val="nil"/>
              <w:bottom w:val="single" w:sz="4" w:space="0" w:color="auto"/>
              <w:right w:val="single" w:sz="4" w:space="0" w:color="auto"/>
            </w:tcBorders>
            <w:shd w:val="clear" w:color="000000" w:fill="FFFFFF"/>
            <w:noWrap/>
            <w:vAlign w:val="center"/>
            <w:hideMark/>
          </w:tcPr>
          <w:p w14:paraId="13A567A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37" w:type="pct"/>
            <w:tcBorders>
              <w:top w:val="nil"/>
              <w:left w:val="nil"/>
              <w:bottom w:val="single" w:sz="4" w:space="0" w:color="auto"/>
              <w:right w:val="single" w:sz="4" w:space="0" w:color="auto"/>
            </w:tcBorders>
            <w:shd w:val="clear" w:color="000000" w:fill="FFFFFF"/>
            <w:noWrap/>
            <w:vAlign w:val="center"/>
            <w:hideMark/>
          </w:tcPr>
          <w:p w14:paraId="4B85418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522F170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7392681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52B0155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482EB20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71" w:type="pct"/>
            <w:tcBorders>
              <w:top w:val="nil"/>
              <w:left w:val="nil"/>
              <w:bottom w:val="single" w:sz="4" w:space="0" w:color="auto"/>
              <w:right w:val="single" w:sz="4" w:space="0" w:color="auto"/>
            </w:tcBorders>
            <w:shd w:val="clear" w:color="000000" w:fill="FFFFFF"/>
            <w:noWrap/>
            <w:vAlign w:val="center"/>
            <w:hideMark/>
          </w:tcPr>
          <w:p w14:paraId="4271463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71" w:type="pct"/>
            <w:tcBorders>
              <w:top w:val="nil"/>
              <w:left w:val="nil"/>
              <w:bottom w:val="single" w:sz="4" w:space="0" w:color="auto"/>
              <w:right w:val="single" w:sz="4" w:space="0" w:color="auto"/>
            </w:tcBorders>
            <w:shd w:val="clear" w:color="000000" w:fill="FFFFFF"/>
            <w:noWrap/>
            <w:vAlign w:val="center"/>
            <w:hideMark/>
          </w:tcPr>
          <w:p w14:paraId="0EA0376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47F44F9C"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706EF9A0"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Apprenticeships</w:t>
            </w:r>
          </w:p>
        </w:tc>
        <w:tc>
          <w:tcPr>
            <w:tcW w:w="437" w:type="pct"/>
            <w:tcBorders>
              <w:top w:val="nil"/>
              <w:left w:val="nil"/>
              <w:bottom w:val="single" w:sz="4" w:space="0" w:color="auto"/>
              <w:right w:val="single" w:sz="4" w:space="0" w:color="auto"/>
            </w:tcBorders>
            <w:shd w:val="clear" w:color="000000" w:fill="D9E2F3"/>
            <w:noWrap/>
            <w:vAlign w:val="center"/>
            <w:hideMark/>
          </w:tcPr>
          <w:p w14:paraId="6C6B694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D9E2F3"/>
            <w:noWrap/>
            <w:vAlign w:val="center"/>
            <w:hideMark/>
          </w:tcPr>
          <w:p w14:paraId="6FB1E5C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2F3"/>
            <w:noWrap/>
            <w:vAlign w:val="center"/>
            <w:hideMark/>
          </w:tcPr>
          <w:p w14:paraId="16CA388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2F3"/>
            <w:noWrap/>
            <w:vAlign w:val="center"/>
            <w:hideMark/>
          </w:tcPr>
          <w:p w14:paraId="66E65B8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2F3"/>
            <w:noWrap/>
            <w:vAlign w:val="center"/>
            <w:hideMark/>
          </w:tcPr>
          <w:p w14:paraId="2E52C38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2F3"/>
            <w:noWrap/>
            <w:vAlign w:val="center"/>
            <w:hideMark/>
          </w:tcPr>
          <w:p w14:paraId="3824F32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2F3"/>
            <w:noWrap/>
            <w:vAlign w:val="center"/>
            <w:hideMark/>
          </w:tcPr>
          <w:p w14:paraId="7C92085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2F3"/>
            <w:noWrap/>
            <w:vAlign w:val="center"/>
            <w:hideMark/>
          </w:tcPr>
          <w:p w14:paraId="09561F1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39E94959" w14:textId="77777777" w:rsidTr="00C97C03">
        <w:trPr>
          <w:trHeight w:val="300"/>
        </w:trPr>
        <w:tc>
          <w:tcPr>
            <w:tcW w:w="1517" w:type="pct"/>
            <w:tcBorders>
              <w:top w:val="nil"/>
              <w:left w:val="nil"/>
              <w:bottom w:val="nil"/>
              <w:right w:val="nil"/>
            </w:tcBorders>
            <w:shd w:val="clear" w:color="auto" w:fill="auto"/>
            <w:noWrap/>
            <w:vAlign w:val="bottom"/>
            <w:hideMark/>
          </w:tcPr>
          <w:p w14:paraId="029EF6BB"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276C1C5B"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7988A04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0979D71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23DDE7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3A8CECF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B6AFF11"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62C81261"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3075FFF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bl>
    <w:p w14:paraId="37E64F6E" w14:textId="77777777" w:rsidR="00AD27AF" w:rsidRDefault="00AD27AF">
      <w:r>
        <w:br w:type="page"/>
      </w:r>
    </w:p>
    <w:tbl>
      <w:tblPr>
        <w:tblW w:w="5000" w:type="pct"/>
        <w:tblLook w:val="04A0" w:firstRow="1" w:lastRow="0" w:firstColumn="1" w:lastColumn="0" w:noHBand="0" w:noVBand="1"/>
      </w:tblPr>
      <w:tblGrid>
        <w:gridCol w:w="2662"/>
        <w:gridCol w:w="841"/>
        <w:gridCol w:w="841"/>
        <w:gridCol w:w="766"/>
        <w:gridCol w:w="766"/>
        <w:gridCol w:w="766"/>
        <w:gridCol w:w="906"/>
        <w:gridCol w:w="906"/>
        <w:gridCol w:w="906"/>
      </w:tblGrid>
      <w:tr w:rsidR="00AD27AF" w:rsidRPr="00216251" w14:paraId="004D7018"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45AFB206" w14:textId="15FA2190"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lastRenderedPageBreak/>
              <w:t>American Samoa Combined</w:t>
            </w:r>
          </w:p>
        </w:tc>
      </w:tr>
      <w:tr w:rsidR="00AD27AF" w:rsidRPr="00216251" w14:paraId="37980107"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35D1E904"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50E4FCF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7BC8A48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5B5BEBD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70735E0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14EC662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4C18A89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69084CF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7E7DB50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69093B40"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D6C37B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1BA16C7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FFFFFF"/>
            <w:noWrap/>
            <w:vAlign w:val="center"/>
            <w:hideMark/>
          </w:tcPr>
          <w:p w14:paraId="1ACA47E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19%</w:t>
            </w:r>
          </w:p>
        </w:tc>
        <w:tc>
          <w:tcPr>
            <w:tcW w:w="399" w:type="pct"/>
            <w:tcBorders>
              <w:top w:val="nil"/>
              <w:left w:val="nil"/>
              <w:bottom w:val="single" w:sz="4" w:space="0" w:color="auto"/>
              <w:right w:val="single" w:sz="4" w:space="0" w:color="auto"/>
            </w:tcBorders>
            <w:shd w:val="clear" w:color="000000" w:fill="FFFFFF"/>
            <w:noWrap/>
            <w:vAlign w:val="center"/>
            <w:hideMark/>
          </w:tcPr>
          <w:p w14:paraId="5D343CE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3810822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FFFFFF"/>
            <w:noWrap/>
            <w:vAlign w:val="center"/>
            <w:hideMark/>
          </w:tcPr>
          <w:p w14:paraId="6C5D895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5B6A24B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120F928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7A74AC7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4D26F105"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233075B"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D9E1F2"/>
            <w:noWrap/>
            <w:vAlign w:val="center"/>
            <w:hideMark/>
          </w:tcPr>
          <w:p w14:paraId="1AADE04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D9E1F2"/>
            <w:noWrap/>
            <w:vAlign w:val="center"/>
            <w:hideMark/>
          </w:tcPr>
          <w:p w14:paraId="1B8138A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1F2"/>
            <w:noWrap/>
            <w:vAlign w:val="center"/>
            <w:hideMark/>
          </w:tcPr>
          <w:p w14:paraId="4766BE4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1F2"/>
            <w:noWrap/>
            <w:vAlign w:val="center"/>
            <w:hideMark/>
          </w:tcPr>
          <w:p w14:paraId="4B9F57D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D9E1F2"/>
            <w:noWrap/>
            <w:vAlign w:val="center"/>
            <w:hideMark/>
          </w:tcPr>
          <w:p w14:paraId="3AF9414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0749EB6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39D99C0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6C4278F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4772A33D" w14:textId="77777777" w:rsidTr="00C97C03">
        <w:trPr>
          <w:trHeight w:val="300"/>
        </w:trPr>
        <w:tc>
          <w:tcPr>
            <w:tcW w:w="1517" w:type="pct"/>
            <w:tcBorders>
              <w:top w:val="nil"/>
              <w:left w:val="nil"/>
              <w:bottom w:val="nil"/>
              <w:right w:val="nil"/>
            </w:tcBorders>
            <w:shd w:val="clear" w:color="auto" w:fill="auto"/>
            <w:noWrap/>
            <w:vAlign w:val="bottom"/>
            <w:hideMark/>
          </w:tcPr>
          <w:p w14:paraId="69F938A3"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18FEADAB"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7D59348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62416D8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03145E6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3F76D81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D4C73B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090065B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6F4BBBD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0F5EC3EF"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13ED3D8B"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Arizona Combined</w:t>
            </w:r>
          </w:p>
        </w:tc>
      </w:tr>
      <w:tr w:rsidR="00AD27AF" w:rsidRPr="00216251" w14:paraId="5D0D3285"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418F5169"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3232FBB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68EF7BC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466BD15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314AC6DB"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1CBB87A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614F6E6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3F4A43D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1F1AAA8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1C72EA33"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E57EF9B"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6E8FFE9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37" w:type="pct"/>
            <w:tcBorders>
              <w:top w:val="nil"/>
              <w:left w:val="nil"/>
              <w:bottom w:val="single" w:sz="4" w:space="0" w:color="auto"/>
              <w:right w:val="single" w:sz="4" w:space="0" w:color="auto"/>
            </w:tcBorders>
            <w:shd w:val="clear" w:color="000000" w:fill="FFFFFF"/>
            <w:noWrap/>
            <w:vAlign w:val="center"/>
            <w:hideMark/>
          </w:tcPr>
          <w:p w14:paraId="2527260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96%</w:t>
            </w:r>
          </w:p>
        </w:tc>
        <w:tc>
          <w:tcPr>
            <w:tcW w:w="399" w:type="pct"/>
            <w:tcBorders>
              <w:top w:val="nil"/>
              <w:left w:val="nil"/>
              <w:bottom w:val="single" w:sz="4" w:space="0" w:color="auto"/>
              <w:right w:val="single" w:sz="4" w:space="0" w:color="auto"/>
            </w:tcBorders>
            <w:shd w:val="clear" w:color="000000" w:fill="FFFFFF"/>
            <w:noWrap/>
            <w:vAlign w:val="center"/>
            <w:hideMark/>
          </w:tcPr>
          <w:p w14:paraId="69E98F8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FFFFFF"/>
            <w:noWrap/>
            <w:vAlign w:val="center"/>
            <w:hideMark/>
          </w:tcPr>
          <w:p w14:paraId="40355EA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5A7E0B1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83%</w:t>
            </w:r>
          </w:p>
        </w:tc>
        <w:tc>
          <w:tcPr>
            <w:tcW w:w="471" w:type="pct"/>
            <w:tcBorders>
              <w:top w:val="nil"/>
              <w:left w:val="nil"/>
              <w:bottom w:val="single" w:sz="4" w:space="0" w:color="auto"/>
              <w:right w:val="single" w:sz="4" w:space="0" w:color="auto"/>
            </w:tcBorders>
            <w:shd w:val="clear" w:color="000000" w:fill="FFFFFF"/>
            <w:noWrap/>
            <w:vAlign w:val="center"/>
            <w:hideMark/>
          </w:tcPr>
          <w:p w14:paraId="307CF91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456D42A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0BA38D5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01F99363"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7F8F6FF4"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Section 511</w:t>
            </w:r>
          </w:p>
        </w:tc>
        <w:tc>
          <w:tcPr>
            <w:tcW w:w="437" w:type="pct"/>
            <w:tcBorders>
              <w:top w:val="nil"/>
              <w:left w:val="nil"/>
              <w:bottom w:val="single" w:sz="4" w:space="0" w:color="auto"/>
              <w:right w:val="single" w:sz="4" w:space="0" w:color="auto"/>
            </w:tcBorders>
            <w:shd w:val="clear" w:color="000000" w:fill="D9E2F3"/>
            <w:noWrap/>
            <w:vAlign w:val="center"/>
            <w:hideMark/>
          </w:tcPr>
          <w:p w14:paraId="3CC6E42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D9E2F3"/>
            <w:noWrap/>
            <w:vAlign w:val="center"/>
            <w:hideMark/>
          </w:tcPr>
          <w:p w14:paraId="352B26B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2F3"/>
            <w:noWrap/>
            <w:vAlign w:val="center"/>
            <w:hideMark/>
          </w:tcPr>
          <w:p w14:paraId="537870E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2F3"/>
            <w:noWrap/>
            <w:vAlign w:val="center"/>
            <w:hideMark/>
          </w:tcPr>
          <w:p w14:paraId="4E90198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2F3"/>
            <w:noWrap/>
            <w:vAlign w:val="center"/>
            <w:hideMark/>
          </w:tcPr>
          <w:p w14:paraId="092FE7B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2F3"/>
            <w:noWrap/>
            <w:vAlign w:val="center"/>
            <w:hideMark/>
          </w:tcPr>
          <w:p w14:paraId="0DD966F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2F3"/>
            <w:noWrap/>
            <w:vAlign w:val="center"/>
            <w:hideMark/>
          </w:tcPr>
          <w:p w14:paraId="68500BD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2F3"/>
            <w:noWrap/>
            <w:vAlign w:val="center"/>
            <w:hideMark/>
          </w:tcPr>
          <w:p w14:paraId="61E3F9F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r>
      <w:tr w:rsidR="00AD27AF" w:rsidRPr="00216251" w14:paraId="3242DC6D"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E97ECD8"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FFFFFF"/>
            <w:noWrap/>
            <w:vAlign w:val="center"/>
            <w:hideMark/>
          </w:tcPr>
          <w:p w14:paraId="0565F6F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FFFFFF"/>
            <w:noWrap/>
            <w:vAlign w:val="center"/>
            <w:hideMark/>
          </w:tcPr>
          <w:p w14:paraId="33BEFED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83%</w:t>
            </w:r>
          </w:p>
        </w:tc>
        <w:tc>
          <w:tcPr>
            <w:tcW w:w="399" w:type="pct"/>
            <w:tcBorders>
              <w:top w:val="nil"/>
              <w:left w:val="nil"/>
              <w:bottom w:val="single" w:sz="4" w:space="0" w:color="auto"/>
              <w:right w:val="single" w:sz="4" w:space="0" w:color="auto"/>
            </w:tcBorders>
            <w:shd w:val="clear" w:color="000000" w:fill="FFFFFF"/>
            <w:noWrap/>
            <w:vAlign w:val="center"/>
            <w:hideMark/>
          </w:tcPr>
          <w:p w14:paraId="4143A45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5B05ACA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03BE2C5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c>
          <w:tcPr>
            <w:tcW w:w="471" w:type="pct"/>
            <w:tcBorders>
              <w:top w:val="nil"/>
              <w:left w:val="nil"/>
              <w:bottom w:val="single" w:sz="4" w:space="0" w:color="auto"/>
              <w:right w:val="single" w:sz="4" w:space="0" w:color="auto"/>
            </w:tcBorders>
            <w:shd w:val="clear" w:color="000000" w:fill="FFFFFF"/>
            <w:noWrap/>
            <w:vAlign w:val="center"/>
            <w:hideMark/>
          </w:tcPr>
          <w:p w14:paraId="31B8922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10CB95A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6D38AC9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06CDA1D6"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A0F0FE6"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Customized Employment</w:t>
            </w:r>
          </w:p>
        </w:tc>
        <w:tc>
          <w:tcPr>
            <w:tcW w:w="437" w:type="pct"/>
            <w:tcBorders>
              <w:top w:val="nil"/>
              <w:left w:val="nil"/>
              <w:bottom w:val="single" w:sz="4" w:space="0" w:color="auto"/>
              <w:right w:val="single" w:sz="4" w:space="0" w:color="auto"/>
            </w:tcBorders>
            <w:shd w:val="clear" w:color="000000" w:fill="D9E2F3"/>
            <w:noWrap/>
            <w:vAlign w:val="center"/>
            <w:hideMark/>
          </w:tcPr>
          <w:p w14:paraId="3EE1BD4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37" w:type="pct"/>
            <w:tcBorders>
              <w:top w:val="nil"/>
              <w:left w:val="nil"/>
              <w:bottom w:val="single" w:sz="4" w:space="0" w:color="auto"/>
              <w:right w:val="single" w:sz="4" w:space="0" w:color="auto"/>
            </w:tcBorders>
            <w:shd w:val="clear" w:color="000000" w:fill="D9E2F3"/>
            <w:noWrap/>
            <w:vAlign w:val="center"/>
            <w:hideMark/>
          </w:tcPr>
          <w:p w14:paraId="752714A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399" w:type="pct"/>
            <w:tcBorders>
              <w:top w:val="nil"/>
              <w:left w:val="nil"/>
              <w:bottom w:val="single" w:sz="4" w:space="0" w:color="auto"/>
              <w:right w:val="single" w:sz="4" w:space="0" w:color="auto"/>
            </w:tcBorders>
            <w:shd w:val="clear" w:color="000000" w:fill="D9E2F3"/>
            <w:noWrap/>
            <w:vAlign w:val="center"/>
            <w:hideMark/>
          </w:tcPr>
          <w:p w14:paraId="7750058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2F3"/>
            <w:noWrap/>
            <w:vAlign w:val="center"/>
            <w:hideMark/>
          </w:tcPr>
          <w:p w14:paraId="53F2367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D9E2F3"/>
            <w:noWrap/>
            <w:vAlign w:val="center"/>
            <w:hideMark/>
          </w:tcPr>
          <w:p w14:paraId="0E201BE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2F3"/>
            <w:noWrap/>
            <w:vAlign w:val="center"/>
            <w:hideMark/>
          </w:tcPr>
          <w:p w14:paraId="00DBD20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2F3"/>
            <w:noWrap/>
            <w:vAlign w:val="center"/>
            <w:hideMark/>
          </w:tcPr>
          <w:p w14:paraId="0C1601B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2F3"/>
            <w:noWrap/>
            <w:vAlign w:val="center"/>
            <w:hideMark/>
          </w:tcPr>
          <w:p w14:paraId="434D47F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5DE0F3B8"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19C6503B"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Supported Employment</w:t>
            </w:r>
          </w:p>
        </w:tc>
        <w:tc>
          <w:tcPr>
            <w:tcW w:w="437" w:type="pct"/>
            <w:tcBorders>
              <w:top w:val="nil"/>
              <w:left w:val="nil"/>
              <w:bottom w:val="single" w:sz="4" w:space="0" w:color="auto"/>
              <w:right w:val="single" w:sz="4" w:space="0" w:color="auto"/>
            </w:tcBorders>
            <w:shd w:val="clear" w:color="000000" w:fill="FFFFFF"/>
            <w:noWrap/>
            <w:vAlign w:val="center"/>
            <w:hideMark/>
          </w:tcPr>
          <w:p w14:paraId="6800B7D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FFFFFF"/>
            <w:noWrap/>
            <w:vAlign w:val="center"/>
            <w:hideMark/>
          </w:tcPr>
          <w:p w14:paraId="7E993C6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57AEDC9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6A52387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6F4E223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2383C67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116284E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0B913D1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267A7559" w14:textId="77777777" w:rsidTr="00C97C03">
        <w:trPr>
          <w:trHeight w:val="300"/>
        </w:trPr>
        <w:tc>
          <w:tcPr>
            <w:tcW w:w="1517" w:type="pct"/>
            <w:tcBorders>
              <w:top w:val="nil"/>
              <w:left w:val="nil"/>
              <w:bottom w:val="nil"/>
              <w:right w:val="nil"/>
            </w:tcBorders>
            <w:shd w:val="clear" w:color="auto" w:fill="auto"/>
            <w:noWrap/>
            <w:vAlign w:val="bottom"/>
            <w:hideMark/>
          </w:tcPr>
          <w:p w14:paraId="19F2B050"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0E62B812"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7C3C3731"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D1E5CE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00DE8E0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74FBEF1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0010674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056E20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702A6BE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3E7D4AD5"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42F4A57B"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Arkansas Blind</w:t>
            </w:r>
          </w:p>
        </w:tc>
      </w:tr>
      <w:tr w:rsidR="00AD27AF" w:rsidRPr="00216251" w14:paraId="2C7F6538"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67AC9D7A"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642231D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0EDE6A0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0597855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20E2FD7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3F21EA0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131B48A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18BE5D0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5A027CE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3ECD8864"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E5AD602"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6DD0DB3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w:t>
            </w:r>
          </w:p>
        </w:tc>
        <w:tc>
          <w:tcPr>
            <w:tcW w:w="437" w:type="pct"/>
            <w:tcBorders>
              <w:top w:val="nil"/>
              <w:left w:val="nil"/>
              <w:bottom w:val="single" w:sz="4" w:space="0" w:color="auto"/>
              <w:right w:val="single" w:sz="4" w:space="0" w:color="auto"/>
            </w:tcBorders>
            <w:shd w:val="clear" w:color="000000" w:fill="FFFFFF"/>
            <w:noWrap/>
            <w:vAlign w:val="center"/>
            <w:hideMark/>
          </w:tcPr>
          <w:p w14:paraId="0076108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81%</w:t>
            </w:r>
          </w:p>
        </w:tc>
        <w:tc>
          <w:tcPr>
            <w:tcW w:w="399" w:type="pct"/>
            <w:tcBorders>
              <w:top w:val="nil"/>
              <w:left w:val="nil"/>
              <w:bottom w:val="single" w:sz="4" w:space="0" w:color="auto"/>
              <w:right w:val="single" w:sz="4" w:space="0" w:color="auto"/>
            </w:tcBorders>
            <w:shd w:val="clear" w:color="000000" w:fill="FFFFFF"/>
            <w:noWrap/>
            <w:vAlign w:val="center"/>
            <w:hideMark/>
          </w:tcPr>
          <w:p w14:paraId="4C645B7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w:t>
            </w:r>
          </w:p>
        </w:tc>
        <w:tc>
          <w:tcPr>
            <w:tcW w:w="399" w:type="pct"/>
            <w:tcBorders>
              <w:top w:val="nil"/>
              <w:left w:val="nil"/>
              <w:bottom w:val="single" w:sz="4" w:space="0" w:color="auto"/>
              <w:right w:val="single" w:sz="4" w:space="0" w:color="auto"/>
            </w:tcBorders>
            <w:shd w:val="clear" w:color="000000" w:fill="FFFFFF"/>
            <w:noWrap/>
            <w:vAlign w:val="center"/>
            <w:hideMark/>
          </w:tcPr>
          <w:p w14:paraId="4115B0F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78328C4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56%</w:t>
            </w:r>
          </w:p>
        </w:tc>
        <w:tc>
          <w:tcPr>
            <w:tcW w:w="471" w:type="pct"/>
            <w:tcBorders>
              <w:top w:val="nil"/>
              <w:left w:val="nil"/>
              <w:bottom w:val="single" w:sz="4" w:space="0" w:color="auto"/>
              <w:right w:val="single" w:sz="4" w:space="0" w:color="auto"/>
            </w:tcBorders>
            <w:shd w:val="clear" w:color="000000" w:fill="FFFFFF"/>
            <w:noWrap/>
            <w:vAlign w:val="center"/>
            <w:hideMark/>
          </w:tcPr>
          <w:p w14:paraId="463D7C5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3FD877D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6E794EB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218B8F50"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DF629EF"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D9E2F3"/>
            <w:noWrap/>
            <w:vAlign w:val="center"/>
            <w:hideMark/>
          </w:tcPr>
          <w:p w14:paraId="17B3AC3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D9E2F3"/>
            <w:noWrap/>
            <w:vAlign w:val="center"/>
            <w:hideMark/>
          </w:tcPr>
          <w:p w14:paraId="62E26D2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13%</w:t>
            </w:r>
          </w:p>
        </w:tc>
        <w:tc>
          <w:tcPr>
            <w:tcW w:w="399" w:type="pct"/>
            <w:tcBorders>
              <w:top w:val="nil"/>
              <w:left w:val="nil"/>
              <w:bottom w:val="single" w:sz="4" w:space="0" w:color="auto"/>
              <w:right w:val="single" w:sz="4" w:space="0" w:color="auto"/>
            </w:tcBorders>
            <w:shd w:val="clear" w:color="000000" w:fill="D9E2F3"/>
            <w:noWrap/>
            <w:vAlign w:val="center"/>
            <w:hideMark/>
          </w:tcPr>
          <w:p w14:paraId="238273B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D9E2F3"/>
            <w:noWrap/>
            <w:vAlign w:val="center"/>
            <w:hideMark/>
          </w:tcPr>
          <w:p w14:paraId="5E9D372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D9E2F3"/>
            <w:noWrap/>
            <w:vAlign w:val="center"/>
            <w:hideMark/>
          </w:tcPr>
          <w:p w14:paraId="505A861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2F3"/>
            <w:noWrap/>
            <w:vAlign w:val="center"/>
            <w:hideMark/>
          </w:tcPr>
          <w:p w14:paraId="3BD660B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D9E2F3"/>
            <w:noWrap/>
            <w:vAlign w:val="center"/>
            <w:hideMark/>
          </w:tcPr>
          <w:p w14:paraId="2A4A2AB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2F3"/>
            <w:noWrap/>
            <w:vAlign w:val="center"/>
            <w:hideMark/>
          </w:tcPr>
          <w:p w14:paraId="7A54C80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68785882"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205BBD2"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FFFFFF"/>
            <w:noWrap/>
            <w:vAlign w:val="center"/>
            <w:hideMark/>
          </w:tcPr>
          <w:p w14:paraId="31030CE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37" w:type="pct"/>
            <w:tcBorders>
              <w:top w:val="nil"/>
              <w:left w:val="nil"/>
              <w:bottom w:val="single" w:sz="4" w:space="0" w:color="auto"/>
              <w:right w:val="single" w:sz="4" w:space="0" w:color="auto"/>
            </w:tcBorders>
            <w:shd w:val="clear" w:color="000000" w:fill="FFFFFF"/>
            <w:noWrap/>
            <w:vAlign w:val="center"/>
            <w:hideMark/>
          </w:tcPr>
          <w:p w14:paraId="5D12DAC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71%</w:t>
            </w:r>
          </w:p>
        </w:tc>
        <w:tc>
          <w:tcPr>
            <w:tcW w:w="399" w:type="pct"/>
            <w:tcBorders>
              <w:top w:val="nil"/>
              <w:left w:val="nil"/>
              <w:bottom w:val="single" w:sz="4" w:space="0" w:color="auto"/>
              <w:right w:val="single" w:sz="4" w:space="0" w:color="auto"/>
            </w:tcBorders>
            <w:shd w:val="clear" w:color="000000" w:fill="FFFFFF"/>
            <w:noWrap/>
            <w:vAlign w:val="center"/>
            <w:hideMark/>
          </w:tcPr>
          <w:p w14:paraId="3760D5F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FFFFFF"/>
            <w:noWrap/>
            <w:vAlign w:val="center"/>
            <w:hideMark/>
          </w:tcPr>
          <w:p w14:paraId="18FE643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72575DE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471" w:type="pct"/>
            <w:tcBorders>
              <w:top w:val="nil"/>
              <w:left w:val="nil"/>
              <w:bottom w:val="single" w:sz="4" w:space="0" w:color="auto"/>
              <w:right w:val="single" w:sz="4" w:space="0" w:color="auto"/>
            </w:tcBorders>
            <w:shd w:val="clear" w:color="000000" w:fill="FFFFFF"/>
            <w:noWrap/>
            <w:vAlign w:val="center"/>
            <w:hideMark/>
          </w:tcPr>
          <w:p w14:paraId="1CB9810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13974F1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2EC220F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49ACFA97"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BE861D2"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Business Engagement</w:t>
            </w:r>
          </w:p>
        </w:tc>
        <w:tc>
          <w:tcPr>
            <w:tcW w:w="437" w:type="pct"/>
            <w:tcBorders>
              <w:top w:val="nil"/>
              <w:left w:val="nil"/>
              <w:bottom w:val="single" w:sz="4" w:space="0" w:color="auto"/>
              <w:right w:val="single" w:sz="4" w:space="0" w:color="auto"/>
            </w:tcBorders>
            <w:shd w:val="clear" w:color="000000" w:fill="D9E2F3"/>
            <w:noWrap/>
            <w:vAlign w:val="center"/>
            <w:hideMark/>
          </w:tcPr>
          <w:p w14:paraId="4CFD930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37" w:type="pct"/>
            <w:tcBorders>
              <w:top w:val="nil"/>
              <w:left w:val="nil"/>
              <w:bottom w:val="single" w:sz="4" w:space="0" w:color="auto"/>
              <w:right w:val="single" w:sz="4" w:space="0" w:color="auto"/>
            </w:tcBorders>
            <w:shd w:val="clear" w:color="000000" w:fill="D9E2F3"/>
            <w:noWrap/>
            <w:vAlign w:val="center"/>
            <w:hideMark/>
          </w:tcPr>
          <w:p w14:paraId="36FE300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c>
          <w:tcPr>
            <w:tcW w:w="399" w:type="pct"/>
            <w:tcBorders>
              <w:top w:val="nil"/>
              <w:left w:val="nil"/>
              <w:bottom w:val="single" w:sz="4" w:space="0" w:color="auto"/>
              <w:right w:val="single" w:sz="4" w:space="0" w:color="auto"/>
            </w:tcBorders>
            <w:shd w:val="clear" w:color="000000" w:fill="D9E2F3"/>
            <w:noWrap/>
            <w:vAlign w:val="center"/>
            <w:hideMark/>
          </w:tcPr>
          <w:p w14:paraId="5084ACF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2F3"/>
            <w:noWrap/>
            <w:vAlign w:val="center"/>
            <w:hideMark/>
          </w:tcPr>
          <w:p w14:paraId="0CEC83A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D9E2F3"/>
            <w:noWrap/>
            <w:vAlign w:val="center"/>
            <w:hideMark/>
          </w:tcPr>
          <w:p w14:paraId="68847F0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2F3"/>
            <w:noWrap/>
            <w:vAlign w:val="center"/>
            <w:hideMark/>
          </w:tcPr>
          <w:p w14:paraId="3E0A210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2F3"/>
            <w:noWrap/>
            <w:vAlign w:val="center"/>
            <w:hideMark/>
          </w:tcPr>
          <w:p w14:paraId="25A31D6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2F3"/>
            <w:noWrap/>
            <w:vAlign w:val="center"/>
            <w:hideMark/>
          </w:tcPr>
          <w:p w14:paraId="7DABFA4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4F1E8633" w14:textId="77777777" w:rsidTr="00C97C03">
        <w:trPr>
          <w:trHeight w:val="300"/>
        </w:trPr>
        <w:tc>
          <w:tcPr>
            <w:tcW w:w="1517" w:type="pct"/>
            <w:tcBorders>
              <w:top w:val="nil"/>
              <w:left w:val="nil"/>
              <w:bottom w:val="nil"/>
              <w:right w:val="nil"/>
            </w:tcBorders>
            <w:shd w:val="clear" w:color="auto" w:fill="auto"/>
            <w:noWrap/>
            <w:vAlign w:val="bottom"/>
            <w:hideMark/>
          </w:tcPr>
          <w:p w14:paraId="0C163E50"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4C61332B"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47F4C3A0"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401A42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E03032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749D7FC1"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593B07F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8ADB4D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AFFB70F"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bl>
    <w:p w14:paraId="2A2E6DF4" w14:textId="77777777" w:rsidR="00AD27AF" w:rsidRDefault="00AD27AF">
      <w:r>
        <w:br w:type="page"/>
      </w:r>
    </w:p>
    <w:tbl>
      <w:tblPr>
        <w:tblW w:w="5000" w:type="pct"/>
        <w:tblLook w:val="04A0" w:firstRow="1" w:lastRow="0" w:firstColumn="1" w:lastColumn="0" w:noHBand="0" w:noVBand="1"/>
      </w:tblPr>
      <w:tblGrid>
        <w:gridCol w:w="2840"/>
        <w:gridCol w:w="818"/>
        <w:gridCol w:w="818"/>
        <w:gridCol w:w="747"/>
        <w:gridCol w:w="747"/>
        <w:gridCol w:w="747"/>
        <w:gridCol w:w="881"/>
        <w:gridCol w:w="881"/>
        <w:gridCol w:w="881"/>
      </w:tblGrid>
      <w:tr w:rsidR="00AD27AF" w:rsidRPr="00216251" w14:paraId="21D1D988"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610F44DE" w14:textId="1981F8B1"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lastRenderedPageBreak/>
              <w:t>California Combined</w:t>
            </w:r>
          </w:p>
        </w:tc>
      </w:tr>
      <w:tr w:rsidR="00AD27AF" w:rsidRPr="00216251" w14:paraId="68F83897"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0A930AEE"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4616FBB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7AC4731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5D80866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26B2300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1CE894D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21A2ED5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02774E3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36013FC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03A634E3"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159FE967"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32C9C12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37" w:type="pct"/>
            <w:tcBorders>
              <w:top w:val="nil"/>
              <w:left w:val="nil"/>
              <w:bottom w:val="single" w:sz="4" w:space="0" w:color="auto"/>
              <w:right w:val="single" w:sz="4" w:space="0" w:color="auto"/>
            </w:tcBorders>
            <w:shd w:val="clear" w:color="000000" w:fill="FFFFFF"/>
            <w:noWrap/>
            <w:vAlign w:val="center"/>
            <w:hideMark/>
          </w:tcPr>
          <w:p w14:paraId="0103B98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06F0568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4D33D8D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5911F7F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2161E69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43D8FDD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768FBF2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69F364CD"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1A478E9B"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Section 511</w:t>
            </w:r>
          </w:p>
        </w:tc>
        <w:tc>
          <w:tcPr>
            <w:tcW w:w="437" w:type="pct"/>
            <w:tcBorders>
              <w:top w:val="nil"/>
              <w:left w:val="nil"/>
              <w:bottom w:val="single" w:sz="4" w:space="0" w:color="auto"/>
              <w:right w:val="single" w:sz="4" w:space="0" w:color="auto"/>
            </w:tcBorders>
            <w:shd w:val="clear" w:color="000000" w:fill="D9E2F3"/>
            <w:noWrap/>
            <w:vAlign w:val="center"/>
            <w:hideMark/>
          </w:tcPr>
          <w:p w14:paraId="4636953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D9E2F3"/>
            <w:noWrap/>
            <w:vAlign w:val="center"/>
            <w:hideMark/>
          </w:tcPr>
          <w:p w14:paraId="3708498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2F3"/>
            <w:noWrap/>
            <w:vAlign w:val="center"/>
            <w:hideMark/>
          </w:tcPr>
          <w:p w14:paraId="53FACB3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D9E2F3"/>
            <w:noWrap/>
            <w:vAlign w:val="center"/>
            <w:hideMark/>
          </w:tcPr>
          <w:p w14:paraId="5752D5C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D9E2F3"/>
            <w:noWrap/>
            <w:vAlign w:val="center"/>
            <w:hideMark/>
          </w:tcPr>
          <w:p w14:paraId="1FDFC9C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2F3"/>
            <w:noWrap/>
            <w:vAlign w:val="center"/>
            <w:hideMark/>
          </w:tcPr>
          <w:p w14:paraId="674C774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2F3"/>
            <w:noWrap/>
            <w:vAlign w:val="center"/>
            <w:hideMark/>
          </w:tcPr>
          <w:p w14:paraId="7B891AD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2F3"/>
            <w:noWrap/>
            <w:vAlign w:val="center"/>
            <w:hideMark/>
          </w:tcPr>
          <w:p w14:paraId="55D866F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r>
      <w:tr w:rsidR="00AD27AF" w:rsidRPr="00216251" w14:paraId="5C438BF7"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96F0076"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FFFFFF"/>
            <w:noWrap/>
            <w:vAlign w:val="center"/>
            <w:hideMark/>
          </w:tcPr>
          <w:p w14:paraId="72718F9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FFFFFF"/>
            <w:noWrap/>
            <w:vAlign w:val="center"/>
            <w:hideMark/>
          </w:tcPr>
          <w:p w14:paraId="099ECD8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c>
          <w:tcPr>
            <w:tcW w:w="399" w:type="pct"/>
            <w:tcBorders>
              <w:top w:val="nil"/>
              <w:left w:val="nil"/>
              <w:bottom w:val="single" w:sz="4" w:space="0" w:color="auto"/>
              <w:right w:val="single" w:sz="4" w:space="0" w:color="auto"/>
            </w:tcBorders>
            <w:shd w:val="clear" w:color="000000" w:fill="FFFFFF"/>
            <w:noWrap/>
            <w:vAlign w:val="center"/>
            <w:hideMark/>
          </w:tcPr>
          <w:p w14:paraId="2C3F921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1DD3E18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FFFFFF"/>
            <w:noWrap/>
            <w:vAlign w:val="center"/>
            <w:hideMark/>
          </w:tcPr>
          <w:p w14:paraId="647FF73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1C3B1C5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22BC2ED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285EE9F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1AFCEA7A"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65D62A4"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Customized Employment</w:t>
            </w:r>
          </w:p>
        </w:tc>
        <w:tc>
          <w:tcPr>
            <w:tcW w:w="437" w:type="pct"/>
            <w:tcBorders>
              <w:top w:val="nil"/>
              <w:left w:val="nil"/>
              <w:bottom w:val="single" w:sz="4" w:space="0" w:color="auto"/>
              <w:right w:val="single" w:sz="4" w:space="0" w:color="auto"/>
            </w:tcBorders>
            <w:shd w:val="clear" w:color="000000" w:fill="D9E2F3"/>
            <w:noWrap/>
            <w:vAlign w:val="center"/>
            <w:hideMark/>
          </w:tcPr>
          <w:p w14:paraId="679DF43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37" w:type="pct"/>
            <w:tcBorders>
              <w:top w:val="nil"/>
              <w:left w:val="nil"/>
              <w:bottom w:val="single" w:sz="4" w:space="0" w:color="auto"/>
              <w:right w:val="single" w:sz="4" w:space="0" w:color="auto"/>
            </w:tcBorders>
            <w:shd w:val="clear" w:color="000000" w:fill="D9E2F3"/>
            <w:noWrap/>
            <w:vAlign w:val="center"/>
            <w:hideMark/>
          </w:tcPr>
          <w:p w14:paraId="31AF86A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89%</w:t>
            </w:r>
          </w:p>
        </w:tc>
        <w:tc>
          <w:tcPr>
            <w:tcW w:w="399" w:type="pct"/>
            <w:tcBorders>
              <w:top w:val="nil"/>
              <w:left w:val="nil"/>
              <w:bottom w:val="single" w:sz="4" w:space="0" w:color="auto"/>
              <w:right w:val="single" w:sz="4" w:space="0" w:color="auto"/>
            </w:tcBorders>
            <w:shd w:val="clear" w:color="000000" w:fill="D9E2F3"/>
            <w:noWrap/>
            <w:vAlign w:val="center"/>
            <w:hideMark/>
          </w:tcPr>
          <w:p w14:paraId="35CD7AE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D9E2F3"/>
            <w:noWrap/>
            <w:vAlign w:val="center"/>
            <w:hideMark/>
          </w:tcPr>
          <w:p w14:paraId="26EFC4C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D9E2F3"/>
            <w:noWrap/>
            <w:vAlign w:val="center"/>
            <w:hideMark/>
          </w:tcPr>
          <w:p w14:paraId="575D0B9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86%</w:t>
            </w:r>
          </w:p>
        </w:tc>
        <w:tc>
          <w:tcPr>
            <w:tcW w:w="471" w:type="pct"/>
            <w:tcBorders>
              <w:top w:val="nil"/>
              <w:left w:val="nil"/>
              <w:bottom w:val="single" w:sz="4" w:space="0" w:color="auto"/>
              <w:right w:val="single" w:sz="4" w:space="0" w:color="auto"/>
            </w:tcBorders>
            <w:shd w:val="clear" w:color="000000" w:fill="D9E2F3"/>
            <w:noWrap/>
            <w:vAlign w:val="center"/>
            <w:hideMark/>
          </w:tcPr>
          <w:p w14:paraId="27927F0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71" w:type="pct"/>
            <w:tcBorders>
              <w:top w:val="nil"/>
              <w:left w:val="nil"/>
              <w:bottom w:val="single" w:sz="4" w:space="0" w:color="auto"/>
              <w:right w:val="single" w:sz="4" w:space="0" w:color="auto"/>
            </w:tcBorders>
            <w:shd w:val="clear" w:color="000000" w:fill="D9E2F3"/>
            <w:noWrap/>
            <w:vAlign w:val="center"/>
            <w:hideMark/>
          </w:tcPr>
          <w:p w14:paraId="3A1F8A2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2F3"/>
            <w:noWrap/>
            <w:vAlign w:val="center"/>
            <w:hideMark/>
          </w:tcPr>
          <w:p w14:paraId="6703E1D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40%</w:t>
            </w:r>
          </w:p>
        </w:tc>
      </w:tr>
      <w:tr w:rsidR="00AD27AF" w:rsidRPr="00216251" w14:paraId="150355E8" w14:textId="77777777" w:rsidTr="00C97C03">
        <w:trPr>
          <w:trHeight w:val="300"/>
        </w:trPr>
        <w:tc>
          <w:tcPr>
            <w:tcW w:w="1517" w:type="pct"/>
            <w:tcBorders>
              <w:top w:val="nil"/>
              <w:left w:val="nil"/>
              <w:bottom w:val="nil"/>
              <w:right w:val="nil"/>
            </w:tcBorders>
            <w:shd w:val="clear" w:color="auto" w:fill="auto"/>
            <w:noWrap/>
            <w:vAlign w:val="bottom"/>
            <w:hideMark/>
          </w:tcPr>
          <w:p w14:paraId="73BC0237"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0EADE528"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403CD5A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78DDEC6A"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74C3A2E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04D76A0"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06CC919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70FA5A4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F65F20A"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6A259CFB"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3C036AD1"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CNMI Combined</w:t>
            </w:r>
          </w:p>
        </w:tc>
      </w:tr>
      <w:tr w:rsidR="00AD27AF" w:rsidRPr="00216251" w14:paraId="257ABADA"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400426D8"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7A53084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5E70930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1FC4951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5397386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6B5C1DC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47EF9BB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4E3559F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6FC9A2E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488962E2"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705F15AF"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0ACFC84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437" w:type="pct"/>
            <w:tcBorders>
              <w:top w:val="nil"/>
              <w:left w:val="nil"/>
              <w:bottom w:val="single" w:sz="4" w:space="0" w:color="auto"/>
              <w:right w:val="single" w:sz="4" w:space="0" w:color="auto"/>
            </w:tcBorders>
            <w:shd w:val="clear" w:color="000000" w:fill="FFFFFF"/>
            <w:noWrap/>
            <w:vAlign w:val="center"/>
            <w:hideMark/>
          </w:tcPr>
          <w:p w14:paraId="6042D5E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99%</w:t>
            </w:r>
          </w:p>
        </w:tc>
        <w:tc>
          <w:tcPr>
            <w:tcW w:w="399" w:type="pct"/>
            <w:tcBorders>
              <w:top w:val="nil"/>
              <w:left w:val="nil"/>
              <w:bottom w:val="single" w:sz="4" w:space="0" w:color="auto"/>
              <w:right w:val="single" w:sz="4" w:space="0" w:color="auto"/>
            </w:tcBorders>
            <w:shd w:val="clear" w:color="000000" w:fill="FFFFFF"/>
            <w:noWrap/>
            <w:vAlign w:val="center"/>
            <w:hideMark/>
          </w:tcPr>
          <w:p w14:paraId="7F15131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399" w:type="pct"/>
            <w:tcBorders>
              <w:top w:val="nil"/>
              <w:left w:val="nil"/>
              <w:bottom w:val="single" w:sz="4" w:space="0" w:color="auto"/>
              <w:right w:val="single" w:sz="4" w:space="0" w:color="auto"/>
            </w:tcBorders>
            <w:shd w:val="clear" w:color="000000" w:fill="FFFFFF"/>
            <w:noWrap/>
            <w:vAlign w:val="center"/>
            <w:hideMark/>
          </w:tcPr>
          <w:p w14:paraId="668B976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143C301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88%</w:t>
            </w:r>
          </w:p>
        </w:tc>
        <w:tc>
          <w:tcPr>
            <w:tcW w:w="471" w:type="pct"/>
            <w:tcBorders>
              <w:top w:val="nil"/>
              <w:left w:val="nil"/>
              <w:bottom w:val="single" w:sz="4" w:space="0" w:color="auto"/>
              <w:right w:val="single" w:sz="4" w:space="0" w:color="auto"/>
            </w:tcBorders>
            <w:shd w:val="clear" w:color="000000" w:fill="FFFFFF"/>
            <w:noWrap/>
            <w:vAlign w:val="center"/>
            <w:hideMark/>
          </w:tcPr>
          <w:p w14:paraId="640DF53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0685196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3B2D00E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r>
      <w:tr w:rsidR="00AD27AF" w:rsidRPr="00216251" w14:paraId="72E5749F"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9A34953"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D9E1F2"/>
            <w:noWrap/>
            <w:vAlign w:val="center"/>
            <w:hideMark/>
          </w:tcPr>
          <w:p w14:paraId="6840CB1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D9E1F2"/>
            <w:noWrap/>
            <w:vAlign w:val="center"/>
            <w:hideMark/>
          </w:tcPr>
          <w:p w14:paraId="18BC3EA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63%</w:t>
            </w:r>
          </w:p>
        </w:tc>
        <w:tc>
          <w:tcPr>
            <w:tcW w:w="399" w:type="pct"/>
            <w:tcBorders>
              <w:top w:val="nil"/>
              <w:left w:val="nil"/>
              <w:bottom w:val="single" w:sz="4" w:space="0" w:color="auto"/>
              <w:right w:val="single" w:sz="4" w:space="0" w:color="auto"/>
            </w:tcBorders>
            <w:shd w:val="clear" w:color="000000" w:fill="D9E1F2"/>
            <w:noWrap/>
            <w:vAlign w:val="center"/>
            <w:hideMark/>
          </w:tcPr>
          <w:p w14:paraId="08BD15F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D9E1F2"/>
            <w:noWrap/>
            <w:vAlign w:val="center"/>
            <w:hideMark/>
          </w:tcPr>
          <w:p w14:paraId="59016C0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2699BEE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471" w:type="pct"/>
            <w:tcBorders>
              <w:top w:val="nil"/>
              <w:left w:val="nil"/>
              <w:bottom w:val="single" w:sz="4" w:space="0" w:color="auto"/>
              <w:right w:val="single" w:sz="4" w:space="0" w:color="auto"/>
            </w:tcBorders>
            <w:shd w:val="clear" w:color="000000" w:fill="D9E1F2"/>
            <w:noWrap/>
            <w:vAlign w:val="center"/>
            <w:hideMark/>
          </w:tcPr>
          <w:p w14:paraId="733C870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7414970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54F26A5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3B18599F"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7B7F7BD"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Business Engagement</w:t>
            </w:r>
          </w:p>
        </w:tc>
        <w:tc>
          <w:tcPr>
            <w:tcW w:w="437" w:type="pct"/>
            <w:tcBorders>
              <w:top w:val="nil"/>
              <w:left w:val="nil"/>
              <w:bottom w:val="single" w:sz="4" w:space="0" w:color="auto"/>
              <w:right w:val="single" w:sz="4" w:space="0" w:color="auto"/>
            </w:tcBorders>
            <w:shd w:val="clear" w:color="000000" w:fill="FFFFFF"/>
            <w:noWrap/>
            <w:vAlign w:val="center"/>
            <w:hideMark/>
          </w:tcPr>
          <w:p w14:paraId="17A7F0C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FFFFFF"/>
            <w:noWrap/>
            <w:vAlign w:val="center"/>
            <w:hideMark/>
          </w:tcPr>
          <w:p w14:paraId="20CD5B2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012E1AD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60C79A3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64751FF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7C57BA5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4C95831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1ED3B6C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33%</w:t>
            </w:r>
          </w:p>
        </w:tc>
      </w:tr>
      <w:tr w:rsidR="00AD27AF" w:rsidRPr="00216251" w14:paraId="4E5ACD5B" w14:textId="77777777" w:rsidTr="00C97C03">
        <w:trPr>
          <w:trHeight w:val="300"/>
        </w:trPr>
        <w:tc>
          <w:tcPr>
            <w:tcW w:w="1517" w:type="pct"/>
            <w:tcBorders>
              <w:top w:val="nil"/>
              <w:left w:val="nil"/>
              <w:bottom w:val="nil"/>
              <w:right w:val="nil"/>
            </w:tcBorders>
            <w:shd w:val="clear" w:color="auto" w:fill="auto"/>
            <w:noWrap/>
            <w:vAlign w:val="bottom"/>
            <w:hideMark/>
          </w:tcPr>
          <w:p w14:paraId="3032F45E"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2DD57831"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7170B28F"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0B7F121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4E58C7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54A8D1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68139FB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53E3330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E2A786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64A3812C"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C84FB25"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Colorado Combined</w:t>
            </w:r>
          </w:p>
        </w:tc>
      </w:tr>
      <w:tr w:rsidR="00AD27AF" w:rsidRPr="00216251" w14:paraId="00224D39"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6F9F60CE"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5051A74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678B7D7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6D588E2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79514A4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3E9C3C5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0AC4DE9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3D9CAED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3EEC090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2D95C87D"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EF93FBA"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Customized Employment</w:t>
            </w:r>
          </w:p>
        </w:tc>
        <w:tc>
          <w:tcPr>
            <w:tcW w:w="437" w:type="pct"/>
            <w:tcBorders>
              <w:top w:val="nil"/>
              <w:left w:val="nil"/>
              <w:bottom w:val="single" w:sz="4" w:space="0" w:color="auto"/>
              <w:right w:val="single" w:sz="4" w:space="0" w:color="auto"/>
            </w:tcBorders>
            <w:shd w:val="clear" w:color="000000" w:fill="FFFFFF"/>
            <w:noWrap/>
            <w:vAlign w:val="center"/>
            <w:hideMark/>
          </w:tcPr>
          <w:p w14:paraId="7B0E890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12</w:t>
            </w:r>
          </w:p>
        </w:tc>
        <w:tc>
          <w:tcPr>
            <w:tcW w:w="437" w:type="pct"/>
            <w:tcBorders>
              <w:top w:val="nil"/>
              <w:left w:val="nil"/>
              <w:bottom w:val="single" w:sz="4" w:space="0" w:color="auto"/>
              <w:right w:val="single" w:sz="4" w:space="0" w:color="auto"/>
            </w:tcBorders>
            <w:shd w:val="clear" w:color="000000" w:fill="FFFFFF"/>
            <w:noWrap/>
            <w:vAlign w:val="center"/>
            <w:hideMark/>
          </w:tcPr>
          <w:p w14:paraId="77AAC9B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81%</w:t>
            </w:r>
          </w:p>
        </w:tc>
        <w:tc>
          <w:tcPr>
            <w:tcW w:w="399" w:type="pct"/>
            <w:tcBorders>
              <w:top w:val="nil"/>
              <w:left w:val="nil"/>
              <w:bottom w:val="single" w:sz="4" w:space="0" w:color="auto"/>
              <w:right w:val="single" w:sz="4" w:space="0" w:color="auto"/>
            </w:tcBorders>
            <w:shd w:val="clear" w:color="000000" w:fill="FFFFFF"/>
            <w:noWrap/>
            <w:vAlign w:val="center"/>
            <w:hideMark/>
          </w:tcPr>
          <w:p w14:paraId="6E08A5E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12</w:t>
            </w:r>
          </w:p>
        </w:tc>
        <w:tc>
          <w:tcPr>
            <w:tcW w:w="399" w:type="pct"/>
            <w:tcBorders>
              <w:top w:val="nil"/>
              <w:left w:val="nil"/>
              <w:bottom w:val="single" w:sz="4" w:space="0" w:color="auto"/>
              <w:right w:val="single" w:sz="4" w:space="0" w:color="auto"/>
            </w:tcBorders>
            <w:shd w:val="clear" w:color="000000" w:fill="FFFFFF"/>
            <w:noWrap/>
            <w:vAlign w:val="center"/>
            <w:hideMark/>
          </w:tcPr>
          <w:p w14:paraId="5CD0781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399" w:type="pct"/>
            <w:tcBorders>
              <w:top w:val="nil"/>
              <w:left w:val="nil"/>
              <w:bottom w:val="single" w:sz="4" w:space="0" w:color="auto"/>
              <w:right w:val="single" w:sz="4" w:space="0" w:color="auto"/>
            </w:tcBorders>
            <w:shd w:val="clear" w:color="000000" w:fill="FFFFFF"/>
            <w:noWrap/>
            <w:vAlign w:val="center"/>
            <w:hideMark/>
          </w:tcPr>
          <w:p w14:paraId="449BCB9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c>
          <w:tcPr>
            <w:tcW w:w="471" w:type="pct"/>
            <w:tcBorders>
              <w:top w:val="nil"/>
              <w:left w:val="nil"/>
              <w:bottom w:val="single" w:sz="4" w:space="0" w:color="auto"/>
              <w:right w:val="single" w:sz="4" w:space="0" w:color="auto"/>
            </w:tcBorders>
            <w:shd w:val="clear" w:color="000000" w:fill="FFFFFF"/>
            <w:noWrap/>
            <w:vAlign w:val="center"/>
            <w:hideMark/>
          </w:tcPr>
          <w:p w14:paraId="27DF4E4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w:t>
            </w:r>
          </w:p>
        </w:tc>
        <w:tc>
          <w:tcPr>
            <w:tcW w:w="471" w:type="pct"/>
            <w:tcBorders>
              <w:top w:val="nil"/>
              <w:left w:val="nil"/>
              <w:bottom w:val="single" w:sz="4" w:space="0" w:color="auto"/>
              <w:right w:val="single" w:sz="4" w:space="0" w:color="auto"/>
            </w:tcBorders>
            <w:shd w:val="clear" w:color="000000" w:fill="FFFFFF"/>
            <w:noWrap/>
            <w:vAlign w:val="center"/>
            <w:hideMark/>
          </w:tcPr>
          <w:p w14:paraId="3CC9F5F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2AEEFE1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w:t>
            </w:r>
          </w:p>
        </w:tc>
      </w:tr>
      <w:tr w:rsidR="00AD27AF" w:rsidRPr="00216251" w14:paraId="3BD8BE78"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663935FB"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Connecticut General</w:t>
            </w:r>
          </w:p>
        </w:tc>
      </w:tr>
      <w:tr w:rsidR="00AD27AF" w:rsidRPr="00216251" w14:paraId="58045DD3"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050FC4BC"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48FB0A2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61C2752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7C154F5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5891348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55986E1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53C5374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4FE6C2C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62CC707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292E0AB6"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A904F8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FFFFFF"/>
            <w:noWrap/>
            <w:vAlign w:val="center"/>
            <w:hideMark/>
          </w:tcPr>
          <w:p w14:paraId="4D46D84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37" w:type="pct"/>
            <w:tcBorders>
              <w:top w:val="nil"/>
              <w:left w:val="nil"/>
              <w:bottom w:val="single" w:sz="4" w:space="0" w:color="auto"/>
              <w:right w:val="single" w:sz="4" w:space="0" w:color="auto"/>
            </w:tcBorders>
            <w:shd w:val="clear" w:color="000000" w:fill="FFFFFF"/>
            <w:noWrap/>
            <w:vAlign w:val="center"/>
            <w:hideMark/>
          </w:tcPr>
          <w:p w14:paraId="31E3585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88%</w:t>
            </w:r>
          </w:p>
        </w:tc>
        <w:tc>
          <w:tcPr>
            <w:tcW w:w="399" w:type="pct"/>
            <w:tcBorders>
              <w:top w:val="nil"/>
              <w:left w:val="nil"/>
              <w:bottom w:val="single" w:sz="4" w:space="0" w:color="auto"/>
              <w:right w:val="single" w:sz="4" w:space="0" w:color="auto"/>
            </w:tcBorders>
            <w:shd w:val="clear" w:color="000000" w:fill="FFFFFF"/>
            <w:noWrap/>
            <w:vAlign w:val="center"/>
            <w:hideMark/>
          </w:tcPr>
          <w:p w14:paraId="79C188F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10B0CA9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6957FE4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471" w:type="pct"/>
            <w:tcBorders>
              <w:top w:val="nil"/>
              <w:left w:val="nil"/>
              <w:bottom w:val="single" w:sz="4" w:space="0" w:color="auto"/>
              <w:right w:val="single" w:sz="4" w:space="0" w:color="auto"/>
            </w:tcBorders>
            <w:shd w:val="clear" w:color="000000" w:fill="FFFFFF"/>
            <w:noWrap/>
            <w:vAlign w:val="center"/>
            <w:hideMark/>
          </w:tcPr>
          <w:p w14:paraId="6FC3EA2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49FB932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5348C15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2A8AC9BC"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65DB55E"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D9E1F2"/>
            <w:noWrap/>
            <w:vAlign w:val="center"/>
            <w:hideMark/>
          </w:tcPr>
          <w:p w14:paraId="3403BB6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D9E1F2"/>
            <w:noWrap/>
            <w:vAlign w:val="center"/>
            <w:hideMark/>
          </w:tcPr>
          <w:p w14:paraId="0E39399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80%</w:t>
            </w:r>
          </w:p>
        </w:tc>
        <w:tc>
          <w:tcPr>
            <w:tcW w:w="399" w:type="pct"/>
            <w:tcBorders>
              <w:top w:val="nil"/>
              <w:left w:val="nil"/>
              <w:bottom w:val="single" w:sz="4" w:space="0" w:color="auto"/>
              <w:right w:val="single" w:sz="4" w:space="0" w:color="auto"/>
            </w:tcBorders>
            <w:shd w:val="clear" w:color="000000" w:fill="D9E1F2"/>
            <w:noWrap/>
            <w:vAlign w:val="center"/>
            <w:hideMark/>
          </w:tcPr>
          <w:p w14:paraId="4463CB5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D9E1F2"/>
            <w:noWrap/>
            <w:vAlign w:val="center"/>
            <w:hideMark/>
          </w:tcPr>
          <w:p w14:paraId="437BE4B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1F2"/>
            <w:noWrap/>
            <w:vAlign w:val="center"/>
            <w:hideMark/>
          </w:tcPr>
          <w:p w14:paraId="0302888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33%</w:t>
            </w:r>
          </w:p>
        </w:tc>
        <w:tc>
          <w:tcPr>
            <w:tcW w:w="471" w:type="pct"/>
            <w:tcBorders>
              <w:top w:val="nil"/>
              <w:left w:val="nil"/>
              <w:bottom w:val="single" w:sz="4" w:space="0" w:color="auto"/>
              <w:right w:val="single" w:sz="4" w:space="0" w:color="auto"/>
            </w:tcBorders>
            <w:shd w:val="clear" w:color="000000" w:fill="D9E1F2"/>
            <w:noWrap/>
            <w:vAlign w:val="center"/>
            <w:hideMark/>
          </w:tcPr>
          <w:p w14:paraId="133CEF3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23B2366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06DEC07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503BA0A6" w14:textId="77777777" w:rsidTr="00C97C03">
        <w:trPr>
          <w:trHeight w:val="300"/>
        </w:trPr>
        <w:tc>
          <w:tcPr>
            <w:tcW w:w="1517" w:type="pct"/>
            <w:tcBorders>
              <w:top w:val="nil"/>
              <w:left w:val="nil"/>
              <w:bottom w:val="nil"/>
              <w:right w:val="nil"/>
            </w:tcBorders>
            <w:shd w:val="clear" w:color="auto" w:fill="auto"/>
            <w:noWrap/>
            <w:vAlign w:val="bottom"/>
            <w:hideMark/>
          </w:tcPr>
          <w:p w14:paraId="2969FABA"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61C48BB5"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4C308C4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7D832EE0"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CAA3D7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A04BBE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2A92CD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6F29F61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37D3B7B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78BA87ED"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1A8EF0D9"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lastRenderedPageBreak/>
              <w:t>Delaware Blind</w:t>
            </w:r>
          </w:p>
        </w:tc>
      </w:tr>
      <w:tr w:rsidR="00AD27AF" w:rsidRPr="00216251" w14:paraId="0F5475A2"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26FD79CC"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653653C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703832B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36FE45E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53CCD4B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740A090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4008945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242F251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3FADF31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5E77D0E7"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6317004"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21A30AB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w:t>
            </w:r>
          </w:p>
        </w:tc>
        <w:tc>
          <w:tcPr>
            <w:tcW w:w="437" w:type="pct"/>
            <w:tcBorders>
              <w:top w:val="nil"/>
              <w:left w:val="nil"/>
              <w:bottom w:val="single" w:sz="4" w:space="0" w:color="auto"/>
              <w:right w:val="single" w:sz="4" w:space="0" w:color="auto"/>
            </w:tcBorders>
            <w:shd w:val="clear" w:color="000000" w:fill="FFFFFF"/>
            <w:noWrap/>
            <w:vAlign w:val="center"/>
            <w:hideMark/>
          </w:tcPr>
          <w:p w14:paraId="06DEF05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42%</w:t>
            </w:r>
          </w:p>
        </w:tc>
        <w:tc>
          <w:tcPr>
            <w:tcW w:w="399" w:type="pct"/>
            <w:tcBorders>
              <w:top w:val="nil"/>
              <w:left w:val="nil"/>
              <w:bottom w:val="single" w:sz="4" w:space="0" w:color="auto"/>
              <w:right w:val="single" w:sz="4" w:space="0" w:color="auto"/>
            </w:tcBorders>
            <w:shd w:val="clear" w:color="000000" w:fill="FFFFFF"/>
            <w:noWrap/>
            <w:vAlign w:val="center"/>
            <w:hideMark/>
          </w:tcPr>
          <w:p w14:paraId="31B6F5A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w:t>
            </w:r>
          </w:p>
        </w:tc>
        <w:tc>
          <w:tcPr>
            <w:tcW w:w="399" w:type="pct"/>
            <w:tcBorders>
              <w:top w:val="nil"/>
              <w:left w:val="nil"/>
              <w:bottom w:val="single" w:sz="4" w:space="0" w:color="auto"/>
              <w:right w:val="single" w:sz="4" w:space="0" w:color="auto"/>
            </w:tcBorders>
            <w:shd w:val="clear" w:color="000000" w:fill="FFFFFF"/>
            <w:noWrap/>
            <w:vAlign w:val="center"/>
            <w:hideMark/>
          </w:tcPr>
          <w:p w14:paraId="52F9C18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52835AE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22%</w:t>
            </w:r>
          </w:p>
        </w:tc>
        <w:tc>
          <w:tcPr>
            <w:tcW w:w="471" w:type="pct"/>
            <w:tcBorders>
              <w:top w:val="nil"/>
              <w:left w:val="nil"/>
              <w:bottom w:val="single" w:sz="4" w:space="0" w:color="auto"/>
              <w:right w:val="single" w:sz="4" w:space="0" w:color="auto"/>
            </w:tcBorders>
            <w:shd w:val="clear" w:color="000000" w:fill="FFFFFF"/>
            <w:noWrap/>
            <w:vAlign w:val="center"/>
            <w:hideMark/>
          </w:tcPr>
          <w:p w14:paraId="1442FC2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68CF37E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70A0A8C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75626218"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5961C70"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D9E2F3"/>
            <w:noWrap/>
            <w:vAlign w:val="center"/>
            <w:hideMark/>
          </w:tcPr>
          <w:p w14:paraId="5ACDCB7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12</w:t>
            </w:r>
          </w:p>
        </w:tc>
        <w:tc>
          <w:tcPr>
            <w:tcW w:w="437" w:type="pct"/>
            <w:tcBorders>
              <w:top w:val="nil"/>
              <w:left w:val="nil"/>
              <w:bottom w:val="single" w:sz="4" w:space="0" w:color="auto"/>
              <w:right w:val="single" w:sz="4" w:space="0" w:color="auto"/>
            </w:tcBorders>
            <w:shd w:val="clear" w:color="000000" w:fill="D9E2F3"/>
            <w:noWrap/>
            <w:vAlign w:val="center"/>
            <w:hideMark/>
          </w:tcPr>
          <w:p w14:paraId="2403080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63%</w:t>
            </w:r>
          </w:p>
        </w:tc>
        <w:tc>
          <w:tcPr>
            <w:tcW w:w="399" w:type="pct"/>
            <w:tcBorders>
              <w:top w:val="nil"/>
              <w:left w:val="nil"/>
              <w:bottom w:val="single" w:sz="4" w:space="0" w:color="auto"/>
              <w:right w:val="single" w:sz="4" w:space="0" w:color="auto"/>
            </w:tcBorders>
            <w:shd w:val="clear" w:color="000000" w:fill="D9E2F3"/>
            <w:noWrap/>
            <w:vAlign w:val="center"/>
            <w:hideMark/>
          </w:tcPr>
          <w:p w14:paraId="23576A5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12</w:t>
            </w:r>
          </w:p>
        </w:tc>
        <w:tc>
          <w:tcPr>
            <w:tcW w:w="399" w:type="pct"/>
            <w:tcBorders>
              <w:top w:val="nil"/>
              <w:left w:val="nil"/>
              <w:bottom w:val="single" w:sz="4" w:space="0" w:color="auto"/>
              <w:right w:val="single" w:sz="4" w:space="0" w:color="auto"/>
            </w:tcBorders>
            <w:shd w:val="clear" w:color="000000" w:fill="D9E2F3"/>
            <w:noWrap/>
            <w:vAlign w:val="center"/>
            <w:hideMark/>
          </w:tcPr>
          <w:p w14:paraId="6B97E3E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D9E2F3"/>
            <w:noWrap/>
            <w:vAlign w:val="center"/>
            <w:hideMark/>
          </w:tcPr>
          <w:p w14:paraId="3D0FBDC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42%</w:t>
            </w:r>
          </w:p>
        </w:tc>
        <w:tc>
          <w:tcPr>
            <w:tcW w:w="471" w:type="pct"/>
            <w:tcBorders>
              <w:top w:val="nil"/>
              <w:left w:val="nil"/>
              <w:bottom w:val="single" w:sz="4" w:space="0" w:color="auto"/>
              <w:right w:val="single" w:sz="4" w:space="0" w:color="auto"/>
            </w:tcBorders>
            <w:shd w:val="clear" w:color="000000" w:fill="D9E2F3"/>
            <w:noWrap/>
            <w:vAlign w:val="center"/>
            <w:hideMark/>
          </w:tcPr>
          <w:p w14:paraId="1FF094F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D9E2F3"/>
            <w:noWrap/>
            <w:vAlign w:val="center"/>
            <w:hideMark/>
          </w:tcPr>
          <w:p w14:paraId="6B8FDCD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2F3"/>
            <w:noWrap/>
            <w:vAlign w:val="center"/>
            <w:hideMark/>
          </w:tcPr>
          <w:p w14:paraId="0917E96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583E2D67"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A5A23B6"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FFFFFF"/>
            <w:noWrap/>
            <w:vAlign w:val="center"/>
            <w:hideMark/>
          </w:tcPr>
          <w:p w14:paraId="4F18D3A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FFFFFF"/>
            <w:noWrap/>
            <w:vAlign w:val="center"/>
            <w:hideMark/>
          </w:tcPr>
          <w:p w14:paraId="067CCC5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45%</w:t>
            </w:r>
          </w:p>
        </w:tc>
        <w:tc>
          <w:tcPr>
            <w:tcW w:w="399" w:type="pct"/>
            <w:tcBorders>
              <w:top w:val="nil"/>
              <w:left w:val="nil"/>
              <w:bottom w:val="single" w:sz="4" w:space="0" w:color="auto"/>
              <w:right w:val="single" w:sz="4" w:space="0" w:color="auto"/>
            </w:tcBorders>
            <w:shd w:val="clear" w:color="000000" w:fill="FFFFFF"/>
            <w:noWrap/>
            <w:vAlign w:val="center"/>
            <w:hideMark/>
          </w:tcPr>
          <w:p w14:paraId="7CB9010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606A0D7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5F935B7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20%</w:t>
            </w:r>
          </w:p>
        </w:tc>
        <w:tc>
          <w:tcPr>
            <w:tcW w:w="471" w:type="pct"/>
            <w:tcBorders>
              <w:top w:val="nil"/>
              <w:left w:val="nil"/>
              <w:bottom w:val="single" w:sz="4" w:space="0" w:color="auto"/>
              <w:right w:val="single" w:sz="4" w:space="0" w:color="auto"/>
            </w:tcBorders>
            <w:shd w:val="clear" w:color="000000" w:fill="FFFFFF"/>
            <w:noWrap/>
            <w:vAlign w:val="center"/>
            <w:hideMark/>
          </w:tcPr>
          <w:p w14:paraId="332961F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559F0F6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521DB1E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532BD400"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4609D62"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Business Engagement</w:t>
            </w:r>
          </w:p>
        </w:tc>
        <w:tc>
          <w:tcPr>
            <w:tcW w:w="437" w:type="pct"/>
            <w:tcBorders>
              <w:top w:val="nil"/>
              <w:left w:val="nil"/>
              <w:bottom w:val="single" w:sz="4" w:space="0" w:color="auto"/>
              <w:right w:val="single" w:sz="4" w:space="0" w:color="auto"/>
            </w:tcBorders>
            <w:shd w:val="clear" w:color="000000" w:fill="D9E1F2"/>
            <w:noWrap/>
            <w:vAlign w:val="center"/>
            <w:hideMark/>
          </w:tcPr>
          <w:p w14:paraId="6982B80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D9E1F2"/>
            <w:noWrap/>
            <w:vAlign w:val="center"/>
            <w:hideMark/>
          </w:tcPr>
          <w:p w14:paraId="56DBC9C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c>
          <w:tcPr>
            <w:tcW w:w="399" w:type="pct"/>
            <w:tcBorders>
              <w:top w:val="nil"/>
              <w:left w:val="nil"/>
              <w:bottom w:val="single" w:sz="4" w:space="0" w:color="auto"/>
              <w:right w:val="single" w:sz="4" w:space="0" w:color="auto"/>
            </w:tcBorders>
            <w:shd w:val="clear" w:color="000000" w:fill="D9E1F2"/>
            <w:noWrap/>
            <w:vAlign w:val="center"/>
            <w:hideMark/>
          </w:tcPr>
          <w:p w14:paraId="48D999B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1F2"/>
            <w:noWrap/>
            <w:vAlign w:val="center"/>
            <w:hideMark/>
          </w:tcPr>
          <w:p w14:paraId="5EEAA59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D9E1F2"/>
            <w:noWrap/>
            <w:vAlign w:val="center"/>
            <w:hideMark/>
          </w:tcPr>
          <w:p w14:paraId="6ADFA72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211DB6A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0BF4F2D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4F14271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2FD964F8"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370E482"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The Career Index Plus (TCI+) and LMI</w:t>
            </w:r>
          </w:p>
        </w:tc>
        <w:tc>
          <w:tcPr>
            <w:tcW w:w="437" w:type="pct"/>
            <w:tcBorders>
              <w:top w:val="nil"/>
              <w:left w:val="nil"/>
              <w:bottom w:val="single" w:sz="4" w:space="0" w:color="auto"/>
              <w:right w:val="single" w:sz="4" w:space="0" w:color="auto"/>
            </w:tcBorders>
            <w:shd w:val="clear" w:color="000000" w:fill="FFFFFF"/>
            <w:noWrap/>
            <w:vAlign w:val="center"/>
            <w:hideMark/>
          </w:tcPr>
          <w:p w14:paraId="2CFB274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FFFFFF"/>
            <w:noWrap/>
            <w:vAlign w:val="center"/>
            <w:hideMark/>
          </w:tcPr>
          <w:p w14:paraId="3A1E45F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399" w:type="pct"/>
            <w:tcBorders>
              <w:top w:val="nil"/>
              <w:left w:val="nil"/>
              <w:bottom w:val="single" w:sz="4" w:space="0" w:color="auto"/>
              <w:right w:val="single" w:sz="4" w:space="0" w:color="auto"/>
            </w:tcBorders>
            <w:shd w:val="clear" w:color="000000" w:fill="FFFFFF"/>
            <w:noWrap/>
            <w:vAlign w:val="center"/>
            <w:hideMark/>
          </w:tcPr>
          <w:p w14:paraId="366E6AD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4505CC1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FFFFFF"/>
            <w:noWrap/>
            <w:vAlign w:val="center"/>
            <w:hideMark/>
          </w:tcPr>
          <w:p w14:paraId="0A727BB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65012FF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799AD73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443E94A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5874A526" w14:textId="77777777" w:rsidTr="00C97C03">
        <w:trPr>
          <w:trHeight w:val="300"/>
        </w:trPr>
        <w:tc>
          <w:tcPr>
            <w:tcW w:w="1517" w:type="pct"/>
            <w:tcBorders>
              <w:top w:val="nil"/>
              <w:left w:val="nil"/>
              <w:bottom w:val="nil"/>
              <w:right w:val="nil"/>
            </w:tcBorders>
            <w:shd w:val="clear" w:color="auto" w:fill="auto"/>
            <w:noWrap/>
            <w:vAlign w:val="bottom"/>
            <w:hideMark/>
          </w:tcPr>
          <w:p w14:paraId="42034E91"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13E9EDAA"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104F563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4EAA81E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7E4718B1"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088B35F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5FA1FB5A"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6434957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5057EEE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6262A424"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DF09A78"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Delaware General</w:t>
            </w:r>
          </w:p>
        </w:tc>
      </w:tr>
      <w:tr w:rsidR="00AD27AF" w:rsidRPr="00216251" w14:paraId="44D09221"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7D3FDBE8"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15E4438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70FF496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0CB04A4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621DD5C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2D9E897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360D264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318134A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44CE990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0F7797FE"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1082E2DE"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0846213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437" w:type="pct"/>
            <w:tcBorders>
              <w:top w:val="nil"/>
              <w:left w:val="nil"/>
              <w:bottom w:val="single" w:sz="4" w:space="0" w:color="auto"/>
              <w:right w:val="single" w:sz="4" w:space="0" w:color="auto"/>
            </w:tcBorders>
            <w:shd w:val="clear" w:color="000000" w:fill="FFFFFF"/>
            <w:noWrap/>
            <w:vAlign w:val="center"/>
            <w:hideMark/>
          </w:tcPr>
          <w:p w14:paraId="0573ED4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4B638C0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399" w:type="pct"/>
            <w:tcBorders>
              <w:top w:val="nil"/>
              <w:left w:val="nil"/>
              <w:bottom w:val="single" w:sz="4" w:space="0" w:color="auto"/>
              <w:right w:val="single" w:sz="4" w:space="0" w:color="auto"/>
            </w:tcBorders>
            <w:shd w:val="clear" w:color="000000" w:fill="FFFFFF"/>
            <w:noWrap/>
            <w:vAlign w:val="center"/>
            <w:hideMark/>
          </w:tcPr>
          <w:p w14:paraId="44FF8EF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399" w:type="pct"/>
            <w:tcBorders>
              <w:top w:val="nil"/>
              <w:left w:val="nil"/>
              <w:bottom w:val="single" w:sz="4" w:space="0" w:color="auto"/>
              <w:right w:val="single" w:sz="4" w:space="0" w:color="auto"/>
            </w:tcBorders>
            <w:shd w:val="clear" w:color="000000" w:fill="FFFFFF"/>
            <w:noWrap/>
            <w:vAlign w:val="center"/>
            <w:hideMark/>
          </w:tcPr>
          <w:p w14:paraId="1B1D13F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4594C4D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774FAC6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46964F9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004D0180" w14:textId="77777777" w:rsidTr="00C97C03">
        <w:trPr>
          <w:trHeight w:val="300"/>
        </w:trPr>
        <w:tc>
          <w:tcPr>
            <w:tcW w:w="1517" w:type="pct"/>
            <w:tcBorders>
              <w:top w:val="nil"/>
              <w:left w:val="nil"/>
              <w:bottom w:val="nil"/>
              <w:right w:val="nil"/>
            </w:tcBorders>
            <w:shd w:val="clear" w:color="auto" w:fill="auto"/>
            <w:noWrap/>
            <w:vAlign w:val="bottom"/>
            <w:hideMark/>
          </w:tcPr>
          <w:p w14:paraId="7A0E99BA"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1D2C6617"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4B553B0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FC637A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251359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5082BA3A"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22F1604"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236C743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2B336E1"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06D2C953"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253F41FA"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District of Columbia Combined</w:t>
            </w:r>
          </w:p>
        </w:tc>
      </w:tr>
      <w:tr w:rsidR="00AD27AF" w:rsidRPr="00216251" w14:paraId="5AEE60E2"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5F822B2D"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1FBF35C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057E609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5C4B75A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55ECDBA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7AB4B0D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00F2553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6BBC291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2C808EA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561DD75E"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607965F"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FFFFFF"/>
            <w:noWrap/>
            <w:vAlign w:val="center"/>
            <w:hideMark/>
          </w:tcPr>
          <w:p w14:paraId="6C206CF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FFFFFF"/>
            <w:noWrap/>
            <w:vAlign w:val="center"/>
            <w:hideMark/>
          </w:tcPr>
          <w:p w14:paraId="3300166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81%</w:t>
            </w:r>
          </w:p>
        </w:tc>
        <w:tc>
          <w:tcPr>
            <w:tcW w:w="399" w:type="pct"/>
            <w:tcBorders>
              <w:top w:val="nil"/>
              <w:left w:val="nil"/>
              <w:bottom w:val="single" w:sz="4" w:space="0" w:color="auto"/>
              <w:right w:val="single" w:sz="4" w:space="0" w:color="auto"/>
            </w:tcBorders>
            <w:shd w:val="clear" w:color="000000" w:fill="FFFFFF"/>
            <w:noWrap/>
            <w:vAlign w:val="center"/>
            <w:hideMark/>
          </w:tcPr>
          <w:p w14:paraId="2567E70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1E17A6B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0C631E1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471" w:type="pct"/>
            <w:tcBorders>
              <w:top w:val="nil"/>
              <w:left w:val="nil"/>
              <w:bottom w:val="single" w:sz="4" w:space="0" w:color="auto"/>
              <w:right w:val="single" w:sz="4" w:space="0" w:color="auto"/>
            </w:tcBorders>
            <w:shd w:val="clear" w:color="000000" w:fill="FFFFFF"/>
            <w:noWrap/>
            <w:vAlign w:val="center"/>
            <w:hideMark/>
          </w:tcPr>
          <w:p w14:paraId="5185EB8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19A9D3C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232ED13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510ED281" w14:textId="77777777" w:rsidTr="00C97C03">
        <w:trPr>
          <w:trHeight w:val="300"/>
        </w:trPr>
        <w:tc>
          <w:tcPr>
            <w:tcW w:w="1517" w:type="pct"/>
            <w:tcBorders>
              <w:top w:val="nil"/>
              <w:left w:val="nil"/>
              <w:bottom w:val="nil"/>
              <w:right w:val="nil"/>
            </w:tcBorders>
            <w:shd w:val="clear" w:color="auto" w:fill="auto"/>
            <w:noWrap/>
            <w:vAlign w:val="bottom"/>
            <w:hideMark/>
          </w:tcPr>
          <w:p w14:paraId="51DC128E"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02C0B086"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3540BD7A"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0FB1BF0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30FA218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06E4CB14"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24F76F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0D948EA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731156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018A155C"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40AE80A5"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Florida Blind</w:t>
            </w:r>
          </w:p>
        </w:tc>
      </w:tr>
      <w:tr w:rsidR="00AD27AF" w:rsidRPr="00216251" w14:paraId="6ED54EAF"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29620E9D"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31D76C9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306E7E4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19EED3E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7A43206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7C3F512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2418D76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680B5D1B"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16FFCFD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56E13E1B"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83878C7"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797E1EA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w:t>
            </w:r>
          </w:p>
        </w:tc>
        <w:tc>
          <w:tcPr>
            <w:tcW w:w="437" w:type="pct"/>
            <w:tcBorders>
              <w:top w:val="nil"/>
              <w:left w:val="nil"/>
              <w:bottom w:val="single" w:sz="4" w:space="0" w:color="auto"/>
              <w:right w:val="single" w:sz="4" w:space="0" w:color="auto"/>
            </w:tcBorders>
            <w:shd w:val="clear" w:color="000000" w:fill="FFFFFF"/>
            <w:noWrap/>
            <w:vAlign w:val="center"/>
            <w:hideMark/>
          </w:tcPr>
          <w:p w14:paraId="766B5EA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85%</w:t>
            </w:r>
          </w:p>
        </w:tc>
        <w:tc>
          <w:tcPr>
            <w:tcW w:w="399" w:type="pct"/>
            <w:tcBorders>
              <w:top w:val="nil"/>
              <w:left w:val="nil"/>
              <w:bottom w:val="single" w:sz="4" w:space="0" w:color="auto"/>
              <w:right w:val="single" w:sz="4" w:space="0" w:color="auto"/>
            </w:tcBorders>
            <w:shd w:val="clear" w:color="000000" w:fill="FFFFFF"/>
            <w:noWrap/>
            <w:vAlign w:val="center"/>
            <w:hideMark/>
          </w:tcPr>
          <w:p w14:paraId="101C546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w:t>
            </w:r>
          </w:p>
        </w:tc>
        <w:tc>
          <w:tcPr>
            <w:tcW w:w="399" w:type="pct"/>
            <w:tcBorders>
              <w:top w:val="nil"/>
              <w:left w:val="nil"/>
              <w:bottom w:val="single" w:sz="4" w:space="0" w:color="auto"/>
              <w:right w:val="single" w:sz="4" w:space="0" w:color="auto"/>
            </w:tcBorders>
            <w:shd w:val="clear" w:color="000000" w:fill="FFFFFF"/>
            <w:noWrap/>
            <w:vAlign w:val="center"/>
            <w:hideMark/>
          </w:tcPr>
          <w:p w14:paraId="29DE3AB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FFFFFF"/>
            <w:noWrap/>
            <w:vAlign w:val="center"/>
            <w:hideMark/>
          </w:tcPr>
          <w:p w14:paraId="4D7EAB9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c>
          <w:tcPr>
            <w:tcW w:w="471" w:type="pct"/>
            <w:tcBorders>
              <w:top w:val="nil"/>
              <w:left w:val="nil"/>
              <w:bottom w:val="single" w:sz="4" w:space="0" w:color="auto"/>
              <w:right w:val="single" w:sz="4" w:space="0" w:color="auto"/>
            </w:tcBorders>
            <w:shd w:val="clear" w:color="000000" w:fill="FFFFFF"/>
            <w:noWrap/>
            <w:vAlign w:val="center"/>
            <w:hideMark/>
          </w:tcPr>
          <w:p w14:paraId="0F8A5D8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4A34014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4821E1D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r>
      <w:tr w:rsidR="00AD27AF" w:rsidRPr="00216251" w14:paraId="46765709"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1A188593"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D9E2F3"/>
            <w:noWrap/>
            <w:vAlign w:val="center"/>
            <w:hideMark/>
          </w:tcPr>
          <w:p w14:paraId="39C9243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37" w:type="pct"/>
            <w:tcBorders>
              <w:top w:val="nil"/>
              <w:left w:val="nil"/>
              <w:bottom w:val="single" w:sz="4" w:space="0" w:color="auto"/>
              <w:right w:val="single" w:sz="4" w:space="0" w:color="auto"/>
            </w:tcBorders>
            <w:shd w:val="clear" w:color="000000" w:fill="D9E2F3"/>
            <w:noWrap/>
            <w:vAlign w:val="center"/>
            <w:hideMark/>
          </w:tcPr>
          <w:p w14:paraId="747FBE6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2F3"/>
            <w:noWrap/>
            <w:vAlign w:val="center"/>
            <w:hideMark/>
          </w:tcPr>
          <w:p w14:paraId="63B76BF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2F3"/>
            <w:noWrap/>
            <w:vAlign w:val="center"/>
            <w:hideMark/>
          </w:tcPr>
          <w:p w14:paraId="0EB7110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2F3"/>
            <w:noWrap/>
            <w:vAlign w:val="center"/>
            <w:hideMark/>
          </w:tcPr>
          <w:p w14:paraId="2015B30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471" w:type="pct"/>
            <w:tcBorders>
              <w:top w:val="nil"/>
              <w:left w:val="nil"/>
              <w:bottom w:val="single" w:sz="4" w:space="0" w:color="auto"/>
              <w:right w:val="single" w:sz="4" w:space="0" w:color="auto"/>
            </w:tcBorders>
            <w:shd w:val="clear" w:color="000000" w:fill="D9E2F3"/>
            <w:noWrap/>
            <w:vAlign w:val="center"/>
            <w:hideMark/>
          </w:tcPr>
          <w:p w14:paraId="7B82F4A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2F3"/>
            <w:noWrap/>
            <w:vAlign w:val="center"/>
            <w:hideMark/>
          </w:tcPr>
          <w:p w14:paraId="69F193D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2F3"/>
            <w:noWrap/>
            <w:vAlign w:val="center"/>
            <w:hideMark/>
          </w:tcPr>
          <w:p w14:paraId="73C0CC9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62789173"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4F5D082"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FFFFFF"/>
            <w:noWrap/>
            <w:vAlign w:val="center"/>
            <w:hideMark/>
          </w:tcPr>
          <w:p w14:paraId="254CD5B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FFFFFF"/>
            <w:noWrap/>
            <w:vAlign w:val="center"/>
            <w:hideMark/>
          </w:tcPr>
          <w:p w14:paraId="0FAF495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31%</w:t>
            </w:r>
          </w:p>
        </w:tc>
        <w:tc>
          <w:tcPr>
            <w:tcW w:w="399" w:type="pct"/>
            <w:tcBorders>
              <w:top w:val="nil"/>
              <w:left w:val="nil"/>
              <w:bottom w:val="single" w:sz="4" w:space="0" w:color="auto"/>
              <w:right w:val="single" w:sz="4" w:space="0" w:color="auto"/>
            </w:tcBorders>
            <w:shd w:val="clear" w:color="000000" w:fill="FFFFFF"/>
            <w:noWrap/>
            <w:vAlign w:val="center"/>
            <w:hideMark/>
          </w:tcPr>
          <w:p w14:paraId="529E28A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1889C35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7818B1E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c>
          <w:tcPr>
            <w:tcW w:w="471" w:type="pct"/>
            <w:tcBorders>
              <w:top w:val="nil"/>
              <w:left w:val="nil"/>
              <w:bottom w:val="single" w:sz="4" w:space="0" w:color="auto"/>
              <w:right w:val="single" w:sz="4" w:space="0" w:color="auto"/>
            </w:tcBorders>
            <w:shd w:val="clear" w:color="000000" w:fill="FFFFFF"/>
            <w:noWrap/>
            <w:vAlign w:val="center"/>
            <w:hideMark/>
          </w:tcPr>
          <w:p w14:paraId="666EEDE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48AA575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49E49D6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678F7ACE" w14:textId="77777777" w:rsidTr="00C97C03">
        <w:trPr>
          <w:trHeight w:val="300"/>
        </w:trPr>
        <w:tc>
          <w:tcPr>
            <w:tcW w:w="1517" w:type="pct"/>
            <w:tcBorders>
              <w:top w:val="nil"/>
              <w:left w:val="nil"/>
              <w:bottom w:val="nil"/>
              <w:right w:val="nil"/>
            </w:tcBorders>
            <w:shd w:val="clear" w:color="auto" w:fill="auto"/>
            <w:noWrap/>
            <w:vAlign w:val="bottom"/>
            <w:hideMark/>
          </w:tcPr>
          <w:p w14:paraId="4670D8B8"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7236F2EB"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411206A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6B96E480"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6C8F18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35E742D4"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03FB96F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65DBFE7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3BDE88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3F66C317"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6672E45"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Florida General</w:t>
            </w:r>
          </w:p>
        </w:tc>
      </w:tr>
      <w:tr w:rsidR="00AD27AF" w:rsidRPr="00216251" w14:paraId="39B10E37"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645721C5"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7DB7694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004F3D3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7AEC07D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4BF6EC4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5AD22D3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4C1E5CC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43D9C2B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140FB57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28ED891B"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87B1D1C"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06189FC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37" w:type="pct"/>
            <w:tcBorders>
              <w:top w:val="nil"/>
              <w:left w:val="nil"/>
              <w:bottom w:val="single" w:sz="4" w:space="0" w:color="auto"/>
              <w:right w:val="single" w:sz="4" w:space="0" w:color="auto"/>
            </w:tcBorders>
            <w:shd w:val="clear" w:color="000000" w:fill="FFFFFF"/>
            <w:noWrap/>
            <w:vAlign w:val="center"/>
            <w:hideMark/>
          </w:tcPr>
          <w:p w14:paraId="79B7532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71%</w:t>
            </w:r>
          </w:p>
        </w:tc>
        <w:tc>
          <w:tcPr>
            <w:tcW w:w="399" w:type="pct"/>
            <w:tcBorders>
              <w:top w:val="nil"/>
              <w:left w:val="nil"/>
              <w:bottom w:val="single" w:sz="4" w:space="0" w:color="auto"/>
              <w:right w:val="single" w:sz="4" w:space="0" w:color="auto"/>
            </w:tcBorders>
            <w:shd w:val="clear" w:color="000000" w:fill="FFFFFF"/>
            <w:noWrap/>
            <w:vAlign w:val="center"/>
            <w:hideMark/>
          </w:tcPr>
          <w:p w14:paraId="08FD537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FFFFFF"/>
            <w:noWrap/>
            <w:vAlign w:val="center"/>
            <w:hideMark/>
          </w:tcPr>
          <w:p w14:paraId="797899E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22B6302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471" w:type="pct"/>
            <w:tcBorders>
              <w:top w:val="nil"/>
              <w:left w:val="nil"/>
              <w:bottom w:val="single" w:sz="4" w:space="0" w:color="auto"/>
              <w:right w:val="single" w:sz="4" w:space="0" w:color="auto"/>
            </w:tcBorders>
            <w:shd w:val="clear" w:color="000000" w:fill="FFFFFF"/>
            <w:noWrap/>
            <w:vAlign w:val="center"/>
            <w:hideMark/>
          </w:tcPr>
          <w:p w14:paraId="4262293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4AD36BF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2BE26FF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33%</w:t>
            </w:r>
          </w:p>
        </w:tc>
      </w:tr>
      <w:tr w:rsidR="00AD27AF" w:rsidRPr="00216251" w14:paraId="35D5BBFF"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BB1A3C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Peer Mentoring</w:t>
            </w:r>
          </w:p>
        </w:tc>
        <w:tc>
          <w:tcPr>
            <w:tcW w:w="437" w:type="pct"/>
            <w:tcBorders>
              <w:top w:val="nil"/>
              <w:left w:val="nil"/>
              <w:bottom w:val="single" w:sz="4" w:space="0" w:color="auto"/>
              <w:right w:val="single" w:sz="4" w:space="0" w:color="auto"/>
            </w:tcBorders>
            <w:shd w:val="clear" w:color="000000" w:fill="D9E2F3"/>
            <w:noWrap/>
            <w:vAlign w:val="center"/>
            <w:hideMark/>
          </w:tcPr>
          <w:p w14:paraId="28E3FFE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D9E2F3"/>
            <w:noWrap/>
            <w:vAlign w:val="center"/>
            <w:hideMark/>
          </w:tcPr>
          <w:p w14:paraId="4DDC094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97%</w:t>
            </w:r>
          </w:p>
        </w:tc>
        <w:tc>
          <w:tcPr>
            <w:tcW w:w="399" w:type="pct"/>
            <w:tcBorders>
              <w:top w:val="nil"/>
              <w:left w:val="nil"/>
              <w:bottom w:val="single" w:sz="4" w:space="0" w:color="auto"/>
              <w:right w:val="single" w:sz="4" w:space="0" w:color="auto"/>
            </w:tcBorders>
            <w:shd w:val="clear" w:color="000000" w:fill="D9E2F3"/>
            <w:noWrap/>
            <w:vAlign w:val="center"/>
            <w:hideMark/>
          </w:tcPr>
          <w:p w14:paraId="0D5C6E3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D9E2F3"/>
            <w:noWrap/>
            <w:vAlign w:val="center"/>
            <w:hideMark/>
          </w:tcPr>
          <w:p w14:paraId="2DFC044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2F3"/>
            <w:noWrap/>
            <w:vAlign w:val="center"/>
            <w:hideMark/>
          </w:tcPr>
          <w:p w14:paraId="383CCD4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c>
          <w:tcPr>
            <w:tcW w:w="471" w:type="pct"/>
            <w:tcBorders>
              <w:top w:val="nil"/>
              <w:left w:val="nil"/>
              <w:bottom w:val="single" w:sz="4" w:space="0" w:color="auto"/>
              <w:right w:val="single" w:sz="4" w:space="0" w:color="auto"/>
            </w:tcBorders>
            <w:shd w:val="clear" w:color="000000" w:fill="D9E2F3"/>
            <w:noWrap/>
            <w:vAlign w:val="center"/>
            <w:hideMark/>
          </w:tcPr>
          <w:p w14:paraId="0F9C844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D9E2F3"/>
            <w:noWrap/>
            <w:vAlign w:val="center"/>
            <w:hideMark/>
          </w:tcPr>
          <w:p w14:paraId="028A421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2F3"/>
            <w:noWrap/>
            <w:vAlign w:val="center"/>
            <w:hideMark/>
          </w:tcPr>
          <w:p w14:paraId="0D16916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r>
      <w:tr w:rsidR="00AD27AF" w:rsidRPr="00216251" w14:paraId="39375F55" w14:textId="77777777" w:rsidTr="00C97C03">
        <w:trPr>
          <w:trHeight w:val="300"/>
        </w:trPr>
        <w:tc>
          <w:tcPr>
            <w:tcW w:w="1517" w:type="pct"/>
            <w:tcBorders>
              <w:top w:val="nil"/>
              <w:left w:val="nil"/>
              <w:bottom w:val="nil"/>
              <w:right w:val="nil"/>
            </w:tcBorders>
            <w:shd w:val="clear" w:color="000000" w:fill="B4C6E7"/>
            <w:noWrap/>
            <w:vAlign w:val="center"/>
            <w:hideMark/>
          </w:tcPr>
          <w:p w14:paraId="6399F559"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 </w:t>
            </w:r>
          </w:p>
        </w:tc>
        <w:tc>
          <w:tcPr>
            <w:tcW w:w="437" w:type="pct"/>
            <w:tcBorders>
              <w:top w:val="nil"/>
              <w:left w:val="nil"/>
              <w:bottom w:val="nil"/>
              <w:right w:val="nil"/>
            </w:tcBorders>
            <w:shd w:val="clear" w:color="000000" w:fill="FFFFFF"/>
            <w:noWrap/>
            <w:vAlign w:val="center"/>
            <w:hideMark/>
          </w:tcPr>
          <w:p w14:paraId="2466527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437" w:type="pct"/>
            <w:tcBorders>
              <w:top w:val="nil"/>
              <w:left w:val="nil"/>
              <w:bottom w:val="nil"/>
              <w:right w:val="nil"/>
            </w:tcBorders>
            <w:shd w:val="clear" w:color="000000" w:fill="FFFFFF"/>
            <w:noWrap/>
            <w:vAlign w:val="center"/>
            <w:hideMark/>
          </w:tcPr>
          <w:p w14:paraId="04757D3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399" w:type="pct"/>
            <w:tcBorders>
              <w:top w:val="nil"/>
              <w:left w:val="nil"/>
              <w:bottom w:val="nil"/>
              <w:right w:val="nil"/>
            </w:tcBorders>
            <w:shd w:val="clear" w:color="000000" w:fill="FFFFFF"/>
            <w:noWrap/>
            <w:vAlign w:val="center"/>
            <w:hideMark/>
          </w:tcPr>
          <w:p w14:paraId="2A524BE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399" w:type="pct"/>
            <w:tcBorders>
              <w:top w:val="nil"/>
              <w:left w:val="nil"/>
              <w:bottom w:val="nil"/>
              <w:right w:val="nil"/>
            </w:tcBorders>
            <w:shd w:val="clear" w:color="000000" w:fill="FFFFFF"/>
            <w:noWrap/>
            <w:vAlign w:val="center"/>
            <w:hideMark/>
          </w:tcPr>
          <w:p w14:paraId="3235AB7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399" w:type="pct"/>
            <w:tcBorders>
              <w:top w:val="nil"/>
              <w:left w:val="nil"/>
              <w:bottom w:val="nil"/>
              <w:right w:val="nil"/>
            </w:tcBorders>
            <w:shd w:val="clear" w:color="000000" w:fill="FFFFFF"/>
            <w:noWrap/>
            <w:vAlign w:val="center"/>
            <w:hideMark/>
          </w:tcPr>
          <w:p w14:paraId="5000AF7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471" w:type="pct"/>
            <w:tcBorders>
              <w:top w:val="nil"/>
              <w:left w:val="nil"/>
              <w:bottom w:val="nil"/>
              <w:right w:val="nil"/>
            </w:tcBorders>
            <w:shd w:val="clear" w:color="000000" w:fill="FFFFFF"/>
            <w:noWrap/>
            <w:vAlign w:val="center"/>
            <w:hideMark/>
          </w:tcPr>
          <w:p w14:paraId="4557D53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471" w:type="pct"/>
            <w:tcBorders>
              <w:top w:val="nil"/>
              <w:left w:val="nil"/>
              <w:bottom w:val="nil"/>
              <w:right w:val="nil"/>
            </w:tcBorders>
            <w:shd w:val="clear" w:color="000000" w:fill="FFFFFF"/>
            <w:noWrap/>
            <w:vAlign w:val="center"/>
            <w:hideMark/>
          </w:tcPr>
          <w:p w14:paraId="559ADA1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471" w:type="pct"/>
            <w:tcBorders>
              <w:top w:val="nil"/>
              <w:left w:val="nil"/>
              <w:bottom w:val="nil"/>
              <w:right w:val="nil"/>
            </w:tcBorders>
            <w:shd w:val="clear" w:color="000000" w:fill="FFFFFF"/>
            <w:noWrap/>
            <w:vAlign w:val="center"/>
            <w:hideMark/>
          </w:tcPr>
          <w:p w14:paraId="30AEB3E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r>
      <w:tr w:rsidR="00AD27AF" w:rsidRPr="00216251" w14:paraId="6E68989C"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1C511A3F"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 xml:space="preserve">Georgia Combined </w:t>
            </w:r>
          </w:p>
        </w:tc>
      </w:tr>
      <w:tr w:rsidR="00AD27AF" w:rsidRPr="00216251" w14:paraId="467FAC2B"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3DB37B94"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2998AD9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6149397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512FB8B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2ECD4C4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14F4CBF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0E4179BB"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00E7BAD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54F7EE5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3E433C1D"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AFCB8C7"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3C4964E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37" w:type="pct"/>
            <w:tcBorders>
              <w:top w:val="nil"/>
              <w:left w:val="nil"/>
              <w:bottom w:val="single" w:sz="4" w:space="0" w:color="auto"/>
              <w:right w:val="single" w:sz="4" w:space="0" w:color="auto"/>
            </w:tcBorders>
            <w:shd w:val="clear" w:color="000000" w:fill="FFFFFF"/>
            <w:noWrap/>
            <w:vAlign w:val="center"/>
            <w:hideMark/>
          </w:tcPr>
          <w:p w14:paraId="66B033F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399" w:type="pct"/>
            <w:tcBorders>
              <w:top w:val="nil"/>
              <w:left w:val="nil"/>
              <w:bottom w:val="single" w:sz="4" w:space="0" w:color="auto"/>
              <w:right w:val="single" w:sz="4" w:space="0" w:color="auto"/>
            </w:tcBorders>
            <w:shd w:val="clear" w:color="000000" w:fill="FFFFFF"/>
            <w:noWrap/>
            <w:vAlign w:val="center"/>
            <w:hideMark/>
          </w:tcPr>
          <w:p w14:paraId="10C5E92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138EBBB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65C40B9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29%</w:t>
            </w:r>
          </w:p>
        </w:tc>
        <w:tc>
          <w:tcPr>
            <w:tcW w:w="471" w:type="pct"/>
            <w:tcBorders>
              <w:top w:val="nil"/>
              <w:left w:val="nil"/>
              <w:bottom w:val="single" w:sz="4" w:space="0" w:color="auto"/>
              <w:right w:val="single" w:sz="4" w:space="0" w:color="auto"/>
            </w:tcBorders>
            <w:shd w:val="clear" w:color="000000" w:fill="FFFFFF"/>
            <w:noWrap/>
            <w:vAlign w:val="center"/>
            <w:hideMark/>
          </w:tcPr>
          <w:p w14:paraId="2CFD447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0B398F2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3A35D54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35911A55"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465F708"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D9E1F2"/>
            <w:noWrap/>
            <w:vAlign w:val="center"/>
            <w:hideMark/>
          </w:tcPr>
          <w:p w14:paraId="46C2C73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37" w:type="pct"/>
            <w:tcBorders>
              <w:top w:val="nil"/>
              <w:left w:val="nil"/>
              <w:bottom w:val="single" w:sz="4" w:space="0" w:color="auto"/>
              <w:right w:val="single" w:sz="4" w:space="0" w:color="auto"/>
            </w:tcBorders>
            <w:shd w:val="clear" w:color="000000" w:fill="D9E1F2"/>
            <w:noWrap/>
            <w:vAlign w:val="center"/>
            <w:hideMark/>
          </w:tcPr>
          <w:p w14:paraId="39619CF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42%</w:t>
            </w:r>
          </w:p>
        </w:tc>
        <w:tc>
          <w:tcPr>
            <w:tcW w:w="399" w:type="pct"/>
            <w:tcBorders>
              <w:top w:val="nil"/>
              <w:left w:val="nil"/>
              <w:bottom w:val="single" w:sz="4" w:space="0" w:color="auto"/>
              <w:right w:val="single" w:sz="4" w:space="0" w:color="auto"/>
            </w:tcBorders>
            <w:shd w:val="clear" w:color="000000" w:fill="D9E1F2"/>
            <w:noWrap/>
            <w:vAlign w:val="center"/>
            <w:hideMark/>
          </w:tcPr>
          <w:p w14:paraId="70CF7F9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D9E1F2"/>
            <w:noWrap/>
            <w:vAlign w:val="center"/>
            <w:hideMark/>
          </w:tcPr>
          <w:p w14:paraId="635F28E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1F2"/>
            <w:noWrap/>
            <w:vAlign w:val="center"/>
            <w:hideMark/>
          </w:tcPr>
          <w:p w14:paraId="54B1571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17%</w:t>
            </w:r>
          </w:p>
        </w:tc>
        <w:tc>
          <w:tcPr>
            <w:tcW w:w="471" w:type="pct"/>
            <w:tcBorders>
              <w:top w:val="nil"/>
              <w:left w:val="nil"/>
              <w:bottom w:val="single" w:sz="4" w:space="0" w:color="auto"/>
              <w:right w:val="single" w:sz="4" w:space="0" w:color="auto"/>
            </w:tcBorders>
            <w:shd w:val="clear" w:color="000000" w:fill="D9E1F2"/>
            <w:noWrap/>
            <w:vAlign w:val="center"/>
            <w:hideMark/>
          </w:tcPr>
          <w:p w14:paraId="3268305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6213E2B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2FED16D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002D292B" w14:textId="77777777" w:rsidTr="00C97C03">
        <w:trPr>
          <w:trHeight w:val="300"/>
        </w:trPr>
        <w:tc>
          <w:tcPr>
            <w:tcW w:w="1517" w:type="pct"/>
            <w:tcBorders>
              <w:top w:val="nil"/>
              <w:left w:val="nil"/>
              <w:bottom w:val="nil"/>
              <w:right w:val="nil"/>
            </w:tcBorders>
            <w:shd w:val="clear" w:color="auto" w:fill="auto"/>
            <w:noWrap/>
            <w:vAlign w:val="bottom"/>
            <w:hideMark/>
          </w:tcPr>
          <w:p w14:paraId="1AABF085"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5136D64A"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3FC7A2A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68B7F5B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7459B8BA"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3110BC9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6A1EF06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3FF95E3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5C9FF95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5B3A2760"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5F9110B0"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Guam</w:t>
            </w:r>
          </w:p>
        </w:tc>
      </w:tr>
      <w:tr w:rsidR="00AD27AF" w:rsidRPr="00216251" w14:paraId="5595BA88"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61056444"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26E46F1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24870F9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6C6DD0D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4BF1E92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1A8957C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21FA31E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16587FD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5C2D6C0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011A3572"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C21CE84"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67FC995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37" w:type="pct"/>
            <w:tcBorders>
              <w:top w:val="nil"/>
              <w:left w:val="nil"/>
              <w:bottom w:val="single" w:sz="4" w:space="0" w:color="auto"/>
              <w:right w:val="single" w:sz="4" w:space="0" w:color="auto"/>
            </w:tcBorders>
            <w:shd w:val="clear" w:color="000000" w:fill="FFFFFF"/>
            <w:noWrap/>
            <w:vAlign w:val="center"/>
            <w:hideMark/>
          </w:tcPr>
          <w:p w14:paraId="60943E8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61%</w:t>
            </w:r>
          </w:p>
        </w:tc>
        <w:tc>
          <w:tcPr>
            <w:tcW w:w="399" w:type="pct"/>
            <w:tcBorders>
              <w:top w:val="nil"/>
              <w:left w:val="nil"/>
              <w:bottom w:val="single" w:sz="4" w:space="0" w:color="auto"/>
              <w:right w:val="single" w:sz="4" w:space="0" w:color="auto"/>
            </w:tcBorders>
            <w:shd w:val="clear" w:color="000000" w:fill="FFFFFF"/>
            <w:noWrap/>
            <w:vAlign w:val="center"/>
            <w:hideMark/>
          </w:tcPr>
          <w:p w14:paraId="3230A92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0FD5EF4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1D49FDF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43%</w:t>
            </w:r>
          </w:p>
        </w:tc>
        <w:tc>
          <w:tcPr>
            <w:tcW w:w="471" w:type="pct"/>
            <w:tcBorders>
              <w:top w:val="nil"/>
              <w:left w:val="nil"/>
              <w:bottom w:val="single" w:sz="4" w:space="0" w:color="auto"/>
              <w:right w:val="single" w:sz="4" w:space="0" w:color="auto"/>
            </w:tcBorders>
            <w:shd w:val="clear" w:color="000000" w:fill="FFFFFF"/>
            <w:noWrap/>
            <w:vAlign w:val="center"/>
            <w:hideMark/>
          </w:tcPr>
          <w:p w14:paraId="3A9FDD6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21FD332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09A103C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r>
      <w:tr w:rsidR="00AD27AF" w:rsidRPr="00216251" w14:paraId="2E1A7C67" w14:textId="77777777" w:rsidTr="00C97C03">
        <w:trPr>
          <w:trHeight w:val="300"/>
        </w:trPr>
        <w:tc>
          <w:tcPr>
            <w:tcW w:w="1517" w:type="pct"/>
            <w:tcBorders>
              <w:top w:val="nil"/>
              <w:left w:val="nil"/>
              <w:bottom w:val="nil"/>
              <w:right w:val="nil"/>
            </w:tcBorders>
            <w:shd w:val="clear" w:color="auto" w:fill="auto"/>
            <w:noWrap/>
            <w:vAlign w:val="bottom"/>
            <w:hideMark/>
          </w:tcPr>
          <w:p w14:paraId="65811594"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2425AD54"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5477374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7C9138E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6A40A4A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4CFA418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37B00F10"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783EB5C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8D13CE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6C28AF88"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49235961"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Hawaii Combined</w:t>
            </w:r>
          </w:p>
        </w:tc>
      </w:tr>
      <w:tr w:rsidR="00AD27AF" w:rsidRPr="00216251" w14:paraId="119ED454"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6FE2F7AE"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7144B10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7348BCF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48859AE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48948E0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06194A8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134E034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32E07E8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6962E2A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5593C509"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154446F3"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7762A71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37" w:type="pct"/>
            <w:tcBorders>
              <w:top w:val="nil"/>
              <w:left w:val="nil"/>
              <w:bottom w:val="single" w:sz="4" w:space="0" w:color="auto"/>
              <w:right w:val="single" w:sz="4" w:space="0" w:color="auto"/>
            </w:tcBorders>
            <w:shd w:val="clear" w:color="000000" w:fill="FFFFFF"/>
            <w:noWrap/>
            <w:vAlign w:val="center"/>
            <w:hideMark/>
          </w:tcPr>
          <w:p w14:paraId="1EB16D9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17C5BE9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FFFFFF"/>
            <w:noWrap/>
            <w:vAlign w:val="center"/>
            <w:hideMark/>
          </w:tcPr>
          <w:p w14:paraId="182CF84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FFFFFF"/>
            <w:noWrap/>
            <w:vAlign w:val="center"/>
            <w:hideMark/>
          </w:tcPr>
          <w:p w14:paraId="103C89D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7D80C7B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507B4DD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2566032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r>
      <w:tr w:rsidR="00AD27AF" w:rsidRPr="00216251" w14:paraId="679C3554"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0FACA4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Section 511</w:t>
            </w:r>
          </w:p>
        </w:tc>
        <w:tc>
          <w:tcPr>
            <w:tcW w:w="437" w:type="pct"/>
            <w:tcBorders>
              <w:top w:val="nil"/>
              <w:left w:val="nil"/>
              <w:bottom w:val="single" w:sz="4" w:space="0" w:color="auto"/>
              <w:right w:val="single" w:sz="4" w:space="0" w:color="auto"/>
            </w:tcBorders>
            <w:shd w:val="clear" w:color="000000" w:fill="D9E2F3"/>
            <w:noWrap/>
            <w:vAlign w:val="center"/>
            <w:hideMark/>
          </w:tcPr>
          <w:p w14:paraId="502DED3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D9E2F3"/>
            <w:noWrap/>
            <w:vAlign w:val="center"/>
            <w:hideMark/>
          </w:tcPr>
          <w:p w14:paraId="0CF31DE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2F3"/>
            <w:noWrap/>
            <w:vAlign w:val="center"/>
            <w:hideMark/>
          </w:tcPr>
          <w:p w14:paraId="65CEA0C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2F3"/>
            <w:noWrap/>
            <w:vAlign w:val="center"/>
            <w:hideMark/>
          </w:tcPr>
          <w:p w14:paraId="42FAA9D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2F3"/>
            <w:noWrap/>
            <w:vAlign w:val="center"/>
            <w:hideMark/>
          </w:tcPr>
          <w:p w14:paraId="2551814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2F3"/>
            <w:noWrap/>
            <w:vAlign w:val="center"/>
            <w:hideMark/>
          </w:tcPr>
          <w:p w14:paraId="42D87BA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2F3"/>
            <w:noWrap/>
            <w:vAlign w:val="center"/>
            <w:hideMark/>
          </w:tcPr>
          <w:p w14:paraId="060C4B6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2F3"/>
            <w:noWrap/>
            <w:vAlign w:val="center"/>
            <w:hideMark/>
          </w:tcPr>
          <w:p w14:paraId="20B5557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029987C9"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EB6D0D2"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FFFFFF"/>
            <w:noWrap/>
            <w:vAlign w:val="center"/>
            <w:hideMark/>
          </w:tcPr>
          <w:p w14:paraId="76760B6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FFFFFF"/>
            <w:noWrap/>
            <w:vAlign w:val="center"/>
            <w:hideMark/>
          </w:tcPr>
          <w:p w14:paraId="29A0B68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90%</w:t>
            </w:r>
          </w:p>
        </w:tc>
        <w:tc>
          <w:tcPr>
            <w:tcW w:w="399" w:type="pct"/>
            <w:tcBorders>
              <w:top w:val="nil"/>
              <w:left w:val="nil"/>
              <w:bottom w:val="single" w:sz="4" w:space="0" w:color="auto"/>
              <w:right w:val="single" w:sz="4" w:space="0" w:color="auto"/>
            </w:tcBorders>
            <w:shd w:val="clear" w:color="000000" w:fill="FFFFFF"/>
            <w:noWrap/>
            <w:vAlign w:val="center"/>
            <w:hideMark/>
          </w:tcPr>
          <w:p w14:paraId="15881F5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2227C1A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FFFFFF"/>
            <w:noWrap/>
            <w:vAlign w:val="center"/>
            <w:hideMark/>
          </w:tcPr>
          <w:p w14:paraId="6A3BC94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12A489F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4D4CDFC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1930DCF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r>
      <w:tr w:rsidR="00AD27AF" w:rsidRPr="00216251" w14:paraId="018269E1"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6FAE942"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D9E2F3"/>
            <w:noWrap/>
            <w:vAlign w:val="center"/>
            <w:hideMark/>
          </w:tcPr>
          <w:p w14:paraId="72D36E8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D9E2F3"/>
            <w:noWrap/>
            <w:vAlign w:val="center"/>
            <w:hideMark/>
          </w:tcPr>
          <w:p w14:paraId="3443406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69%</w:t>
            </w:r>
          </w:p>
        </w:tc>
        <w:tc>
          <w:tcPr>
            <w:tcW w:w="399" w:type="pct"/>
            <w:tcBorders>
              <w:top w:val="nil"/>
              <w:left w:val="nil"/>
              <w:bottom w:val="single" w:sz="4" w:space="0" w:color="auto"/>
              <w:right w:val="single" w:sz="4" w:space="0" w:color="auto"/>
            </w:tcBorders>
            <w:shd w:val="clear" w:color="000000" w:fill="D9E2F3"/>
            <w:noWrap/>
            <w:vAlign w:val="center"/>
            <w:hideMark/>
          </w:tcPr>
          <w:p w14:paraId="130B6F4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D9E2F3"/>
            <w:noWrap/>
            <w:vAlign w:val="center"/>
            <w:hideMark/>
          </w:tcPr>
          <w:p w14:paraId="38B92D9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2F3"/>
            <w:noWrap/>
            <w:vAlign w:val="center"/>
            <w:hideMark/>
          </w:tcPr>
          <w:p w14:paraId="3317E80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471" w:type="pct"/>
            <w:tcBorders>
              <w:top w:val="nil"/>
              <w:left w:val="nil"/>
              <w:bottom w:val="single" w:sz="4" w:space="0" w:color="auto"/>
              <w:right w:val="single" w:sz="4" w:space="0" w:color="auto"/>
            </w:tcBorders>
            <w:shd w:val="clear" w:color="000000" w:fill="D9E2F3"/>
            <w:noWrap/>
            <w:vAlign w:val="center"/>
            <w:hideMark/>
          </w:tcPr>
          <w:p w14:paraId="372D486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2F3"/>
            <w:noWrap/>
            <w:vAlign w:val="center"/>
            <w:hideMark/>
          </w:tcPr>
          <w:p w14:paraId="5F3EAA6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2F3"/>
            <w:noWrap/>
            <w:vAlign w:val="center"/>
            <w:hideMark/>
          </w:tcPr>
          <w:p w14:paraId="021BD9E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332E1754"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32487C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Supported Employment</w:t>
            </w:r>
          </w:p>
        </w:tc>
        <w:tc>
          <w:tcPr>
            <w:tcW w:w="437" w:type="pct"/>
            <w:tcBorders>
              <w:top w:val="nil"/>
              <w:left w:val="nil"/>
              <w:bottom w:val="single" w:sz="4" w:space="0" w:color="auto"/>
              <w:right w:val="single" w:sz="4" w:space="0" w:color="auto"/>
            </w:tcBorders>
            <w:shd w:val="clear" w:color="000000" w:fill="FFFFFF"/>
            <w:noWrap/>
            <w:vAlign w:val="center"/>
            <w:hideMark/>
          </w:tcPr>
          <w:p w14:paraId="2B78A54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FFFFFF"/>
            <w:noWrap/>
            <w:vAlign w:val="center"/>
            <w:hideMark/>
          </w:tcPr>
          <w:p w14:paraId="4E68E43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90%</w:t>
            </w:r>
          </w:p>
        </w:tc>
        <w:tc>
          <w:tcPr>
            <w:tcW w:w="399" w:type="pct"/>
            <w:tcBorders>
              <w:top w:val="nil"/>
              <w:left w:val="nil"/>
              <w:bottom w:val="single" w:sz="4" w:space="0" w:color="auto"/>
              <w:right w:val="single" w:sz="4" w:space="0" w:color="auto"/>
            </w:tcBorders>
            <w:shd w:val="clear" w:color="000000" w:fill="FFFFFF"/>
            <w:noWrap/>
            <w:vAlign w:val="center"/>
            <w:hideMark/>
          </w:tcPr>
          <w:p w14:paraId="29083C6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3C022DE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FFFFFF"/>
            <w:noWrap/>
            <w:vAlign w:val="center"/>
            <w:hideMark/>
          </w:tcPr>
          <w:p w14:paraId="3AA80C1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5BE50DB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7D4C489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7289FFF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7B72F18C" w14:textId="77777777" w:rsidTr="00C97C03">
        <w:trPr>
          <w:trHeight w:val="300"/>
        </w:trPr>
        <w:tc>
          <w:tcPr>
            <w:tcW w:w="1517" w:type="pct"/>
            <w:tcBorders>
              <w:top w:val="nil"/>
              <w:left w:val="nil"/>
              <w:bottom w:val="nil"/>
              <w:right w:val="nil"/>
            </w:tcBorders>
            <w:shd w:val="clear" w:color="auto" w:fill="auto"/>
            <w:noWrap/>
            <w:vAlign w:val="bottom"/>
            <w:hideMark/>
          </w:tcPr>
          <w:p w14:paraId="0A41AE96"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14D36565"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0CE59050"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5DDDFE84"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879E34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6711B02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2CA098D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28138E6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14ABE4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1B4B4EC0"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3A991CE"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lastRenderedPageBreak/>
              <w:t>Idaho General</w:t>
            </w:r>
          </w:p>
        </w:tc>
      </w:tr>
      <w:tr w:rsidR="00AD27AF" w:rsidRPr="00216251" w14:paraId="51B7221E"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3318D718"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5B00882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3E7481E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16A97D0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7F2E28C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28DFD6E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2E43353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635CDFF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7D08B28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6CDCCD9A"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79A4B0A3"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Section 511</w:t>
            </w:r>
          </w:p>
        </w:tc>
        <w:tc>
          <w:tcPr>
            <w:tcW w:w="437" w:type="pct"/>
            <w:tcBorders>
              <w:top w:val="nil"/>
              <w:left w:val="nil"/>
              <w:bottom w:val="single" w:sz="4" w:space="0" w:color="auto"/>
              <w:right w:val="single" w:sz="4" w:space="0" w:color="auto"/>
            </w:tcBorders>
            <w:shd w:val="clear" w:color="000000" w:fill="FFFFFF"/>
            <w:noWrap/>
            <w:vAlign w:val="center"/>
            <w:hideMark/>
          </w:tcPr>
          <w:p w14:paraId="3E1951F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FFFFFF"/>
            <w:noWrap/>
            <w:vAlign w:val="center"/>
            <w:hideMark/>
          </w:tcPr>
          <w:p w14:paraId="6C69D77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337C5B5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44C98B9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02FD48B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49DC8AE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2CC9664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4565C90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3E567B88"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DC88D85"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D9E2F3"/>
            <w:noWrap/>
            <w:vAlign w:val="center"/>
            <w:hideMark/>
          </w:tcPr>
          <w:p w14:paraId="41EA1BD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D9E2F3"/>
            <w:noWrap/>
            <w:vAlign w:val="center"/>
            <w:hideMark/>
          </w:tcPr>
          <w:p w14:paraId="4D3A7F3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66%</w:t>
            </w:r>
          </w:p>
        </w:tc>
        <w:tc>
          <w:tcPr>
            <w:tcW w:w="399" w:type="pct"/>
            <w:tcBorders>
              <w:top w:val="nil"/>
              <w:left w:val="nil"/>
              <w:bottom w:val="single" w:sz="4" w:space="0" w:color="auto"/>
              <w:right w:val="single" w:sz="4" w:space="0" w:color="auto"/>
            </w:tcBorders>
            <w:shd w:val="clear" w:color="000000" w:fill="D9E2F3"/>
            <w:noWrap/>
            <w:vAlign w:val="center"/>
            <w:hideMark/>
          </w:tcPr>
          <w:p w14:paraId="58301E3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D9E2F3"/>
            <w:noWrap/>
            <w:vAlign w:val="center"/>
            <w:hideMark/>
          </w:tcPr>
          <w:p w14:paraId="4904737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2F3"/>
            <w:noWrap/>
            <w:vAlign w:val="center"/>
            <w:hideMark/>
          </w:tcPr>
          <w:p w14:paraId="4ACE27E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c>
          <w:tcPr>
            <w:tcW w:w="471" w:type="pct"/>
            <w:tcBorders>
              <w:top w:val="nil"/>
              <w:left w:val="nil"/>
              <w:bottom w:val="single" w:sz="4" w:space="0" w:color="auto"/>
              <w:right w:val="single" w:sz="4" w:space="0" w:color="auto"/>
            </w:tcBorders>
            <w:shd w:val="clear" w:color="000000" w:fill="D9E2F3"/>
            <w:noWrap/>
            <w:vAlign w:val="center"/>
            <w:hideMark/>
          </w:tcPr>
          <w:p w14:paraId="61DE491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2F3"/>
            <w:noWrap/>
            <w:vAlign w:val="center"/>
            <w:hideMark/>
          </w:tcPr>
          <w:p w14:paraId="27A71F0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2F3"/>
            <w:noWrap/>
            <w:vAlign w:val="center"/>
            <w:hideMark/>
          </w:tcPr>
          <w:p w14:paraId="515ED67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2118F790"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16CDE44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Customized Employment</w:t>
            </w:r>
          </w:p>
        </w:tc>
        <w:tc>
          <w:tcPr>
            <w:tcW w:w="437" w:type="pct"/>
            <w:tcBorders>
              <w:top w:val="nil"/>
              <w:left w:val="nil"/>
              <w:bottom w:val="single" w:sz="4" w:space="0" w:color="auto"/>
              <w:right w:val="single" w:sz="4" w:space="0" w:color="auto"/>
            </w:tcBorders>
            <w:shd w:val="clear" w:color="000000" w:fill="FFFFFF"/>
            <w:noWrap/>
            <w:vAlign w:val="center"/>
            <w:hideMark/>
          </w:tcPr>
          <w:p w14:paraId="73BA4EE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437" w:type="pct"/>
            <w:tcBorders>
              <w:top w:val="nil"/>
              <w:left w:val="nil"/>
              <w:bottom w:val="single" w:sz="4" w:space="0" w:color="auto"/>
              <w:right w:val="single" w:sz="4" w:space="0" w:color="auto"/>
            </w:tcBorders>
            <w:shd w:val="clear" w:color="000000" w:fill="FFFFFF"/>
            <w:noWrap/>
            <w:vAlign w:val="center"/>
            <w:hideMark/>
          </w:tcPr>
          <w:p w14:paraId="4D71E41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97%</w:t>
            </w:r>
          </w:p>
        </w:tc>
        <w:tc>
          <w:tcPr>
            <w:tcW w:w="399" w:type="pct"/>
            <w:tcBorders>
              <w:top w:val="nil"/>
              <w:left w:val="nil"/>
              <w:bottom w:val="single" w:sz="4" w:space="0" w:color="auto"/>
              <w:right w:val="single" w:sz="4" w:space="0" w:color="auto"/>
            </w:tcBorders>
            <w:shd w:val="clear" w:color="000000" w:fill="FFFFFF"/>
            <w:noWrap/>
            <w:vAlign w:val="center"/>
            <w:hideMark/>
          </w:tcPr>
          <w:p w14:paraId="2547F6B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399" w:type="pct"/>
            <w:tcBorders>
              <w:top w:val="nil"/>
              <w:left w:val="nil"/>
              <w:bottom w:val="single" w:sz="4" w:space="0" w:color="auto"/>
              <w:right w:val="single" w:sz="4" w:space="0" w:color="auto"/>
            </w:tcBorders>
            <w:shd w:val="clear" w:color="000000" w:fill="FFFFFF"/>
            <w:noWrap/>
            <w:vAlign w:val="center"/>
            <w:hideMark/>
          </w:tcPr>
          <w:p w14:paraId="54CF777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362796B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88%</w:t>
            </w:r>
          </w:p>
        </w:tc>
        <w:tc>
          <w:tcPr>
            <w:tcW w:w="471" w:type="pct"/>
            <w:tcBorders>
              <w:top w:val="nil"/>
              <w:left w:val="nil"/>
              <w:bottom w:val="single" w:sz="4" w:space="0" w:color="auto"/>
              <w:right w:val="single" w:sz="4" w:space="0" w:color="auto"/>
            </w:tcBorders>
            <w:shd w:val="clear" w:color="000000" w:fill="FFFFFF"/>
            <w:noWrap/>
            <w:vAlign w:val="center"/>
            <w:hideMark/>
          </w:tcPr>
          <w:p w14:paraId="27CD5C3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71" w:type="pct"/>
            <w:tcBorders>
              <w:top w:val="nil"/>
              <w:left w:val="nil"/>
              <w:bottom w:val="single" w:sz="4" w:space="0" w:color="auto"/>
              <w:right w:val="single" w:sz="4" w:space="0" w:color="auto"/>
            </w:tcBorders>
            <w:shd w:val="clear" w:color="000000" w:fill="FFFFFF"/>
            <w:noWrap/>
            <w:vAlign w:val="center"/>
            <w:hideMark/>
          </w:tcPr>
          <w:p w14:paraId="0C58A31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3F75B12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17%</w:t>
            </w:r>
          </w:p>
        </w:tc>
      </w:tr>
      <w:tr w:rsidR="00AD27AF" w:rsidRPr="00216251" w14:paraId="0F543703" w14:textId="77777777" w:rsidTr="00C97C03">
        <w:trPr>
          <w:trHeight w:val="300"/>
        </w:trPr>
        <w:tc>
          <w:tcPr>
            <w:tcW w:w="1517" w:type="pct"/>
            <w:tcBorders>
              <w:top w:val="nil"/>
              <w:left w:val="nil"/>
              <w:bottom w:val="nil"/>
              <w:right w:val="nil"/>
            </w:tcBorders>
            <w:shd w:val="clear" w:color="auto" w:fill="auto"/>
            <w:noWrap/>
            <w:vAlign w:val="bottom"/>
            <w:hideMark/>
          </w:tcPr>
          <w:p w14:paraId="55DE081B"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41E9E7DF"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45713DB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45957F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28F96D0"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999705F"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7E78B8EF"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785BB38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7102B12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2216800A"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2CCF26F6"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Indiana Combined</w:t>
            </w:r>
          </w:p>
        </w:tc>
      </w:tr>
      <w:tr w:rsidR="00AD27AF" w:rsidRPr="00216251" w14:paraId="5DA0D3AD"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543ABCD9"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6C6BBA0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7BCC9FA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7415559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71810A7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7E7B999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66C0741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0032C41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369A6EF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19FC94BB"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7DE56E0F"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65BC29F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37" w:type="pct"/>
            <w:tcBorders>
              <w:top w:val="nil"/>
              <w:left w:val="nil"/>
              <w:bottom w:val="single" w:sz="4" w:space="0" w:color="auto"/>
              <w:right w:val="single" w:sz="4" w:space="0" w:color="auto"/>
            </w:tcBorders>
            <w:shd w:val="clear" w:color="000000" w:fill="FFFFFF"/>
            <w:noWrap/>
            <w:vAlign w:val="center"/>
            <w:hideMark/>
          </w:tcPr>
          <w:p w14:paraId="7EA2AD9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41EA50E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FFFFFF"/>
            <w:noWrap/>
            <w:vAlign w:val="center"/>
            <w:hideMark/>
          </w:tcPr>
          <w:p w14:paraId="552F4A4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FFFFFF"/>
            <w:noWrap/>
            <w:vAlign w:val="center"/>
            <w:hideMark/>
          </w:tcPr>
          <w:p w14:paraId="12411F6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675F2A5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48E8C0C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24382BF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r>
      <w:tr w:rsidR="00AD27AF" w:rsidRPr="00216251" w14:paraId="11CDAA24"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9E27B2A"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D9E1F2"/>
            <w:noWrap/>
            <w:vAlign w:val="center"/>
            <w:hideMark/>
          </w:tcPr>
          <w:p w14:paraId="509BBAB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D9E1F2"/>
            <w:noWrap/>
            <w:vAlign w:val="center"/>
            <w:hideMark/>
          </w:tcPr>
          <w:p w14:paraId="0156209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69%</w:t>
            </w:r>
          </w:p>
        </w:tc>
        <w:tc>
          <w:tcPr>
            <w:tcW w:w="399" w:type="pct"/>
            <w:tcBorders>
              <w:top w:val="nil"/>
              <w:left w:val="nil"/>
              <w:bottom w:val="single" w:sz="4" w:space="0" w:color="auto"/>
              <w:right w:val="single" w:sz="4" w:space="0" w:color="auto"/>
            </w:tcBorders>
            <w:shd w:val="clear" w:color="000000" w:fill="D9E1F2"/>
            <w:noWrap/>
            <w:vAlign w:val="center"/>
            <w:hideMark/>
          </w:tcPr>
          <w:p w14:paraId="602D509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D9E1F2"/>
            <w:noWrap/>
            <w:vAlign w:val="center"/>
            <w:hideMark/>
          </w:tcPr>
          <w:p w14:paraId="4578B35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1F2"/>
            <w:noWrap/>
            <w:vAlign w:val="center"/>
            <w:hideMark/>
          </w:tcPr>
          <w:p w14:paraId="42855F7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c>
          <w:tcPr>
            <w:tcW w:w="471" w:type="pct"/>
            <w:tcBorders>
              <w:top w:val="nil"/>
              <w:left w:val="nil"/>
              <w:bottom w:val="single" w:sz="4" w:space="0" w:color="auto"/>
              <w:right w:val="single" w:sz="4" w:space="0" w:color="auto"/>
            </w:tcBorders>
            <w:shd w:val="clear" w:color="000000" w:fill="D9E1F2"/>
            <w:noWrap/>
            <w:vAlign w:val="center"/>
            <w:hideMark/>
          </w:tcPr>
          <w:p w14:paraId="11ACDF1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2FF6E39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2D863C8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0411EC08" w14:textId="77777777" w:rsidTr="00C97C03">
        <w:trPr>
          <w:trHeight w:val="300"/>
        </w:trPr>
        <w:tc>
          <w:tcPr>
            <w:tcW w:w="1517" w:type="pct"/>
            <w:tcBorders>
              <w:top w:val="nil"/>
              <w:left w:val="nil"/>
              <w:bottom w:val="single" w:sz="4" w:space="0" w:color="auto"/>
              <w:right w:val="nil"/>
            </w:tcBorders>
            <w:shd w:val="clear" w:color="auto" w:fill="auto"/>
            <w:noWrap/>
            <w:vAlign w:val="center"/>
            <w:hideMark/>
          </w:tcPr>
          <w:p w14:paraId="1A04F468"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 </w:t>
            </w:r>
          </w:p>
        </w:tc>
        <w:tc>
          <w:tcPr>
            <w:tcW w:w="437" w:type="pct"/>
            <w:tcBorders>
              <w:top w:val="nil"/>
              <w:left w:val="nil"/>
              <w:bottom w:val="single" w:sz="4" w:space="0" w:color="auto"/>
              <w:right w:val="nil"/>
            </w:tcBorders>
            <w:shd w:val="clear" w:color="000000" w:fill="FFFFFF"/>
            <w:noWrap/>
            <w:vAlign w:val="center"/>
            <w:hideMark/>
          </w:tcPr>
          <w:p w14:paraId="4B20FEA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437" w:type="pct"/>
            <w:tcBorders>
              <w:top w:val="nil"/>
              <w:left w:val="nil"/>
              <w:bottom w:val="single" w:sz="4" w:space="0" w:color="auto"/>
              <w:right w:val="nil"/>
            </w:tcBorders>
            <w:shd w:val="clear" w:color="000000" w:fill="FFFFFF"/>
            <w:noWrap/>
            <w:vAlign w:val="center"/>
            <w:hideMark/>
          </w:tcPr>
          <w:p w14:paraId="4BD5B0A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399" w:type="pct"/>
            <w:tcBorders>
              <w:top w:val="nil"/>
              <w:left w:val="nil"/>
              <w:bottom w:val="single" w:sz="4" w:space="0" w:color="auto"/>
              <w:right w:val="nil"/>
            </w:tcBorders>
            <w:shd w:val="clear" w:color="000000" w:fill="FFFFFF"/>
            <w:noWrap/>
            <w:vAlign w:val="center"/>
            <w:hideMark/>
          </w:tcPr>
          <w:p w14:paraId="5FE6865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399" w:type="pct"/>
            <w:tcBorders>
              <w:top w:val="nil"/>
              <w:left w:val="nil"/>
              <w:bottom w:val="single" w:sz="4" w:space="0" w:color="auto"/>
              <w:right w:val="nil"/>
            </w:tcBorders>
            <w:shd w:val="clear" w:color="000000" w:fill="FFFFFF"/>
            <w:noWrap/>
            <w:vAlign w:val="center"/>
            <w:hideMark/>
          </w:tcPr>
          <w:p w14:paraId="29BC1CE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399" w:type="pct"/>
            <w:tcBorders>
              <w:top w:val="nil"/>
              <w:left w:val="nil"/>
              <w:bottom w:val="single" w:sz="4" w:space="0" w:color="auto"/>
              <w:right w:val="nil"/>
            </w:tcBorders>
            <w:shd w:val="clear" w:color="000000" w:fill="FFFFFF"/>
            <w:noWrap/>
            <w:vAlign w:val="center"/>
            <w:hideMark/>
          </w:tcPr>
          <w:p w14:paraId="30AEBD3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471" w:type="pct"/>
            <w:tcBorders>
              <w:top w:val="nil"/>
              <w:left w:val="nil"/>
              <w:bottom w:val="single" w:sz="4" w:space="0" w:color="auto"/>
              <w:right w:val="nil"/>
            </w:tcBorders>
            <w:shd w:val="clear" w:color="000000" w:fill="FFFFFF"/>
            <w:noWrap/>
            <w:vAlign w:val="center"/>
            <w:hideMark/>
          </w:tcPr>
          <w:p w14:paraId="3A9CB56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471" w:type="pct"/>
            <w:tcBorders>
              <w:top w:val="nil"/>
              <w:left w:val="nil"/>
              <w:bottom w:val="single" w:sz="4" w:space="0" w:color="auto"/>
              <w:right w:val="nil"/>
            </w:tcBorders>
            <w:shd w:val="clear" w:color="000000" w:fill="FFFFFF"/>
            <w:noWrap/>
            <w:vAlign w:val="center"/>
            <w:hideMark/>
          </w:tcPr>
          <w:p w14:paraId="28E7F78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471" w:type="pct"/>
            <w:tcBorders>
              <w:top w:val="nil"/>
              <w:left w:val="nil"/>
              <w:bottom w:val="single" w:sz="4" w:space="0" w:color="auto"/>
              <w:right w:val="nil"/>
            </w:tcBorders>
            <w:shd w:val="clear" w:color="000000" w:fill="FFFFFF"/>
            <w:noWrap/>
            <w:vAlign w:val="center"/>
            <w:hideMark/>
          </w:tcPr>
          <w:p w14:paraId="660FB7F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r>
      <w:tr w:rsidR="00AD27AF" w:rsidRPr="00216251" w14:paraId="0212EA56"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3E98AC33"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Illinois Combined</w:t>
            </w:r>
          </w:p>
        </w:tc>
      </w:tr>
      <w:tr w:rsidR="00AD27AF" w:rsidRPr="00216251" w14:paraId="51243DD3"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2AB4957F"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6CD8021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35D49B0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384CF6D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7BA6B45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4561D28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54D5C22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2785645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4366930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0DCE86A1"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7664BB44"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FFFFFF"/>
            <w:noWrap/>
            <w:vAlign w:val="center"/>
            <w:hideMark/>
          </w:tcPr>
          <w:p w14:paraId="117103F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37" w:type="pct"/>
            <w:tcBorders>
              <w:top w:val="nil"/>
              <w:left w:val="nil"/>
              <w:bottom w:val="single" w:sz="4" w:space="0" w:color="auto"/>
              <w:right w:val="single" w:sz="4" w:space="0" w:color="auto"/>
            </w:tcBorders>
            <w:shd w:val="clear" w:color="000000" w:fill="FFFFFF"/>
            <w:noWrap/>
            <w:vAlign w:val="center"/>
            <w:hideMark/>
          </w:tcPr>
          <w:p w14:paraId="37B1A95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35BA588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48E4134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70C486D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3E77116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78E4322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6565CF4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47B37CF9" w14:textId="77777777" w:rsidTr="00C97C03">
        <w:trPr>
          <w:trHeight w:val="300"/>
        </w:trPr>
        <w:tc>
          <w:tcPr>
            <w:tcW w:w="1517" w:type="pct"/>
            <w:tcBorders>
              <w:top w:val="nil"/>
              <w:left w:val="nil"/>
              <w:bottom w:val="nil"/>
              <w:right w:val="nil"/>
            </w:tcBorders>
            <w:shd w:val="clear" w:color="auto" w:fill="auto"/>
            <w:noWrap/>
            <w:vAlign w:val="bottom"/>
            <w:hideMark/>
          </w:tcPr>
          <w:p w14:paraId="470F972B"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3C272DCE"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461501D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EF566CF"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775DFC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016A13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F32D51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7C2538E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3B04F18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4078F99E"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4BCE32A0"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Iowa Blind</w:t>
            </w:r>
          </w:p>
        </w:tc>
      </w:tr>
      <w:tr w:rsidR="00AD27AF" w:rsidRPr="00216251" w14:paraId="6C6A6CB6"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7C0D05E6"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1AA8512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463DFDB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533C1AD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43DDB7F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2BE84C9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09CFE58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07A4176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3D226AD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4117AE91"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9D96672"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343C05A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FFFFFF"/>
            <w:noWrap/>
            <w:vAlign w:val="center"/>
            <w:hideMark/>
          </w:tcPr>
          <w:p w14:paraId="7DB169C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90%</w:t>
            </w:r>
          </w:p>
        </w:tc>
        <w:tc>
          <w:tcPr>
            <w:tcW w:w="399" w:type="pct"/>
            <w:tcBorders>
              <w:top w:val="nil"/>
              <w:left w:val="nil"/>
              <w:bottom w:val="single" w:sz="4" w:space="0" w:color="auto"/>
              <w:right w:val="single" w:sz="4" w:space="0" w:color="auto"/>
            </w:tcBorders>
            <w:shd w:val="clear" w:color="000000" w:fill="FFFFFF"/>
            <w:noWrap/>
            <w:vAlign w:val="center"/>
            <w:hideMark/>
          </w:tcPr>
          <w:p w14:paraId="1A34B5A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732A0CA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2F3450F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40%</w:t>
            </w:r>
          </w:p>
        </w:tc>
        <w:tc>
          <w:tcPr>
            <w:tcW w:w="471" w:type="pct"/>
            <w:tcBorders>
              <w:top w:val="nil"/>
              <w:left w:val="nil"/>
              <w:bottom w:val="single" w:sz="4" w:space="0" w:color="auto"/>
              <w:right w:val="single" w:sz="4" w:space="0" w:color="auto"/>
            </w:tcBorders>
            <w:shd w:val="clear" w:color="000000" w:fill="FFFFFF"/>
            <w:noWrap/>
            <w:vAlign w:val="center"/>
            <w:hideMark/>
          </w:tcPr>
          <w:p w14:paraId="0512D59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3E98F51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0CFF817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29610A5F"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490CAD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D9E2F3"/>
            <w:noWrap/>
            <w:vAlign w:val="center"/>
            <w:hideMark/>
          </w:tcPr>
          <w:p w14:paraId="01C17B1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37" w:type="pct"/>
            <w:tcBorders>
              <w:top w:val="nil"/>
              <w:left w:val="nil"/>
              <w:bottom w:val="single" w:sz="4" w:space="0" w:color="auto"/>
              <w:right w:val="single" w:sz="4" w:space="0" w:color="auto"/>
            </w:tcBorders>
            <w:shd w:val="clear" w:color="000000" w:fill="D9E2F3"/>
            <w:noWrap/>
            <w:vAlign w:val="center"/>
            <w:hideMark/>
          </w:tcPr>
          <w:p w14:paraId="769CAA1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2F3"/>
            <w:noWrap/>
            <w:vAlign w:val="center"/>
            <w:hideMark/>
          </w:tcPr>
          <w:p w14:paraId="733590F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D9E2F3"/>
            <w:noWrap/>
            <w:vAlign w:val="center"/>
            <w:hideMark/>
          </w:tcPr>
          <w:p w14:paraId="6908350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D9E2F3"/>
            <w:noWrap/>
            <w:vAlign w:val="center"/>
            <w:hideMark/>
          </w:tcPr>
          <w:p w14:paraId="7AE6C51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83%</w:t>
            </w:r>
          </w:p>
        </w:tc>
        <w:tc>
          <w:tcPr>
            <w:tcW w:w="471" w:type="pct"/>
            <w:tcBorders>
              <w:top w:val="nil"/>
              <w:left w:val="nil"/>
              <w:bottom w:val="single" w:sz="4" w:space="0" w:color="auto"/>
              <w:right w:val="single" w:sz="4" w:space="0" w:color="auto"/>
            </w:tcBorders>
            <w:shd w:val="clear" w:color="000000" w:fill="D9E2F3"/>
            <w:noWrap/>
            <w:vAlign w:val="center"/>
            <w:hideMark/>
          </w:tcPr>
          <w:p w14:paraId="022355F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D9E2F3"/>
            <w:noWrap/>
            <w:vAlign w:val="center"/>
            <w:hideMark/>
          </w:tcPr>
          <w:p w14:paraId="20A5226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2F3"/>
            <w:noWrap/>
            <w:vAlign w:val="center"/>
            <w:hideMark/>
          </w:tcPr>
          <w:p w14:paraId="7A26463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r>
      <w:tr w:rsidR="00AD27AF" w:rsidRPr="00216251" w14:paraId="68C28FD5"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AD79630"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FFFFFF"/>
            <w:noWrap/>
            <w:vAlign w:val="center"/>
            <w:hideMark/>
          </w:tcPr>
          <w:p w14:paraId="0BA9615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FFFFFF"/>
            <w:noWrap/>
            <w:vAlign w:val="center"/>
            <w:hideMark/>
          </w:tcPr>
          <w:p w14:paraId="7C081F6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399" w:type="pct"/>
            <w:tcBorders>
              <w:top w:val="nil"/>
              <w:left w:val="nil"/>
              <w:bottom w:val="single" w:sz="4" w:space="0" w:color="auto"/>
              <w:right w:val="single" w:sz="4" w:space="0" w:color="auto"/>
            </w:tcBorders>
            <w:shd w:val="clear" w:color="000000" w:fill="FFFFFF"/>
            <w:noWrap/>
            <w:vAlign w:val="center"/>
            <w:hideMark/>
          </w:tcPr>
          <w:p w14:paraId="5EA948E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1F5E65E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03788AF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20%</w:t>
            </w:r>
          </w:p>
        </w:tc>
        <w:tc>
          <w:tcPr>
            <w:tcW w:w="471" w:type="pct"/>
            <w:tcBorders>
              <w:top w:val="nil"/>
              <w:left w:val="nil"/>
              <w:bottom w:val="single" w:sz="4" w:space="0" w:color="auto"/>
              <w:right w:val="single" w:sz="4" w:space="0" w:color="auto"/>
            </w:tcBorders>
            <w:shd w:val="clear" w:color="000000" w:fill="FFFFFF"/>
            <w:noWrap/>
            <w:vAlign w:val="center"/>
            <w:hideMark/>
          </w:tcPr>
          <w:p w14:paraId="4278E29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329A0DD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5B12513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7C4C0E63"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B14CAF4"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Business Engagement</w:t>
            </w:r>
          </w:p>
        </w:tc>
        <w:tc>
          <w:tcPr>
            <w:tcW w:w="437" w:type="pct"/>
            <w:tcBorders>
              <w:top w:val="nil"/>
              <w:left w:val="nil"/>
              <w:bottom w:val="single" w:sz="4" w:space="0" w:color="auto"/>
              <w:right w:val="single" w:sz="4" w:space="0" w:color="auto"/>
            </w:tcBorders>
            <w:shd w:val="clear" w:color="000000" w:fill="D9E2F3"/>
            <w:noWrap/>
            <w:vAlign w:val="center"/>
            <w:hideMark/>
          </w:tcPr>
          <w:p w14:paraId="37BAADA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D9E2F3"/>
            <w:noWrap/>
            <w:vAlign w:val="center"/>
            <w:hideMark/>
          </w:tcPr>
          <w:p w14:paraId="0FA5F18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79%</w:t>
            </w:r>
          </w:p>
        </w:tc>
        <w:tc>
          <w:tcPr>
            <w:tcW w:w="399" w:type="pct"/>
            <w:tcBorders>
              <w:top w:val="nil"/>
              <w:left w:val="nil"/>
              <w:bottom w:val="single" w:sz="4" w:space="0" w:color="auto"/>
              <w:right w:val="single" w:sz="4" w:space="0" w:color="auto"/>
            </w:tcBorders>
            <w:shd w:val="clear" w:color="000000" w:fill="D9E2F3"/>
            <w:noWrap/>
            <w:vAlign w:val="center"/>
            <w:hideMark/>
          </w:tcPr>
          <w:p w14:paraId="6C2EE76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D9E2F3"/>
            <w:noWrap/>
            <w:vAlign w:val="center"/>
            <w:hideMark/>
          </w:tcPr>
          <w:p w14:paraId="5E6F8EA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2F3"/>
            <w:noWrap/>
            <w:vAlign w:val="center"/>
            <w:hideMark/>
          </w:tcPr>
          <w:p w14:paraId="78C0F78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c>
          <w:tcPr>
            <w:tcW w:w="471" w:type="pct"/>
            <w:tcBorders>
              <w:top w:val="nil"/>
              <w:left w:val="nil"/>
              <w:bottom w:val="single" w:sz="4" w:space="0" w:color="auto"/>
              <w:right w:val="single" w:sz="4" w:space="0" w:color="auto"/>
            </w:tcBorders>
            <w:shd w:val="clear" w:color="000000" w:fill="D9E2F3"/>
            <w:noWrap/>
            <w:vAlign w:val="center"/>
            <w:hideMark/>
          </w:tcPr>
          <w:p w14:paraId="1DE50C3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D9E2F3"/>
            <w:noWrap/>
            <w:vAlign w:val="center"/>
            <w:hideMark/>
          </w:tcPr>
          <w:p w14:paraId="7711DAA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2F3"/>
            <w:noWrap/>
            <w:vAlign w:val="center"/>
            <w:hideMark/>
          </w:tcPr>
          <w:p w14:paraId="02FE994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4A0263A6"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CD0EFFF"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lastRenderedPageBreak/>
              <w:t>The Career Index Plus (TCI+) and LMI</w:t>
            </w:r>
          </w:p>
        </w:tc>
        <w:tc>
          <w:tcPr>
            <w:tcW w:w="437" w:type="pct"/>
            <w:tcBorders>
              <w:top w:val="nil"/>
              <w:left w:val="nil"/>
              <w:bottom w:val="single" w:sz="4" w:space="0" w:color="auto"/>
              <w:right w:val="single" w:sz="4" w:space="0" w:color="auto"/>
            </w:tcBorders>
            <w:shd w:val="clear" w:color="000000" w:fill="FFFFFF"/>
            <w:noWrap/>
            <w:vAlign w:val="center"/>
            <w:hideMark/>
          </w:tcPr>
          <w:p w14:paraId="4693AFC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FFFFFF"/>
            <w:noWrap/>
            <w:vAlign w:val="center"/>
            <w:hideMark/>
          </w:tcPr>
          <w:p w14:paraId="2ACB2A3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4F1FD11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12A5D11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7E529EB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429ECF8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618B749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3E04677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71388E44"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8B5B736"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Apprenticeships</w:t>
            </w:r>
          </w:p>
        </w:tc>
        <w:tc>
          <w:tcPr>
            <w:tcW w:w="437" w:type="pct"/>
            <w:tcBorders>
              <w:top w:val="nil"/>
              <w:left w:val="nil"/>
              <w:bottom w:val="single" w:sz="4" w:space="0" w:color="auto"/>
              <w:right w:val="single" w:sz="4" w:space="0" w:color="auto"/>
            </w:tcBorders>
            <w:shd w:val="clear" w:color="000000" w:fill="D9E2F3"/>
            <w:noWrap/>
            <w:vAlign w:val="center"/>
            <w:hideMark/>
          </w:tcPr>
          <w:p w14:paraId="4E427FA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37" w:type="pct"/>
            <w:tcBorders>
              <w:top w:val="nil"/>
              <w:left w:val="nil"/>
              <w:bottom w:val="single" w:sz="4" w:space="0" w:color="auto"/>
              <w:right w:val="single" w:sz="4" w:space="0" w:color="auto"/>
            </w:tcBorders>
            <w:shd w:val="clear" w:color="000000" w:fill="D9E2F3"/>
            <w:noWrap/>
            <w:vAlign w:val="center"/>
            <w:hideMark/>
          </w:tcPr>
          <w:p w14:paraId="6827751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2F3"/>
            <w:noWrap/>
            <w:vAlign w:val="center"/>
            <w:hideMark/>
          </w:tcPr>
          <w:p w14:paraId="4CC2F9B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2F3"/>
            <w:noWrap/>
            <w:vAlign w:val="center"/>
            <w:hideMark/>
          </w:tcPr>
          <w:p w14:paraId="6EF3F5C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2F3"/>
            <w:noWrap/>
            <w:vAlign w:val="center"/>
            <w:hideMark/>
          </w:tcPr>
          <w:p w14:paraId="20294BA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2F3"/>
            <w:noWrap/>
            <w:vAlign w:val="center"/>
            <w:hideMark/>
          </w:tcPr>
          <w:p w14:paraId="6B49317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2F3"/>
            <w:noWrap/>
            <w:vAlign w:val="center"/>
            <w:hideMark/>
          </w:tcPr>
          <w:p w14:paraId="71FAB71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2F3"/>
            <w:noWrap/>
            <w:vAlign w:val="center"/>
            <w:hideMark/>
          </w:tcPr>
          <w:p w14:paraId="3A4E845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0007817D" w14:textId="77777777" w:rsidTr="00C97C03">
        <w:trPr>
          <w:trHeight w:val="300"/>
        </w:trPr>
        <w:tc>
          <w:tcPr>
            <w:tcW w:w="1517" w:type="pct"/>
            <w:tcBorders>
              <w:top w:val="nil"/>
              <w:left w:val="nil"/>
              <w:bottom w:val="nil"/>
              <w:right w:val="nil"/>
            </w:tcBorders>
            <w:shd w:val="clear" w:color="auto" w:fill="auto"/>
            <w:noWrap/>
            <w:vAlign w:val="bottom"/>
            <w:hideMark/>
          </w:tcPr>
          <w:p w14:paraId="21B6C688"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7BEB24BF"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06EDAF5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676BA10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70E356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6723ADC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5ECE5A5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2D6CE4DF"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594FF00"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6F56F1E7"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3AFF4DC2"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Iowa General</w:t>
            </w:r>
          </w:p>
        </w:tc>
      </w:tr>
      <w:tr w:rsidR="00AD27AF" w:rsidRPr="00216251" w14:paraId="102570D9"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758B1E01"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750B0C9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43EDE86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18FA57AB"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57020C3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049AA22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3B4C3AD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76792CA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21B3F75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5B84C5DB"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766E1F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The Career Index Plus (TCI+) and LMI</w:t>
            </w:r>
          </w:p>
        </w:tc>
        <w:tc>
          <w:tcPr>
            <w:tcW w:w="437" w:type="pct"/>
            <w:tcBorders>
              <w:top w:val="nil"/>
              <w:left w:val="nil"/>
              <w:bottom w:val="single" w:sz="4" w:space="0" w:color="auto"/>
              <w:right w:val="single" w:sz="4" w:space="0" w:color="auto"/>
            </w:tcBorders>
            <w:shd w:val="clear" w:color="000000" w:fill="FFFFFF"/>
            <w:noWrap/>
            <w:vAlign w:val="center"/>
            <w:hideMark/>
          </w:tcPr>
          <w:p w14:paraId="10F69B5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FFFFFF"/>
            <w:noWrap/>
            <w:vAlign w:val="center"/>
            <w:hideMark/>
          </w:tcPr>
          <w:p w14:paraId="5FB31D3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63%</w:t>
            </w:r>
          </w:p>
        </w:tc>
        <w:tc>
          <w:tcPr>
            <w:tcW w:w="399" w:type="pct"/>
            <w:tcBorders>
              <w:top w:val="nil"/>
              <w:left w:val="nil"/>
              <w:bottom w:val="single" w:sz="4" w:space="0" w:color="auto"/>
              <w:right w:val="single" w:sz="4" w:space="0" w:color="auto"/>
            </w:tcBorders>
            <w:shd w:val="clear" w:color="000000" w:fill="FFFFFF"/>
            <w:noWrap/>
            <w:vAlign w:val="center"/>
            <w:hideMark/>
          </w:tcPr>
          <w:p w14:paraId="7573DBE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78C83DD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34F8D33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471" w:type="pct"/>
            <w:tcBorders>
              <w:top w:val="nil"/>
              <w:left w:val="nil"/>
              <w:bottom w:val="single" w:sz="4" w:space="0" w:color="auto"/>
              <w:right w:val="single" w:sz="4" w:space="0" w:color="auto"/>
            </w:tcBorders>
            <w:shd w:val="clear" w:color="000000" w:fill="FFFFFF"/>
            <w:noWrap/>
            <w:vAlign w:val="center"/>
            <w:hideMark/>
          </w:tcPr>
          <w:p w14:paraId="48CCDAA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75ECE61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1C43439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072853E1" w14:textId="77777777" w:rsidTr="00C97C03">
        <w:trPr>
          <w:trHeight w:val="300"/>
        </w:trPr>
        <w:tc>
          <w:tcPr>
            <w:tcW w:w="1517" w:type="pct"/>
            <w:tcBorders>
              <w:top w:val="nil"/>
              <w:left w:val="nil"/>
              <w:bottom w:val="nil"/>
              <w:right w:val="nil"/>
            </w:tcBorders>
            <w:shd w:val="clear" w:color="auto" w:fill="auto"/>
            <w:noWrap/>
            <w:vAlign w:val="bottom"/>
            <w:hideMark/>
          </w:tcPr>
          <w:p w14:paraId="0FA73FC6"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1E4640E9"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0834E40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701D32B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B2F8394"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58D78A3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5FDE952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790D014F"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02F8357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2E3A625D"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312687F4"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Kentucky Combined</w:t>
            </w:r>
          </w:p>
        </w:tc>
      </w:tr>
      <w:tr w:rsidR="00AD27AF" w:rsidRPr="00216251" w14:paraId="47894423"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10DC665D"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724FAE1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75D5FE8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2D919D2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4647294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33084F0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60CCBA8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291B9D1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2367287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71BD7C59"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7807CECC"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5E95716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37" w:type="pct"/>
            <w:tcBorders>
              <w:top w:val="nil"/>
              <w:left w:val="nil"/>
              <w:bottom w:val="single" w:sz="4" w:space="0" w:color="auto"/>
              <w:right w:val="single" w:sz="4" w:space="0" w:color="auto"/>
            </w:tcBorders>
            <w:shd w:val="clear" w:color="000000" w:fill="FFFFFF"/>
            <w:noWrap/>
            <w:vAlign w:val="center"/>
            <w:hideMark/>
          </w:tcPr>
          <w:p w14:paraId="262B671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82%</w:t>
            </w:r>
          </w:p>
        </w:tc>
        <w:tc>
          <w:tcPr>
            <w:tcW w:w="399" w:type="pct"/>
            <w:tcBorders>
              <w:top w:val="nil"/>
              <w:left w:val="nil"/>
              <w:bottom w:val="single" w:sz="4" w:space="0" w:color="auto"/>
              <w:right w:val="single" w:sz="4" w:space="0" w:color="auto"/>
            </w:tcBorders>
            <w:shd w:val="clear" w:color="000000" w:fill="FFFFFF"/>
            <w:noWrap/>
            <w:vAlign w:val="center"/>
            <w:hideMark/>
          </w:tcPr>
          <w:p w14:paraId="6A1E907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3198ADB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494C73A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57%</w:t>
            </w:r>
          </w:p>
        </w:tc>
        <w:tc>
          <w:tcPr>
            <w:tcW w:w="471" w:type="pct"/>
            <w:tcBorders>
              <w:top w:val="nil"/>
              <w:left w:val="nil"/>
              <w:bottom w:val="single" w:sz="4" w:space="0" w:color="auto"/>
              <w:right w:val="single" w:sz="4" w:space="0" w:color="auto"/>
            </w:tcBorders>
            <w:shd w:val="clear" w:color="000000" w:fill="FFFFFF"/>
            <w:noWrap/>
            <w:vAlign w:val="center"/>
            <w:hideMark/>
          </w:tcPr>
          <w:p w14:paraId="14FDE6C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6B8A0AB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29CB27A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57CD7CB4"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D584923"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D9E1F2"/>
            <w:noWrap/>
            <w:vAlign w:val="center"/>
            <w:hideMark/>
          </w:tcPr>
          <w:p w14:paraId="0EFA7F4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D9E1F2"/>
            <w:noWrap/>
            <w:vAlign w:val="center"/>
            <w:hideMark/>
          </w:tcPr>
          <w:p w14:paraId="3AF1D68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17%</w:t>
            </w:r>
          </w:p>
        </w:tc>
        <w:tc>
          <w:tcPr>
            <w:tcW w:w="399" w:type="pct"/>
            <w:tcBorders>
              <w:top w:val="nil"/>
              <w:left w:val="nil"/>
              <w:bottom w:val="single" w:sz="4" w:space="0" w:color="auto"/>
              <w:right w:val="single" w:sz="4" w:space="0" w:color="auto"/>
            </w:tcBorders>
            <w:shd w:val="clear" w:color="000000" w:fill="D9E1F2"/>
            <w:noWrap/>
            <w:vAlign w:val="center"/>
            <w:hideMark/>
          </w:tcPr>
          <w:p w14:paraId="6ABEFB8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D9E1F2"/>
            <w:noWrap/>
            <w:vAlign w:val="center"/>
            <w:hideMark/>
          </w:tcPr>
          <w:p w14:paraId="3BC4AD7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D9E1F2"/>
            <w:noWrap/>
            <w:vAlign w:val="center"/>
            <w:hideMark/>
          </w:tcPr>
          <w:p w14:paraId="033F308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2A36834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D9E1F2"/>
            <w:noWrap/>
            <w:vAlign w:val="center"/>
            <w:hideMark/>
          </w:tcPr>
          <w:p w14:paraId="08568CB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7B611E1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r>
      <w:tr w:rsidR="00AD27AF" w:rsidRPr="00216251" w14:paraId="7361E01E"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135DF89"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SARA*</w:t>
            </w:r>
          </w:p>
        </w:tc>
        <w:tc>
          <w:tcPr>
            <w:tcW w:w="437" w:type="pct"/>
            <w:tcBorders>
              <w:top w:val="nil"/>
              <w:left w:val="nil"/>
              <w:bottom w:val="single" w:sz="4" w:space="0" w:color="auto"/>
              <w:right w:val="single" w:sz="4" w:space="0" w:color="auto"/>
            </w:tcBorders>
            <w:shd w:val="clear" w:color="000000" w:fill="FFFFFF"/>
            <w:noWrap/>
            <w:vAlign w:val="center"/>
            <w:hideMark/>
          </w:tcPr>
          <w:p w14:paraId="0ACD2B9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37" w:type="pct"/>
            <w:tcBorders>
              <w:top w:val="nil"/>
              <w:left w:val="nil"/>
              <w:bottom w:val="single" w:sz="4" w:space="0" w:color="auto"/>
              <w:right w:val="single" w:sz="4" w:space="0" w:color="auto"/>
            </w:tcBorders>
            <w:shd w:val="clear" w:color="000000" w:fill="FFFFFF"/>
            <w:noWrap/>
            <w:vAlign w:val="center"/>
            <w:hideMark/>
          </w:tcPr>
          <w:p w14:paraId="7C0E08C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4172FC1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733CE48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0217EC6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6AD511D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71" w:type="pct"/>
            <w:tcBorders>
              <w:top w:val="nil"/>
              <w:left w:val="nil"/>
              <w:bottom w:val="single" w:sz="4" w:space="0" w:color="auto"/>
              <w:right w:val="single" w:sz="4" w:space="0" w:color="auto"/>
            </w:tcBorders>
            <w:shd w:val="clear" w:color="000000" w:fill="FFFFFF"/>
            <w:noWrap/>
            <w:vAlign w:val="center"/>
            <w:hideMark/>
          </w:tcPr>
          <w:p w14:paraId="0B1A70E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71" w:type="pct"/>
            <w:tcBorders>
              <w:top w:val="nil"/>
              <w:left w:val="nil"/>
              <w:bottom w:val="single" w:sz="4" w:space="0" w:color="auto"/>
              <w:right w:val="single" w:sz="4" w:space="0" w:color="auto"/>
            </w:tcBorders>
            <w:shd w:val="clear" w:color="000000" w:fill="FFFFFF"/>
            <w:noWrap/>
            <w:vAlign w:val="center"/>
            <w:hideMark/>
          </w:tcPr>
          <w:p w14:paraId="106AFC6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26D3C423" w14:textId="77777777" w:rsidTr="00C97C03">
        <w:trPr>
          <w:trHeight w:val="300"/>
        </w:trPr>
        <w:tc>
          <w:tcPr>
            <w:tcW w:w="1517" w:type="pct"/>
            <w:tcBorders>
              <w:top w:val="nil"/>
              <w:left w:val="nil"/>
              <w:bottom w:val="nil"/>
              <w:right w:val="nil"/>
            </w:tcBorders>
            <w:shd w:val="clear" w:color="auto" w:fill="auto"/>
            <w:noWrap/>
            <w:vAlign w:val="bottom"/>
            <w:hideMark/>
          </w:tcPr>
          <w:p w14:paraId="0CDFE3E6"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0436B1EB"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4154432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58A15DF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419F10B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0E52297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010D3E9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74267BC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036723C4"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2C7AC095"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25183374"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Louisiana Combined</w:t>
            </w:r>
          </w:p>
        </w:tc>
      </w:tr>
      <w:tr w:rsidR="00AD27AF" w:rsidRPr="00216251" w14:paraId="33D2D1AB"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7C3AECFE"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7BA2B67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2C3E1C1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65C86EC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554DB82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219DB7E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3AA52B0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6D708D0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11DF051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3C72444E"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9C25B32"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7031715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37" w:type="pct"/>
            <w:tcBorders>
              <w:top w:val="nil"/>
              <w:left w:val="nil"/>
              <w:bottom w:val="single" w:sz="4" w:space="0" w:color="auto"/>
              <w:right w:val="single" w:sz="4" w:space="0" w:color="auto"/>
            </w:tcBorders>
            <w:shd w:val="clear" w:color="000000" w:fill="FFFFFF"/>
            <w:noWrap/>
            <w:vAlign w:val="center"/>
            <w:hideMark/>
          </w:tcPr>
          <w:p w14:paraId="33D6113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365E3E9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FFFFFF"/>
            <w:noWrap/>
            <w:vAlign w:val="center"/>
            <w:hideMark/>
          </w:tcPr>
          <w:p w14:paraId="5893429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FFFFFF"/>
            <w:noWrap/>
            <w:vAlign w:val="center"/>
            <w:hideMark/>
          </w:tcPr>
          <w:p w14:paraId="246EE67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4D8B1E0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6D0B7CA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6CBA26E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r>
      <w:tr w:rsidR="00AD27AF" w:rsidRPr="00216251" w14:paraId="3197D930"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6B33197"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Section 511</w:t>
            </w:r>
          </w:p>
        </w:tc>
        <w:tc>
          <w:tcPr>
            <w:tcW w:w="437" w:type="pct"/>
            <w:tcBorders>
              <w:top w:val="nil"/>
              <w:left w:val="nil"/>
              <w:bottom w:val="single" w:sz="4" w:space="0" w:color="auto"/>
              <w:right w:val="single" w:sz="4" w:space="0" w:color="auto"/>
            </w:tcBorders>
            <w:shd w:val="clear" w:color="000000" w:fill="D9E1F2"/>
            <w:noWrap/>
            <w:vAlign w:val="center"/>
            <w:hideMark/>
          </w:tcPr>
          <w:p w14:paraId="23822BC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D9E1F2"/>
            <w:noWrap/>
            <w:vAlign w:val="center"/>
            <w:hideMark/>
          </w:tcPr>
          <w:p w14:paraId="53D5199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1F2"/>
            <w:noWrap/>
            <w:vAlign w:val="center"/>
            <w:hideMark/>
          </w:tcPr>
          <w:p w14:paraId="3142F86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D9E1F2"/>
            <w:noWrap/>
            <w:vAlign w:val="center"/>
            <w:hideMark/>
          </w:tcPr>
          <w:p w14:paraId="7140D67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D9E1F2"/>
            <w:noWrap/>
            <w:vAlign w:val="center"/>
            <w:hideMark/>
          </w:tcPr>
          <w:p w14:paraId="5F6FA86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1F2"/>
            <w:noWrap/>
            <w:vAlign w:val="center"/>
            <w:hideMark/>
          </w:tcPr>
          <w:p w14:paraId="599B90D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40106EC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5175DC7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7DFB354F"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973C800"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FFFFFF"/>
            <w:noWrap/>
            <w:vAlign w:val="center"/>
            <w:hideMark/>
          </w:tcPr>
          <w:p w14:paraId="59CC7F5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FFFFFF"/>
            <w:noWrap/>
            <w:vAlign w:val="center"/>
            <w:hideMark/>
          </w:tcPr>
          <w:p w14:paraId="153F0B0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55%</w:t>
            </w:r>
          </w:p>
        </w:tc>
        <w:tc>
          <w:tcPr>
            <w:tcW w:w="399" w:type="pct"/>
            <w:tcBorders>
              <w:top w:val="nil"/>
              <w:left w:val="nil"/>
              <w:bottom w:val="single" w:sz="4" w:space="0" w:color="auto"/>
              <w:right w:val="single" w:sz="4" w:space="0" w:color="auto"/>
            </w:tcBorders>
            <w:shd w:val="clear" w:color="000000" w:fill="FFFFFF"/>
            <w:noWrap/>
            <w:vAlign w:val="center"/>
            <w:hideMark/>
          </w:tcPr>
          <w:p w14:paraId="2E97934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07FA661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2C2C0D0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40%</w:t>
            </w:r>
          </w:p>
        </w:tc>
        <w:tc>
          <w:tcPr>
            <w:tcW w:w="471" w:type="pct"/>
            <w:tcBorders>
              <w:top w:val="nil"/>
              <w:left w:val="nil"/>
              <w:bottom w:val="single" w:sz="4" w:space="0" w:color="auto"/>
              <w:right w:val="single" w:sz="4" w:space="0" w:color="auto"/>
            </w:tcBorders>
            <w:shd w:val="clear" w:color="000000" w:fill="FFFFFF"/>
            <w:noWrap/>
            <w:vAlign w:val="center"/>
            <w:hideMark/>
          </w:tcPr>
          <w:p w14:paraId="30FD6D2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0550A12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0142E29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222481C9"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93906F8"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D9E1F2"/>
            <w:noWrap/>
            <w:vAlign w:val="center"/>
            <w:hideMark/>
          </w:tcPr>
          <w:p w14:paraId="0BCD336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D9E1F2"/>
            <w:noWrap/>
            <w:vAlign w:val="center"/>
            <w:hideMark/>
          </w:tcPr>
          <w:p w14:paraId="5A3AECE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88%</w:t>
            </w:r>
          </w:p>
        </w:tc>
        <w:tc>
          <w:tcPr>
            <w:tcW w:w="399" w:type="pct"/>
            <w:tcBorders>
              <w:top w:val="nil"/>
              <w:left w:val="nil"/>
              <w:bottom w:val="single" w:sz="4" w:space="0" w:color="auto"/>
              <w:right w:val="single" w:sz="4" w:space="0" w:color="auto"/>
            </w:tcBorders>
            <w:shd w:val="clear" w:color="000000" w:fill="D9E1F2"/>
            <w:noWrap/>
            <w:vAlign w:val="center"/>
            <w:hideMark/>
          </w:tcPr>
          <w:p w14:paraId="219F7A5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D9E1F2"/>
            <w:noWrap/>
            <w:vAlign w:val="center"/>
            <w:hideMark/>
          </w:tcPr>
          <w:p w14:paraId="7E25315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D9E1F2"/>
            <w:noWrap/>
            <w:vAlign w:val="center"/>
            <w:hideMark/>
          </w:tcPr>
          <w:p w14:paraId="73E20F3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c>
          <w:tcPr>
            <w:tcW w:w="471" w:type="pct"/>
            <w:tcBorders>
              <w:top w:val="nil"/>
              <w:left w:val="nil"/>
              <w:bottom w:val="single" w:sz="4" w:space="0" w:color="auto"/>
              <w:right w:val="single" w:sz="4" w:space="0" w:color="auto"/>
            </w:tcBorders>
            <w:shd w:val="clear" w:color="000000" w:fill="D9E1F2"/>
            <w:noWrap/>
            <w:vAlign w:val="center"/>
            <w:hideMark/>
          </w:tcPr>
          <w:p w14:paraId="426DED7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D9E1F2"/>
            <w:noWrap/>
            <w:vAlign w:val="center"/>
            <w:hideMark/>
          </w:tcPr>
          <w:p w14:paraId="0E3BFBA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2E30D33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r>
      <w:tr w:rsidR="00AD27AF" w:rsidRPr="00216251" w14:paraId="71143BDF"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D93BF74"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Customized Employment</w:t>
            </w:r>
          </w:p>
        </w:tc>
        <w:tc>
          <w:tcPr>
            <w:tcW w:w="437" w:type="pct"/>
            <w:tcBorders>
              <w:top w:val="nil"/>
              <w:left w:val="nil"/>
              <w:bottom w:val="single" w:sz="4" w:space="0" w:color="auto"/>
              <w:right w:val="single" w:sz="4" w:space="0" w:color="auto"/>
            </w:tcBorders>
            <w:shd w:val="clear" w:color="000000" w:fill="FFFFFF"/>
            <w:noWrap/>
            <w:vAlign w:val="center"/>
            <w:hideMark/>
          </w:tcPr>
          <w:p w14:paraId="5824B14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FFFFFF"/>
            <w:noWrap/>
            <w:vAlign w:val="center"/>
            <w:hideMark/>
          </w:tcPr>
          <w:p w14:paraId="12B1356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399" w:type="pct"/>
            <w:tcBorders>
              <w:top w:val="nil"/>
              <w:left w:val="nil"/>
              <w:bottom w:val="single" w:sz="4" w:space="0" w:color="auto"/>
              <w:right w:val="single" w:sz="4" w:space="0" w:color="auto"/>
            </w:tcBorders>
            <w:shd w:val="clear" w:color="000000" w:fill="FFFFFF"/>
            <w:noWrap/>
            <w:vAlign w:val="center"/>
            <w:hideMark/>
          </w:tcPr>
          <w:p w14:paraId="33597C2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0AFC49D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FFFFFF"/>
            <w:noWrap/>
            <w:vAlign w:val="center"/>
            <w:hideMark/>
          </w:tcPr>
          <w:p w14:paraId="0BAAACD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2DB613E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3D26E75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18863E6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20EBF5A0" w14:textId="77777777" w:rsidTr="00C97C03">
        <w:trPr>
          <w:trHeight w:val="300"/>
        </w:trPr>
        <w:tc>
          <w:tcPr>
            <w:tcW w:w="1517" w:type="pct"/>
            <w:tcBorders>
              <w:top w:val="nil"/>
              <w:left w:val="nil"/>
              <w:bottom w:val="nil"/>
              <w:right w:val="nil"/>
            </w:tcBorders>
            <w:shd w:val="clear" w:color="auto" w:fill="auto"/>
            <w:noWrap/>
            <w:vAlign w:val="bottom"/>
            <w:hideMark/>
          </w:tcPr>
          <w:p w14:paraId="3049C709"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196562D6"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618D78E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0B64ACA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3040885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36BB4D3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A8F22F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703DE0C1"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0E449B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bl>
    <w:p w14:paraId="416E5D64" w14:textId="77777777" w:rsidR="00A40280" w:rsidRDefault="00A40280">
      <w:r>
        <w:br w:type="page"/>
      </w:r>
    </w:p>
    <w:tbl>
      <w:tblPr>
        <w:tblW w:w="5000" w:type="pct"/>
        <w:tblLook w:val="04A0" w:firstRow="1" w:lastRow="0" w:firstColumn="1" w:lastColumn="0" w:noHBand="0" w:noVBand="1"/>
      </w:tblPr>
      <w:tblGrid>
        <w:gridCol w:w="2840"/>
        <w:gridCol w:w="818"/>
        <w:gridCol w:w="818"/>
        <w:gridCol w:w="747"/>
        <w:gridCol w:w="747"/>
        <w:gridCol w:w="747"/>
        <w:gridCol w:w="881"/>
        <w:gridCol w:w="881"/>
        <w:gridCol w:w="881"/>
      </w:tblGrid>
      <w:tr w:rsidR="00AD27AF" w:rsidRPr="00216251" w14:paraId="45960A16"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173ACB4D" w14:textId="1C8F52F6"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lastRenderedPageBreak/>
              <w:t>Maine</w:t>
            </w:r>
          </w:p>
        </w:tc>
      </w:tr>
      <w:tr w:rsidR="00AD27AF" w:rsidRPr="00216251" w14:paraId="3D92461F"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280DC1EA"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32D4F24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2E5F06C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0E92CAB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3078B07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2115BB9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59CA4FD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4165EFF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7EB33F5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60202489"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F98F8CA"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FFFFFF"/>
            <w:noWrap/>
            <w:vAlign w:val="center"/>
            <w:hideMark/>
          </w:tcPr>
          <w:p w14:paraId="1A8D3BF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37" w:type="pct"/>
            <w:tcBorders>
              <w:top w:val="nil"/>
              <w:left w:val="nil"/>
              <w:bottom w:val="single" w:sz="4" w:space="0" w:color="auto"/>
              <w:right w:val="single" w:sz="4" w:space="0" w:color="auto"/>
            </w:tcBorders>
            <w:shd w:val="clear" w:color="000000" w:fill="FFFFFF"/>
            <w:noWrap/>
            <w:vAlign w:val="center"/>
            <w:hideMark/>
          </w:tcPr>
          <w:p w14:paraId="37416F3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64550CB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2DD6947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1C0B537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798E67E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6734068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51EBDA3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r>
      <w:tr w:rsidR="00AD27AF" w:rsidRPr="00216251" w14:paraId="2D31CBF6"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C267575"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D9E1F2"/>
            <w:noWrap/>
            <w:vAlign w:val="center"/>
            <w:hideMark/>
          </w:tcPr>
          <w:p w14:paraId="7A74F39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D9E1F2"/>
            <w:noWrap/>
            <w:vAlign w:val="center"/>
            <w:hideMark/>
          </w:tcPr>
          <w:p w14:paraId="73B23C9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c>
          <w:tcPr>
            <w:tcW w:w="399" w:type="pct"/>
            <w:tcBorders>
              <w:top w:val="nil"/>
              <w:left w:val="nil"/>
              <w:bottom w:val="single" w:sz="4" w:space="0" w:color="auto"/>
              <w:right w:val="single" w:sz="4" w:space="0" w:color="auto"/>
            </w:tcBorders>
            <w:shd w:val="clear" w:color="000000" w:fill="D9E1F2"/>
            <w:noWrap/>
            <w:vAlign w:val="center"/>
            <w:hideMark/>
          </w:tcPr>
          <w:p w14:paraId="17CAC75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D9E1F2"/>
            <w:noWrap/>
            <w:vAlign w:val="center"/>
            <w:hideMark/>
          </w:tcPr>
          <w:p w14:paraId="594D484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04DA2A6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c>
          <w:tcPr>
            <w:tcW w:w="471" w:type="pct"/>
            <w:tcBorders>
              <w:top w:val="nil"/>
              <w:left w:val="nil"/>
              <w:bottom w:val="single" w:sz="4" w:space="0" w:color="auto"/>
              <w:right w:val="single" w:sz="4" w:space="0" w:color="auto"/>
            </w:tcBorders>
            <w:shd w:val="clear" w:color="000000" w:fill="D9E1F2"/>
            <w:noWrap/>
            <w:vAlign w:val="center"/>
            <w:hideMark/>
          </w:tcPr>
          <w:p w14:paraId="40987E4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3530C4E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2AFFAA3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566CA5E8"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A6A56E2"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Peer Mentoring</w:t>
            </w:r>
          </w:p>
        </w:tc>
        <w:tc>
          <w:tcPr>
            <w:tcW w:w="437" w:type="pct"/>
            <w:tcBorders>
              <w:top w:val="nil"/>
              <w:left w:val="nil"/>
              <w:bottom w:val="single" w:sz="4" w:space="0" w:color="auto"/>
              <w:right w:val="single" w:sz="4" w:space="0" w:color="auto"/>
            </w:tcBorders>
            <w:shd w:val="clear" w:color="000000" w:fill="FFFFFF"/>
            <w:noWrap/>
            <w:vAlign w:val="center"/>
            <w:hideMark/>
          </w:tcPr>
          <w:p w14:paraId="0C9416F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FFFFFF"/>
            <w:noWrap/>
            <w:vAlign w:val="center"/>
            <w:hideMark/>
          </w:tcPr>
          <w:p w14:paraId="2842973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85%</w:t>
            </w:r>
          </w:p>
        </w:tc>
        <w:tc>
          <w:tcPr>
            <w:tcW w:w="399" w:type="pct"/>
            <w:tcBorders>
              <w:top w:val="nil"/>
              <w:left w:val="nil"/>
              <w:bottom w:val="single" w:sz="4" w:space="0" w:color="auto"/>
              <w:right w:val="single" w:sz="4" w:space="0" w:color="auto"/>
            </w:tcBorders>
            <w:shd w:val="clear" w:color="000000" w:fill="FFFFFF"/>
            <w:noWrap/>
            <w:vAlign w:val="center"/>
            <w:hideMark/>
          </w:tcPr>
          <w:p w14:paraId="1DAEFDE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5D4E7AB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FFFFFF"/>
            <w:noWrap/>
            <w:vAlign w:val="center"/>
            <w:hideMark/>
          </w:tcPr>
          <w:p w14:paraId="26C7112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3DEAE2D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770DE0E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6A799C4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4183CB5B"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125A0E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Apprenticeships</w:t>
            </w:r>
          </w:p>
        </w:tc>
        <w:tc>
          <w:tcPr>
            <w:tcW w:w="437" w:type="pct"/>
            <w:tcBorders>
              <w:top w:val="nil"/>
              <w:left w:val="nil"/>
              <w:bottom w:val="single" w:sz="4" w:space="0" w:color="auto"/>
              <w:right w:val="single" w:sz="4" w:space="0" w:color="auto"/>
            </w:tcBorders>
            <w:shd w:val="clear" w:color="000000" w:fill="D9E1F2"/>
            <w:noWrap/>
            <w:vAlign w:val="center"/>
            <w:hideMark/>
          </w:tcPr>
          <w:p w14:paraId="3B99AB4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37" w:type="pct"/>
            <w:tcBorders>
              <w:top w:val="nil"/>
              <w:left w:val="nil"/>
              <w:bottom w:val="single" w:sz="4" w:space="0" w:color="auto"/>
              <w:right w:val="single" w:sz="4" w:space="0" w:color="auto"/>
            </w:tcBorders>
            <w:shd w:val="clear" w:color="000000" w:fill="D9E1F2"/>
            <w:noWrap/>
            <w:vAlign w:val="center"/>
            <w:hideMark/>
          </w:tcPr>
          <w:p w14:paraId="114CD74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1F2"/>
            <w:noWrap/>
            <w:vAlign w:val="center"/>
            <w:hideMark/>
          </w:tcPr>
          <w:p w14:paraId="4BEC7F4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4ADB027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4EFA298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1F2"/>
            <w:noWrap/>
            <w:vAlign w:val="center"/>
            <w:hideMark/>
          </w:tcPr>
          <w:p w14:paraId="6E1816E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2D3292B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0833AD1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7B767DD3" w14:textId="77777777" w:rsidTr="00C97C03">
        <w:trPr>
          <w:trHeight w:val="300"/>
        </w:trPr>
        <w:tc>
          <w:tcPr>
            <w:tcW w:w="1517" w:type="pct"/>
            <w:tcBorders>
              <w:top w:val="nil"/>
              <w:left w:val="nil"/>
              <w:bottom w:val="nil"/>
              <w:right w:val="nil"/>
            </w:tcBorders>
            <w:shd w:val="clear" w:color="auto" w:fill="auto"/>
            <w:noWrap/>
            <w:vAlign w:val="bottom"/>
            <w:hideMark/>
          </w:tcPr>
          <w:p w14:paraId="781D3BE5"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148FB83B"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689B629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C22D6D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4F989341"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B55F15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B18707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39E971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617006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450BC69E"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BC5F9C6"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Maryland Combined</w:t>
            </w:r>
          </w:p>
        </w:tc>
      </w:tr>
      <w:tr w:rsidR="00AD27AF" w:rsidRPr="00216251" w14:paraId="7C463380"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6FCF833F"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06EAFEA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0037FC6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7EDAA39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24C24C6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4CF988A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1BFC067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2E9206D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331D0B4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490384C1"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C32A2BF"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2D9A4CE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37" w:type="pct"/>
            <w:tcBorders>
              <w:top w:val="nil"/>
              <w:left w:val="nil"/>
              <w:bottom w:val="single" w:sz="4" w:space="0" w:color="auto"/>
              <w:right w:val="single" w:sz="4" w:space="0" w:color="auto"/>
            </w:tcBorders>
            <w:shd w:val="clear" w:color="000000" w:fill="FFFFFF"/>
            <w:noWrap/>
            <w:vAlign w:val="center"/>
            <w:hideMark/>
          </w:tcPr>
          <w:p w14:paraId="1386349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1E9CF89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06F9DAB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3A47EC0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7437A58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15D73BF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7D2329B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344600D1" w14:textId="77777777" w:rsidTr="00C97C03">
        <w:trPr>
          <w:trHeight w:val="300"/>
        </w:trPr>
        <w:tc>
          <w:tcPr>
            <w:tcW w:w="1517" w:type="pct"/>
            <w:tcBorders>
              <w:top w:val="nil"/>
              <w:left w:val="nil"/>
              <w:bottom w:val="nil"/>
              <w:right w:val="nil"/>
            </w:tcBorders>
            <w:shd w:val="clear" w:color="auto" w:fill="auto"/>
            <w:noWrap/>
            <w:vAlign w:val="bottom"/>
            <w:hideMark/>
          </w:tcPr>
          <w:p w14:paraId="2708B9F4"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14D29751"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6E03B17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EBB7D5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9C54AE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40D74BE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E87711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D09BA6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094196E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41938F9E"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7C9A2BE9"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Massachusetts General</w:t>
            </w:r>
          </w:p>
        </w:tc>
      </w:tr>
      <w:tr w:rsidR="00AD27AF" w:rsidRPr="00216251" w14:paraId="3B40DB8E"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54F9718B"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0085D6D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298F947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043EEF4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7D6E1A3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03EFD67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2303F48B"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69C9336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66C5545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6517BE5A"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233A38A"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5215AD8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37" w:type="pct"/>
            <w:tcBorders>
              <w:top w:val="nil"/>
              <w:left w:val="nil"/>
              <w:bottom w:val="single" w:sz="4" w:space="0" w:color="auto"/>
              <w:right w:val="single" w:sz="4" w:space="0" w:color="auto"/>
            </w:tcBorders>
            <w:shd w:val="clear" w:color="000000" w:fill="FFFFFF"/>
            <w:noWrap/>
            <w:vAlign w:val="center"/>
            <w:hideMark/>
          </w:tcPr>
          <w:p w14:paraId="24AE664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98%</w:t>
            </w:r>
          </w:p>
        </w:tc>
        <w:tc>
          <w:tcPr>
            <w:tcW w:w="399" w:type="pct"/>
            <w:tcBorders>
              <w:top w:val="nil"/>
              <w:left w:val="nil"/>
              <w:bottom w:val="single" w:sz="4" w:space="0" w:color="auto"/>
              <w:right w:val="single" w:sz="4" w:space="0" w:color="auto"/>
            </w:tcBorders>
            <w:shd w:val="clear" w:color="000000" w:fill="FFFFFF"/>
            <w:noWrap/>
            <w:vAlign w:val="center"/>
            <w:hideMark/>
          </w:tcPr>
          <w:p w14:paraId="5195F2D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FFFFFF"/>
            <w:noWrap/>
            <w:vAlign w:val="center"/>
            <w:hideMark/>
          </w:tcPr>
          <w:p w14:paraId="00927F3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0F27620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83%</w:t>
            </w:r>
          </w:p>
        </w:tc>
        <w:tc>
          <w:tcPr>
            <w:tcW w:w="471" w:type="pct"/>
            <w:tcBorders>
              <w:top w:val="nil"/>
              <w:left w:val="nil"/>
              <w:bottom w:val="single" w:sz="4" w:space="0" w:color="auto"/>
              <w:right w:val="single" w:sz="4" w:space="0" w:color="auto"/>
            </w:tcBorders>
            <w:shd w:val="clear" w:color="000000" w:fill="FFFFFF"/>
            <w:noWrap/>
            <w:vAlign w:val="center"/>
            <w:hideMark/>
          </w:tcPr>
          <w:p w14:paraId="74E7B85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7897261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599C87E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7B018046"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AEE7D6D"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D9E1F2"/>
            <w:noWrap/>
            <w:vAlign w:val="center"/>
            <w:hideMark/>
          </w:tcPr>
          <w:p w14:paraId="0A4EACA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D9E1F2"/>
            <w:noWrap/>
            <w:vAlign w:val="center"/>
            <w:hideMark/>
          </w:tcPr>
          <w:p w14:paraId="0742EF7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c>
          <w:tcPr>
            <w:tcW w:w="399" w:type="pct"/>
            <w:tcBorders>
              <w:top w:val="nil"/>
              <w:left w:val="nil"/>
              <w:bottom w:val="single" w:sz="4" w:space="0" w:color="auto"/>
              <w:right w:val="single" w:sz="4" w:space="0" w:color="auto"/>
            </w:tcBorders>
            <w:shd w:val="clear" w:color="000000" w:fill="D9E1F2"/>
            <w:noWrap/>
            <w:vAlign w:val="center"/>
            <w:hideMark/>
          </w:tcPr>
          <w:p w14:paraId="2DE89B4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D9E1F2"/>
            <w:noWrap/>
            <w:vAlign w:val="center"/>
            <w:hideMark/>
          </w:tcPr>
          <w:p w14:paraId="4F9A4C8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1F2"/>
            <w:noWrap/>
            <w:vAlign w:val="center"/>
            <w:hideMark/>
          </w:tcPr>
          <w:p w14:paraId="6D76F7C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33%</w:t>
            </w:r>
          </w:p>
        </w:tc>
        <w:tc>
          <w:tcPr>
            <w:tcW w:w="471" w:type="pct"/>
            <w:tcBorders>
              <w:top w:val="nil"/>
              <w:left w:val="nil"/>
              <w:bottom w:val="single" w:sz="4" w:space="0" w:color="auto"/>
              <w:right w:val="single" w:sz="4" w:space="0" w:color="auto"/>
            </w:tcBorders>
            <w:shd w:val="clear" w:color="000000" w:fill="D9E1F2"/>
            <w:noWrap/>
            <w:vAlign w:val="center"/>
            <w:hideMark/>
          </w:tcPr>
          <w:p w14:paraId="080BE56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4B6D94E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45F59FD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3AF4BA10"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3A2EBBA"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FFFFFF"/>
            <w:noWrap/>
            <w:vAlign w:val="center"/>
            <w:hideMark/>
          </w:tcPr>
          <w:p w14:paraId="1C3A006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FFFFFF"/>
            <w:noWrap/>
            <w:vAlign w:val="center"/>
            <w:hideMark/>
          </w:tcPr>
          <w:p w14:paraId="782F6F3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c>
          <w:tcPr>
            <w:tcW w:w="399" w:type="pct"/>
            <w:tcBorders>
              <w:top w:val="nil"/>
              <w:left w:val="nil"/>
              <w:bottom w:val="single" w:sz="4" w:space="0" w:color="auto"/>
              <w:right w:val="single" w:sz="4" w:space="0" w:color="auto"/>
            </w:tcBorders>
            <w:shd w:val="clear" w:color="000000" w:fill="FFFFFF"/>
            <w:noWrap/>
            <w:vAlign w:val="center"/>
            <w:hideMark/>
          </w:tcPr>
          <w:p w14:paraId="4EC9DF4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31887CD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5C2A253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c>
          <w:tcPr>
            <w:tcW w:w="471" w:type="pct"/>
            <w:tcBorders>
              <w:top w:val="nil"/>
              <w:left w:val="nil"/>
              <w:bottom w:val="single" w:sz="4" w:space="0" w:color="auto"/>
              <w:right w:val="single" w:sz="4" w:space="0" w:color="auto"/>
            </w:tcBorders>
            <w:shd w:val="clear" w:color="000000" w:fill="FFFFFF"/>
            <w:noWrap/>
            <w:vAlign w:val="center"/>
            <w:hideMark/>
          </w:tcPr>
          <w:p w14:paraId="57E2720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253DD94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50C544F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722B1B2C" w14:textId="77777777" w:rsidTr="00C97C03">
        <w:trPr>
          <w:trHeight w:val="300"/>
        </w:trPr>
        <w:tc>
          <w:tcPr>
            <w:tcW w:w="1517" w:type="pct"/>
            <w:tcBorders>
              <w:top w:val="nil"/>
              <w:left w:val="nil"/>
              <w:bottom w:val="nil"/>
              <w:right w:val="nil"/>
            </w:tcBorders>
            <w:shd w:val="clear" w:color="auto" w:fill="auto"/>
            <w:noWrap/>
            <w:vAlign w:val="bottom"/>
            <w:hideMark/>
          </w:tcPr>
          <w:p w14:paraId="5992BFF8"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6DDB63DC"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1492D5C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6020DC1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67A7FDD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32C16C9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16F5D4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685B569F"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316F11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7661048F"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7ABE6CCE"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Michigan Blind</w:t>
            </w:r>
          </w:p>
        </w:tc>
      </w:tr>
      <w:tr w:rsidR="00AD27AF" w:rsidRPr="00216251" w14:paraId="1F471DAE"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02F8C72E"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1CFDF27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554BDFB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5AD2D64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65728D3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769FB49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67E0079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18909DC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7F0288C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0DDCD02A"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64A63C5"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6EE241F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37" w:type="pct"/>
            <w:tcBorders>
              <w:top w:val="nil"/>
              <w:left w:val="nil"/>
              <w:bottom w:val="single" w:sz="4" w:space="0" w:color="auto"/>
              <w:right w:val="single" w:sz="4" w:space="0" w:color="auto"/>
            </w:tcBorders>
            <w:shd w:val="clear" w:color="000000" w:fill="FFFFFF"/>
            <w:noWrap/>
            <w:vAlign w:val="center"/>
            <w:hideMark/>
          </w:tcPr>
          <w:p w14:paraId="7908E8C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65D6407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6773843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55A44FA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1B8FB3E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72F635C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6A7B0E3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r>
      <w:tr w:rsidR="00AD27AF" w:rsidRPr="00216251" w14:paraId="72517BA5"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B2A849E"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D9E1F2"/>
            <w:noWrap/>
            <w:vAlign w:val="center"/>
            <w:hideMark/>
          </w:tcPr>
          <w:p w14:paraId="592E856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37" w:type="pct"/>
            <w:tcBorders>
              <w:top w:val="nil"/>
              <w:left w:val="nil"/>
              <w:bottom w:val="single" w:sz="4" w:space="0" w:color="auto"/>
              <w:right w:val="single" w:sz="4" w:space="0" w:color="auto"/>
            </w:tcBorders>
            <w:shd w:val="clear" w:color="000000" w:fill="D9E1F2"/>
            <w:noWrap/>
            <w:vAlign w:val="center"/>
            <w:hideMark/>
          </w:tcPr>
          <w:p w14:paraId="68C1935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1F2"/>
            <w:noWrap/>
            <w:vAlign w:val="center"/>
            <w:hideMark/>
          </w:tcPr>
          <w:p w14:paraId="653D79C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0275514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69BB30E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1F2"/>
            <w:noWrap/>
            <w:vAlign w:val="center"/>
            <w:hideMark/>
          </w:tcPr>
          <w:p w14:paraId="4D4F3B2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739C101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4523326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04D6D311"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B016E2A"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FFFFFF"/>
            <w:noWrap/>
            <w:vAlign w:val="center"/>
            <w:hideMark/>
          </w:tcPr>
          <w:p w14:paraId="40EC199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FFFFFF"/>
            <w:noWrap/>
            <w:vAlign w:val="center"/>
            <w:hideMark/>
          </w:tcPr>
          <w:p w14:paraId="3C9EE25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60%</w:t>
            </w:r>
          </w:p>
        </w:tc>
        <w:tc>
          <w:tcPr>
            <w:tcW w:w="399" w:type="pct"/>
            <w:tcBorders>
              <w:top w:val="nil"/>
              <w:left w:val="nil"/>
              <w:bottom w:val="single" w:sz="4" w:space="0" w:color="auto"/>
              <w:right w:val="single" w:sz="4" w:space="0" w:color="auto"/>
            </w:tcBorders>
            <w:shd w:val="clear" w:color="000000" w:fill="FFFFFF"/>
            <w:noWrap/>
            <w:vAlign w:val="center"/>
            <w:hideMark/>
          </w:tcPr>
          <w:p w14:paraId="365E02B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4F9A070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630CA9B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20%</w:t>
            </w:r>
          </w:p>
        </w:tc>
        <w:tc>
          <w:tcPr>
            <w:tcW w:w="471" w:type="pct"/>
            <w:tcBorders>
              <w:top w:val="nil"/>
              <w:left w:val="nil"/>
              <w:bottom w:val="single" w:sz="4" w:space="0" w:color="auto"/>
              <w:right w:val="single" w:sz="4" w:space="0" w:color="auto"/>
            </w:tcBorders>
            <w:shd w:val="clear" w:color="000000" w:fill="FFFFFF"/>
            <w:noWrap/>
            <w:vAlign w:val="center"/>
            <w:hideMark/>
          </w:tcPr>
          <w:p w14:paraId="77D82D0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3B43FA9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39F19B1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6AED6158"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06BD844"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lastRenderedPageBreak/>
              <w:t>The Career Index Plus (TCI+) and LMI</w:t>
            </w:r>
          </w:p>
        </w:tc>
        <w:tc>
          <w:tcPr>
            <w:tcW w:w="437" w:type="pct"/>
            <w:tcBorders>
              <w:top w:val="nil"/>
              <w:left w:val="nil"/>
              <w:bottom w:val="single" w:sz="4" w:space="0" w:color="auto"/>
              <w:right w:val="single" w:sz="4" w:space="0" w:color="auto"/>
            </w:tcBorders>
            <w:shd w:val="clear" w:color="000000" w:fill="D9E1F2"/>
            <w:noWrap/>
            <w:vAlign w:val="center"/>
            <w:hideMark/>
          </w:tcPr>
          <w:p w14:paraId="04547F2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D9E1F2"/>
            <w:noWrap/>
            <w:vAlign w:val="center"/>
            <w:hideMark/>
          </w:tcPr>
          <w:p w14:paraId="389F85F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1F2"/>
            <w:noWrap/>
            <w:vAlign w:val="center"/>
            <w:hideMark/>
          </w:tcPr>
          <w:p w14:paraId="5AE40DE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1F2"/>
            <w:noWrap/>
            <w:vAlign w:val="center"/>
            <w:hideMark/>
          </w:tcPr>
          <w:p w14:paraId="79F7473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1F2"/>
            <w:noWrap/>
            <w:vAlign w:val="center"/>
            <w:hideMark/>
          </w:tcPr>
          <w:p w14:paraId="1E72F39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1F2"/>
            <w:noWrap/>
            <w:vAlign w:val="center"/>
            <w:hideMark/>
          </w:tcPr>
          <w:p w14:paraId="3AF7210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35BBB09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7C73360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0FADE1E4"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FBC57E5"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Customized Employment</w:t>
            </w:r>
          </w:p>
        </w:tc>
        <w:tc>
          <w:tcPr>
            <w:tcW w:w="437" w:type="pct"/>
            <w:tcBorders>
              <w:top w:val="nil"/>
              <w:left w:val="nil"/>
              <w:bottom w:val="single" w:sz="4" w:space="0" w:color="auto"/>
              <w:right w:val="single" w:sz="4" w:space="0" w:color="auto"/>
            </w:tcBorders>
            <w:shd w:val="clear" w:color="000000" w:fill="FFFFFF"/>
            <w:noWrap/>
            <w:vAlign w:val="center"/>
            <w:hideMark/>
          </w:tcPr>
          <w:p w14:paraId="6784A77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437" w:type="pct"/>
            <w:tcBorders>
              <w:top w:val="nil"/>
              <w:left w:val="nil"/>
              <w:bottom w:val="single" w:sz="4" w:space="0" w:color="auto"/>
              <w:right w:val="single" w:sz="4" w:space="0" w:color="auto"/>
            </w:tcBorders>
            <w:shd w:val="clear" w:color="000000" w:fill="FFFFFF"/>
            <w:noWrap/>
            <w:vAlign w:val="center"/>
            <w:hideMark/>
          </w:tcPr>
          <w:p w14:paraId="6719275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78%</w:t>
            </w:r>
          </w:p>
        </w:tc>
        <w:tc>
          <w:tcPr>
            <w:tcW w:w="399" w:type="pct"/>
            <w:tcBorders>
              <w:top w:val="nil"/>
              <w:left w:val="nil"/>
              <w:bottom w:val="single" w:sz="4" w:space="0" w:color="auto"/>
              <w:right w:val="single" w:sz="4" w:space="0" w:color="auto"/>
            </w:tcBorders>
            <w:shd w:val="clear" w:color="000000" w:fill="FFFFFF"/>
            <w:noWrap/>
            <w:vAlign w:val="center"/>
            <w:hideMark/>
          </w:tcPr>
          <w:p w14:paraId="4B072DC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399" w:type="pct"/>
            <w:tcBorders>
              <w:top w:val="nil"/>
              <w:left w:val="nil"/>
              <w:bottom w:val="single" w:sz="4" w:space="0" w:color="auto"/>
              <w:right w:val="single" w:sz="4" w:space="0" w:color="auto"/>
            </w:tcBorders>
            <w:shd w:val="clear" w:color="000000" w:fill="FFFFFF"/>
            <w:noWrap/>
            <w:vAlign w:val="center"/>
            <w:hideMark/>
          </w:tcPr>
          <w:p w14:paraId="6D73870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040FF4A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471" w:type="pct"/>
            <w:tcBorders>
              <w:top w:val="nil"/>
              <w:left w:val="nil"/>
              <w:bottom w:val="single" w:sz="4" w:space="0" w:color="auto"/>
              <w:right w:val="single" w:sz="4" w:space="0" w:color="auto"/>
            </w:tcBorders>
            <w:shd w:val="clear" w:color="000000" w:fill="FFFFFF"/>
            <w:noWrap/>
            <w:vAlign w:val="center"/>
            <w:hideMark/>
          </w:tcPr>
          <w:p w14:paraId="732A88A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71" w:type="pct"/>
            <w:tcBorders>
              <w:top w:val="nil"/>
              <w:left w:val="nil"/>
              <w:bottom w:val="single" w:sz="4" w:space="0" w:color="auto"/>
              <w:right w:val="single" w:sz="4" w:space="0" w:color="auto"/>
            </w:tcBorders>
            <w:shd w:val="clear" w:color="000000" w:fill="FFFFFF"/>
            <w:noWrap/>
            <w:vAlign w:val="center"/>
            <w:hideMark/>
          </w:tcPr>
          <w:p w14:paraId="41C97FE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6A3BB57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33%</w:t>
            </w:r>
          </w:p>
        </w:tc>
      </w:tr>
      <w:tr w:rsidR="00AD27AF" w:rsidRPr="00216251" w14:paraId="2045E581" w14:textId="77777777" w:rsidTr="00C97C03">
        <w:trPr>
          <w:trHeight w:val="300"/>
        </w:trPr>
        <w:tc>
          <w:tcPr>
            <w:tcW w:w="1517" w:type="pct"/>
            <w:tcBorders>
              <w:top w:val="nil"/>
              <w:left w:val="nil"/>
              <w:bottom w:val="nil"/>
              <w:right w:val="nil"/>
            </w:tcBorders>
            <w:shd w:val="clear" w:color="auto" w:fill="auto"/>
            <w:noWrap/>
            <w:vAlign w:val="bottom"/>
            <w:hideMark/>
          </w:tcPr>
          <w:p w14:paraId="1CBF8FC4"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7BFB24EC"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6CC45FF4"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44A1F4F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43FCC80"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6E950E6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6755B52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5E141E4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4DAFDC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02FE2EDC"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34823A2A"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Michigan General</w:t>
            </w:r>
          </w:p>
        </w:tc>
      </w:tr>
      <w:tr w:rsidR="00AD27AF" w:rsidRPr="00216251" w14:paraId="26C8BFCF"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6C5859FA"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1480C48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2B0077C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4C0046D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41A98FE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210156F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4B71623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57D101A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0839A70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45E1A212"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7E7337FF"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25381CA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w:t>
            </w:r>
          </w:p>
        </w:tc>
        <w:tc>
          <w:tcPr>
            <w:tcW w:w="437" w:type="pct"/>
            <w:tcBorders>
              <w:top w:val="nil"/>
              <w:left w:val="nil"/>
              <w:bottom w:val="single" w:sz="4" w:space="0" w:color="auto"/>
              <w:right w:val="single" w:sz="4" w:space="0" w:color="auto"/>
            </w:tcBorders>
            <w:shd w:val="clear" w:color="000000" w:fill="FFFFFF"/>
            <w:noWrap/>
            <w:vAlign w:val="center"/>
            <w:hideMark/>
          </w:tcPr>
          <w:p w14:paraId="74AF5B6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06515AA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w:t>
            </w:r>
          </w:p>
        </w:tc>
        <w:tc>
          <w:tcPr>
            <w:tcW w:w="399" w:type="pct"/>
            <w:tcBorders>
              <w:top w:val="nil"/>
              <w:left w:val="nil"/>
              <w:bottom w:val="single" w:sz="4" w:space="0" w:color="auto"/>
              <w:right w:val="single" w:sz="4" w:space="0" w:color="auto"/>
            </w:tcBorders>
            <w:shd w:val="clear" w:color="000000" w:fill="FFFFFF"/>
            <w:noWrap/>
            <w:vAlign w:val="center"/>
            <w:hideMark/>
          </w:tcPr>
          <w:p w14:paraId="7A0E839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w:t>
            </w:r>
          </w:p>
        </w:tc>
        <w:tc>
          <w:tcPr>
            <w:tcW w:w="399" w:type="pct"/>
            <w:tcBorders>
              <w:top w:val="nil"/>
              <w:left w:val="nil"/>
              <w:bottom w:val="single" w:sz="4" w:space="0" w:color="auto"/>
              <w:right w:val="single" w:sz="4" w:space="0" w:color="auto"/>
            </w:tcBorders>
            <w:shd w:val="clear" w:color="000000" w:fill="FFFFFF"/>
            <w:noWrap/>
            <w:vAlign w:val="center"/>
            <w:hideMark/>
          </w:tcPr>
          <w:p w14:paraId="19DA2A8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619EDA7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262F8AA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08E7F65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r>
      <w:tr w:rsidR="00AD27AF" w:rsidRPr="00216251" w14:paraId="06BE2E75"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7C137729"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D9E1F2"/>
            <w:noWrap/>
            <w:vAlign w:val="center"/>
            <w:hideMark/>
          </w:tcPr>
          <w:p w14:paraId="11CF4BF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37" w:type="pct"/>
            <w:tcBorders>
              <w:top w:val="nil"/>
              <w:left w:val="nil"/>
              <w:bottom w:val="single" w:sz="4" w:space="0" w:color="auto"/>
              <w:right w:val="single" w:sz="4" w:space="0" w:color="auto"/>
            </w:tcBorders>
            <w:shd w:val="clear" w:color="000000" w:fill="D9E1F2"/>
            <w:noWrap/>
            <w:vAlign w:val="center"/>
            <w:hideMark/>
          </w:tcPr>
          <w:p w14:paraId="58A133B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399" w:type="pct"/>
            <w:tcBorders>
              <w:top w:val="nil"/>
              <w:left w:val="nil"/>
              <w:bottom w:val="single" w:sz="4" w:space="0" w:color="auto"/>
              <w:right w:val="single" w:sz="4" w:space="0" w:color="auto"/>
            </w:tcBorders>
            <w:shd w:val="clear" w:color="000000" w:fill="D9E1F2"/>
            <w:noWrap/>
            <w:vAlign w:val="center"/>
            <w:hideMark/>
          </w:tcPr>
          <w:p w14:paraId="3B48F0A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7845315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D9E1F2"/>
            <w:noWrap/>
            <w:vAlign w:val="center"/>
            <w:hideMark/>
          </w:tcPr>
          <w:p w14:paraId="1182244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48B5A90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7C2356F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72CB927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097EE366"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908E88A"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FFFFFF"/>
            <w:noWrap/>
            <w:vAlign w:val="center"/>
            <w:hideMark/>
          </w:tcPr>
          <w:p w14:paraId="75CDCC2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FFFFFF"/>
            <w:noWrap/>
            <w:vAlign w:val="center"/>
            <w:hideMark/>
          </w:tcPr>
          <w:p w14:paraId="731DBBB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70%</w:t>
            </w:r>
          </w:p>
        </w:tc>
        <w:tc>
          <w:tcPr>
            <w:tcW w:w="399" w:type="pct"/>
            <w:tcBorders>
              <w:top w:val="nil"/>
              <w:left w:val="nil"/>
              <w:bottom w:val="single" w:sz="4" w:space="0" w:color="auto"/>
              <w:right w:val="single" w:sz="4" w:space="0" w:color="auto"/>
            </w:tcBorders>
            <w:shd w:val="clear" w:color="000000" w:fill="FFFFFF"/>
            <w:noWrap/>
            <w:vAlign w:val="center"/>
            <w:hideMark/>
          </w:tcPr>
          <w:p w14:paraId="56B7940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5BB6B91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0BE6A9E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40%</w:t>
            </w:r>
          </w:p>
        </w:tc>
        <w:tc>
          <w:tcPr>
            <w:tcW w:w="471" w:type="pct"/>
            <w:tcBorders>
              <w:top w:val="nil"/>
              <w:left w:val="nil"/>
              <w:bottom w:val="single" w:sz="4" w:space="0" w:color="auto"/>
              <w:right w:val="single" w:sz="4" w:space="0" w:color="auto"/>
            </w:tcBorders>
            <w:shd w:val="clear" w:color="000000" w:fill="FFFFFF"/>
            <w:noWrap/>
            <w:vAlign w:val="center"/>
            <w:hideMark/>
          </w:tcPr>
          <w:p w14:paraId="2B11C06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630E874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3F67BB0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1D25D84B"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3E66A16"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The Career Index Plus (TCI+) and LMI</w:t>
            </w:r>
          </w:p>
        </w:tc>
        <w:tc>
          <w:tcPr>
            <w:tcW w:w="437" w:type="pct"/>
            <w:tcBorders>
              <w:top w:val="nil"/>
              <w:left w:val="nil"/>
              <w:bottom w:val="single" w:sz="4" w:space="0" w:color="auto"/>
              <w:right w:val="single" w:sz="4" w:space="0" w:color="auto"/>
            </w:tcBorders>
            <w:shd w:val="clear" w:color="000000" w:fill="D9E1F2"/>
            <w:noWrap/>
            <w:vAlign w:val="center"/>
            <w:hideMark/>
          </w:tcPr>
          <w:p w14:paraId="1980CA6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D9E1F2"/>
            <w:noWrap/>
            <w:vAlign w:val="center"/>
            <w:hideMark/>
          </w:tcPr>
          <w:p w14:paraId="7CE08C6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c>
          <w:tcPr>
            <w:tcW w:w="399" w:type="pct"/>
            <w:tcBorders>
              <w:top w:val="nil"/>
              <w:left w:val="nil"/>
              <w:bottom w:val="single" w:sz="4" w:space="0" w:color="auto"/>
              <w:right w:val="single" w:sz="4" w:space="0" w:color="auto"/>
            </w:tcBorders>
            <w:shd w:val="clear" w:color="000000" w:fill="D9E1F2"/>
            <w:noWrap/>
            <w:vAlign w:val="center"/>
            <w:hideMark/>
          </w:tcPr>
          <w:p w14:paraId="4D7843B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1F2"/>
            <w:noWrap/>
            <w:vAlign w:val="center"/>
            <w:hideMark/>
          </w:tcPr>
          <w:p w14:paraId="19CA586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D9E1F2"/>
            <w:noWrap/>
            <w:vAlign w:val="center"/>
            <w:hideMark/>
          </w:tcPr>
          <w:p w14:paraId="02AD9B7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593110D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4A6023A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6544D82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19A5A041"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FE77396"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Customized Employment</w:t>
            </w:r>
          </w:p>
        </w:tc>
        <w:tc>
          <w:tcPr>
            <w:tcW w:w="437" w:type="pct"/>
            <w:tcBorders>
              <w:top w:val="nil"/>
              <w:left w:val="nil"/>
              <w:bottom w:val="single" w:sz="4" w:space="0" w:color="auto"/>
              <w:right w:val="single" w:sz="4" w:space="0" w:color="auto"/>
            </w:tcBorders>
            <w:shd w:val="clear" w:color="000000" w:fill="FFFFFF"/>
            <w:noWrap/>
            <w:vAlign w:val="center"/>
            <w:hideMark/>
          </w:tcPr>
          <w:p w14:paraId="7D4A202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437" w:type="pct"/>
            <w:tcBorders>
              <w:top w:val="nil"/>
              <w:left w:val="nil"/>
              <w:bottom w:val="single" w:sz="4" w:space="0" w:color="auto"/>
              <w:right w:val="single" w:sz="4" w:space="0" w:color="auto"/>
            </w:tcBorders>
            <w:shd w:val="clear" w:color="000000" w:fill="FFFFFF"/>
            <w:noWrap/>
            <w:vAlign w:val="center"/>
            <w:hideMark/>
          </w:tcPr>
          <w:p w14:paraId="1FBF554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72%</w:t>
            </w:r>
          </w:p>
        </w:tc>
        <w:tc>
          <w:tcPr>
            <w:tcW w:w="399" w:type="pct"/>
            <w:tcBorders>
              <w:top w:val="nil"/>
              <w:left w:val="nil"/>
              <w:bottom w:val="single" w:sz="4" w:space="0" w:color="auto"/>
              <w:right w:val="single" w:sz="4" w:space="0" w:color="auto"/>
            </w:tcBorders>
            <w:shd w:val="clear" w:color="000000" w:fill="FFFFFF"/>
            <w:noWrap/>
            <w:vAlign w:val="center"/>
            <w:hideMark/>
          </w:tcPr>
          <w:p w14:paraId="0A373CC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399" w:type="pct"/>
            <w:tcBorders>
              <w:top w:val="nil"/>
              <w:left w:val="nil"/>
              <w:bottom w:val="single" w:sz="4" w:space="0" w:color="auto"/>
              <w:right w:val="single" w:sz="4" w:space="0" w:color="auto"/>
            </w:tcBorders>
            <w:shd w:val="clear" w:color="000000" w:fill="FFFFFF"/>
            <w:noWrap/>
            <w:vAlign w:val="center"/>
            <w:hideMark/>
          </w:tcPr>
          <w:p w14:paraId="0422F8F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4CB67D7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38%</w:t>
            </w:r>
          </w:p>
        </w:tc>
        <w:tc>
          <w:tcPr>
            <w:tcW w:w="471" w:type="pct"/>
            <w:tcBorders>
              <w:top w:val="nil"/>
              <w:left w:val="nil"/>
              <w:bottom w:val="single" w:sz="4" w:space="0" w:color="auto"/>
              <w:right w:val="single" w:sz="4" w:space="0" w:color="auto"/>
            </w:tcBorders>
            <w:shd w:val="clear" w:color="000000" w:fill="FFFFFF"/>
            <w:noWrap/>
            <w:vAlign w:val="center"/>
            <w:hideMark/>
          </w:tcPr>
          <w:p w14:paraId="0FF9091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71" w:type="pct"/>
            <w:tcBorders>
              <w:top w:val="nil"/>
              <w:left w:val="nil"/>
              <w:bottom w:val="single" w:sz="4" w:space="0" w:color="auto"/>
              <w:right w:val="single" w:sz="4" w:space="0" w:color="auto"/>
            </w:tcBorders>
            <w:shd w:val="clear" w:color="000000" w:fill="FFFFFF"/>
            <w:noWrap/>
            <w:vAlign w:val="center"/>
            <w:hideMark/>
          </w:tcPr>
          <w:p w14:paraId="5FDF7C2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1BAB674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79D20EC4" w14:textId="77777777" w:rsidTr="00C97C03">
        <w:trPr>
          <w:trHeight w:val="300"/>
        </w:trPr>
        <w:tc>
          <w:tcPr>
            <w:tcW w:w="1517" w:type="pct"/>
            <w:tcBorders>
              <w:top w:val="nil"/>
              <w:left w:val="nil"/>
              <w:bottom w:val="nil"/>
              <w:right w:val="nil"/>
            </w:tcBorders>
            <w:shd w:val="clear" w:color="auto" w:fill="auto"/>
            <w:noWrap/>
            <w:vAlign w:val="bottom"/>
            <w:hideMark/>
          </w:tcPr>
          <w:p w14:paraId="02019D75"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13023BB1"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57B8B2E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63B3D18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04794BA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3C58474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21B3EB3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0E53E7E4"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3F3C4CF"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6C9C4E08"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A8D5FAE"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Minnesota Blind</w:t>
            </w:r>
          </w:p>
        </w:tc>
      </w:tr>
      <w:tr w:rsidR="00AD27AF" w:rsidRPr="00216251" w14:paraId="34D1BE62"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436A6F1C"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653555B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4A2657C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3C0312C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5CF4958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2E18C36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070CB66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0DBDAC6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408B233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11DEF791"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D817630"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Section 511</w:t>
            </w:r>
          </w:p>
        </w:tc>
        <w:tc>
          <w:tcPr>
            <w:tcW w:w="437" w:type="pct"/>
            <w:tcBorders>
              <w:top w:val="nil"/>
              <w:left w:val="nil"/>
              <w:bottom w:val="single" w:sz="4" w:space="0" w:color="auto"/>
              <w:right w:val="single" w:sz="4" w:space="0" w:color="auto"/>
            </w:tcBorders>
            <w:shd w:val="clear" w:color="000000" w:fill="FFFFFF"/>
            <w:noWrap/>
            <w:vAlign w:val="center"/>
            <w:hideMark/>
          </w:tcPr>
          <w:p w14:paraId="1A9FFF4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FFFFFF"/>
            <w:noWrap/>
            <w:vAlign w:val="center"/>
            <w:hideMark/>
          </w:tcPr>
          <w:p w14:paraId="0712348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60759C5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1AFBC77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4820F95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340ABD9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1B18708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13A090C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r>
      <w:tr w:rsidR="00AD27AF" w:rsidRPr="00216251" w14:paraId="00758591"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1CC1DEA"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D9E1F2"/>
            <w:noWrap/>
            <w:vAlign w:val="center"/>
            <w:hideMark/>
          </w:tcPr>
          <w:p w14:paraId="7EA4623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D9E1F2"/>
            <w:noWrap/>
            <w:vAlign w:val="center"/>
            <w:hideMark/>
          </w:tcPr>
          <w:p w14:paraId="03599BE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88%</w:t>
            </w:r>
          </w:p>
        </w:tc>
        <w:tc>
          <w:tcPr>
            <w:tcW w:w="399" w:type="pct"/>
            <w:tcBorders>
              <w:top w:val="nil"/>
              <w:left w:val="nil"/>
              <w:bottom w:val="single" w:sz="4" w:space="0" w:color="auto"/>
              <w:right w:val="single" w:sz="4" w:space="0" w:color="auto"/>
            </w:tcBorders>
            <w:shd w:val="clear" w:color="000000" w:fill="D9E1F2"/>
            <w:noWrap/>
            <w:vAlign w:val="center"/>
            <w:hideMark/>
          </w:tcPr>
          <w:p w14:paraId="1FBE830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D9E1F2"/>
            <w:noWrap/>
            <w:vAlign w:val="center"/>
            <w:hideMark/>
          </w:tcPr>
          <w:p w14:paraId="6AB5470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D9E1F2"/>
            <w:noWrap/>
            <w:vAlign w:val="center"/>
            <w:hideMark/>
          </w:tcPr>
          <w:p w14:paraId="4773E80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c>
          <w:tcPr>
            <w:tcW w:w="471" w:type="pct"/>
            <w:tcBorders>
              <w:top w:val="nil"/>
              <w:left w:val="nil"/>
              <w:bottom w:val="single" w:sz="4" w:space="0" w:color="auto"/>
              <w:right w:val="single" w:sz="4" w:space="0" w:color="auto"/>
            </w:tcBorders>
            <w:shd w:val="clear" w:color="000000" w:fill="D9E1F2"/>
            <w:noWrap/>
            <w:vAlign w:val="center"/>
            <w:hideMark/>
          </w:tcPr>
          <w:p w14:paraId="4499761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4E541B8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0BB02B3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67DA5A6A"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791B6D6"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The Career Index Plus (TCI+) and LMI</w:t>
            </w:r>
          </w:p>
        </w:tc>
        <w:tc>
          <w:tcPr>
            <w:tcW w:w="437" w:type="pct"/>
            <w:tcBorders>
              <w:top w:val="nil"/>
              <w:left w:val="nil"/>
              <w:bottom w:val="single" w:sz="4" w:space="0" w:color="auto"/>
              <w:right w:val="single" w:sz="4" w:space="0" w:color="auto"/>
            </w:tcBorders>
            <w:shd w:val="clear" w:color="000000" w:fill="FFFFFF"/>
            <w:noWrap/>
            <w:vAlign w:val="center"/>
            <w:hideMark/>
          </w:tcPr>
          <w:p w14:paraId="6C1FFB3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FFFFFF"/>
            <w:noWrap/>
            <w:vAlign w:val="center"/>
            <w:hideMark/>
          </w:tcPr>
          <w:p w14:paraId="21F48F1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3E22752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4AF4D5B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2DB7E66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030F199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7554BE3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4F115AE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64C3C91F"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ECB7B4F"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Customized Employment</w:t>
            </w:r>
          </w:p>
        </w:tc>
        <w:tc>
          <w:tcPr>
            <w:tcW w:w="437" w:type="pct"/>
            <w:tcBorders>
              <w:top w:val="nil"/>
              <w:left w:val="nil"/>
              <w:bottom w:val="single" w:sz="4" w:space="0" w:color="auto"/>
              <w:right w:val="single" w:sz="4" w:space="0" w:color="auto"/>
            </w:tcBorders>
            <w:shd w:val="clear" w:color="000000" w:fill="D9E1F2"/>
            <w:noWrap/>
            <w:vAlign w:val="center"/>
            <w:hideMark/>
          </w:tcPr>
          <w:p w14:paraId="1F4667A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D9E1F2"/>
            <w:noWrap/>
            <w:vAlign w:val="center"/>
            <w:hideMark/>
          </w:tcPr>
          <w:p w14:paraId="6B0274D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88%</w:t>
            </w:r>
          </w:p>
        </w:tc>
        <w:tc>
          <w:tcPr>
            <w:tcW w:w="399" w:type="pct"/>
            <w:tcBorders>
              <w:top w:val="nil"/>
              <w:left w:val="nil"/>
              <w:bottom w:val="single" w:sz="4" w:space="0" w:color="auto"/>
              <w:right w:val="single" w:sz="4" w:space="0" w:color="auto"/>
            </w:tcBorders>
            <w:shd w:val="clear" w:color="000000" w:fill="D9E1F2"/>
            <w:noWrap/>
            <w:vAlign w:val="center"/>
            <w:hideMark/>
          </w:tcPr>
          <w:p w14:paraId="58491E6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D9E1F2"/>
            <w:noWrap/>
            <w:vAlign w:val="center"/>
            <w:hideMark/>
          </w:tcPr>
          <w:p w14:paraId="0820BF4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6B56901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c>
          <w:tcPr>
            <w:tcW w:w="471" w:type="pct"/>
            <w:tcBorders>
              <w:top w:val="nil"/>
              <w:left w:val="nil"/>
              <w:bottom w:val="single" w:sz="4" w:space="0" w:color="auto"/>
              <w:right w:val="single" w:sz="4" w:space="0" w:color="auto"/>
            </w:tcBorders>
            <w:shd w:val="clear" w:color="000000" w:fill="D9E1F2"/>
            <w:noWrap/>
            <w:vAlign w:val="center"/>
            <w:hideMark/>
          </w:tcPr>
          <w:p w14:paraId="72E2638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D9E1F2"/>
            <w:noWrap/>
            <w:vAlign w:val="center"/>
            <w:hideMark/>
          </w:tcPr>
          <w:p w14:paraId="7211DDA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327244B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r>
      <w:tr w:rsidR="00AD27AF" w:rsidRPr="00216251" w14:paraId="31C11429" w14:textId="77777777" w:rsidTr="00C97C03">
        <w:trPr>
          <w:trHeight w:val="300"/>
        </w:trPr>
        <w:tc>
          <w:tcPr>
            <w:tcW w:w="1517" w:type="pct"/>
            <w:tcBorders>
              <w:top w:val="nil"/>
              <w:left w:val="nil"/>
              <w:bottom w:val="nil"/>
              <w:right w:val="nil"/>
            </w:tcBorders>
            <w:shd w:val="clear" w:color="auto" w:fill="auto"/>
            <w:noWrap/>
            <w:vAlign w:val="bottom"/>
            <w:hideMark/>
          </w:tcPr>
          <w:p w14:paraId="46078885"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2A0D437D"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59E2DED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6F8B9C1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59EF40B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4A91C4B4"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553417A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A7BB7C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07465F4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486B3723"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572F30AD"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Minnesota General</w:t>
            </w:r>
          </w:p>
        </w:tc>
      </w:tr>
      <w:tr w:rsidR="00AD27AF" w:rsidRPr="00216251" w14:paraId="0939DF11"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542F0ED5"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2C58E86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69D8AE4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38A1D09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32CC676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66A6E05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2AFA076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54FA0BE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17A7537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6450E6F4"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C2F32B2"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09B88DE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w:t>
            </w:r>
          </w:p>
        </w:tc>
        <w:tc>
          <w:tcPr>
            <w:tcW w:w="437" w:type="pct"/>
            <w:tcBorders>
              <w:top w:val="nil"/>
              <w:left w:val="nil"/>
              <w:bottom w:val="single" w:sz="4" w:space="0" w:color="auto"/>
              <w:right w:val="single" w:sz="4" w:space="0" w:color="auto"/>
            </w:tcBorders>
            <w:shd w:val="clear" w:color="000000" w:fill="FFFFFF"/>
            <w:noWrap/>
            <w:vAlign w:val="center"/>
            <w:hideMark/>
          </w:tcPr>
          <w:p w14:paraId="0828124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94%</w:t>
            </w:r>
          </w:p>
        </w:tc>
        <w:tc>
          <w:tcPr>
            <w:tcW w:w="399" w:type="pct"/>
            <w:tcBorders>
              <w:top w:val="nil"/>
              <w:left w:val="nil"/>
              <w:bottom w:val="single" w:sz="4" w:space="0" w:color="auto"/>
              <w:right w:val="single" w:sz="4" w:space="0" w:color="auto"/>
            </w:tcBorders>
            <w:shd w:val="clear" w:color="000000" w:fill="FFFFFF"/>
            <w:noWrap/>
            <w:vAlign w:val="center"/>
            <w:hideMark/>
          </w:tcPr>
          <w:p w14:paraId="045245A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w:t>
            </w:r>
          </w:p>
        </w:tc>
        <w:tc>
          <w:tcPr>
            <w:tcW w:w="399" w:type="pct"/>
            <w:tcBorders>
              <w:top w:val="nil"/>
              <w:left w:val="nil"/>
              <w:bottom w:val="single" w:sz="4" w:space="0" w:color="auto"/>
              <w:right w:val="single" w:sz="4" w:space="0" w:color="auto"/>
            </w:tcBorders>
            <w:shd w:val="clear" w:color="000000" w:fill="FFFFFF"/>
            <w:noWrap/>
            <w:vAlign w:val="center"/>
            <w:hideMark/>
          </w:tcPr>
          <w:p w14:paraId="6347B87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399" w:type="pct"/>
            <w:tcBorders>
              <w:top w:val="nil"/>
              <w:left w:val="nil"/>
              <w:bottom w:val="single" w:sz="4" w:space="0" w:color="auto"/>
              <w:right w:val="single" w:sz="4" w:space="0" w:color="auto"/>
            </w:tcBorders>
            <w:shd w:val="clear" w:color="000000" w:fill="FFFFFF"/>
            <w:noWrap/>
            <w:vAlign w:val="center"/>
            <w:hideMark/>
          </w:tcPr>
          <w:p w14:paraId="517BA28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89%</w:t>
            </w:r>
          </w:p>
        </w:tc>
        <w:tc>
          <w:tcPr>
            <w:tcW w:w="471" w:type="pct"/>
            <w:tcBorders>
              <w:top w:val="nil"/>
              <w:left w:val="nil"/>
              <w:bottom w:val="single" w:sz="4" w:space="0" w:color="auto"/>
              <w:right w:val="single" w:sz="4" w:space="0" w:color="auto"/>
            </w:tcBorders>
            <w:shd w:val="clear" w:color="000000" w:fill="FFFFFF"/>
            <w:noWrap/>
            <w:vAlign w:val="center"/>
            <w:hideMark/>
          </w:tcPr>
          <w:p w14:paraId="0F1759A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0DD74D7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17C4648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0D255511"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EB91807"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Competitive Integrated Employment</w:t>
            </w:r>
          </w:p>
        </w:tc>
        <w:tc>
          <w:tcPr>
            <w:tcW w:w="437" w:type="pct"/>
            <w:tcBorders>
              <w:top w:val="nil"/>
              <w:left w:val="nil"/>
              <w:bottom w:val="single" w:sz="4" w:space="0" w:color="auto"/>
              <w:right w:val="single" w:sz="4" w:space="0" w:color="auto"/>
            </w:tcBorders>
            <w:shd w:val="clear" w:color="000000" w:fill="D9E1F2"/>
            <w:noWrap/>
            <w:vAlign w:val="center"/>
            <w:hideMark/>
          </w:tcPr>
          <w:p w14:paraId="6DDB81E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D9E1F2"/>
            <w:noWrap/>
            <w:vAlign w:val="center"/>
            <w:hideMark/>
          </w:tcPr>
          <w:p w14:paraId="1913986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1F2"/>
            <w:noWrap/>
            <w:vAlign w:val="center"/>
            <w:hideMark/>
          </w:tcPr>
          <w:p w14:paraId="1FCB138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1F2"/>
            <w:noWrap/>
            <w:vAlign w:val="center"/>
            <w:hideMark/>
          </w:tcPr>
          <w:p w14:paraId="4CB8963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1F2"/>
            <w:noWrap/>
            <w:vAlign w:val="center"/>
            <w:hideMark/>
          </w:tcPr>
          <w:p w14:paraId="60672E4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1F2"/>
            <w:noWrap/>
            <w:vAlign w:val="center"/>
            <w:hideMark/>
          </w:tcPr>
          <w:p w14:paraId="7166DDB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125393D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2B5C408E" w14:textId="77777777" w:rsidR="00AD27AF" w:rsidRPr="00216251" w:rsidRDefault="00AD27AF" w:rsidP="00AD27AF">
            <w:pPr>
              <w:spacing w:after="0" w:line="240" w:lineRule="auto"/>
              <w:ind w:firstLine="0"/>
              <w:jc w:val="center"/>
              <w:rPr>
                <w:rFonts w:ascii="Calibri" w:eastAsia="Times New Roman" w:hAnsi="Calibri" w:cs="Calibri"/>
                <w:color w:val="000000"/>
              </w:rPr>
            </w:pPr>
            <w:r>
              <w:rPr>
                <w:rFonts w:ascii="Calibri" w:eastAsia="Times New Roman" w:hAnsi="Calibri" w:cs="Calibri"/>
                <w:color w:val="000000"/>
              </w:rPr>
              <w:t>75</w:t>
            </w:r>
            <w:r w:rsidRPr="00216251">
              <w:rPr>
                <w:rFonts w:ascii="Calibri" w:eastAsia="Times New Roman" w:hAnsi="Calibri" w:cs="Calibri"/>
                <w:color w:val="000000"/>
              </w:rPr>
              <w:t>%</w:t>
            </w:r>
          </w:p>
        </w:tc>
      </w:tr>
      <w:tr w:rsidR="00AD27AF" w:rsidRPr="00216251" w14:paraId="372719AF"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C3D199B"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FFFFFF"/>
            <w:noWrap/>
            <w:vAlign w:val="center"/>
            <w:hideMark/>
          </w:tcPr>
          <w:p w14:paraId="7F0C447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37" w:type="pct"/>
            <w:tcBorders>
              <w:top w:val="nil"/>
              <w:left w:val="nil"/>
              <w:bottom w:val="single" w:sz="4" w:space="0" w:color="auto"/>
              <w:right w:val="single" w:sz="4" w:space="0" w:color="auto"/>
            </w:tcBorders>
            <w:shd w:val="clear" w:color="000000" w:fill="FFFFFF"/>
            <w:noWrap/>
            <w:vAlign w:val="center"/>
            <w:hideMark/>
          </w:tcPr>
          <w:p w14:paraId="14AC994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c>
          <w:tcPr>
            <w:tcW w:w="399" w:type="pct"/>
            <w:tcBorders>
              <w:top w:val="nil"/>
              <w:left w:val="nil"/>
              <w:bottom w:val="single" w:sz="4" w:space="0" w:color="auto"/>
              <w:right w:val="single" w:sz="4" w:space="0" w:color="auto"/>
            </w:tcBorders>
            <w:shd w:val="clear" w:color="000000" w:fill="FFFFFF"/>
            <w:noWrap/>
            <w:vAlign w:val="center"/>
            <w:hideMark/>
          </w:tcPr>
          <w:p w14:paraId="3C80E3E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FFFFFF"/>
            <w:noWrap/>
            <w:vAlign w:val="center"/>
            <w:hideMark/>
          </w:tcPr>
          <w:p w14:paraId="37B2F33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6729AC4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c>
          <w:tcPr>
            <w:tcW w:w="471" w:type="pct"/>
            <w:tcBorders>
              <w:top w:val="nil"/>
              <w:left w:val="nil"/>
              <w:bottom w:val="single" w:sz="4" w:space="0" w:color="auto"/>
              <w:right w:val="single" w:sz="4" w:space="0" w:color="auto"/>
            </w:tcBorders>
            <w:shd w:val="clear" w:color="000000" w:fill="FFFFFF"/>
            <w:noWrap/>
            <w:vAlign w:val="center"/>
            <w:hideMark/>
          </w:tcPr>
          <w:p w14:paraId="44C3AA3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2166BCB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7D62175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794EA3EE"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721132C0"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lastRenderedPageBreak/>
              <w:t>Customized Employment</w:t>
            </w:r>
          </w:p>
        </w:tc>
        <w:tc>
          <w:tcPr>
            <w:tcW w:w="437" w:type="pct"/>
            <w:tcBorders>
              <w:top w:val="nil"/>
              <w:left w:val="nil"/>
              <w:bottom w:val="single" w:sz="4" w:space="0" w:color="auto"/>
              <w:right w:val="single" w:sz="4" w:space="0" w:color="auto"/>
            </w:tcBorders>
            <w:shd w:val="clear" w:color="000000" w:fill="D9E1F2"/>
            <w:noWrap/>
            <w:vAlign w:val="center"/>
            <w:hideMark/>
          </w:tcPr>
          <w:p w14:paraId="18D4EA5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D9E1F2"/>
            <w:noWrap/>
            <w:vAlign w:val="center"/>
            <w:hideMark/>
          </w:tcPr>
          <w:p w14:paraId="3B2E9F0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1F2"/>
            <w:noWrap/>
            <w:vAlign w:val="center"/>
            <w:hideMark/>
          </w:tcPr>
          <w:p w14:paraId="069711A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D9E1F2"/>
            <w:noWrap/>
            <w:vAlign w:val="center"/>
            <w:hideMark/>
          </w:tcPr>
          <w:p w14:paraId="6C8D0C2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D9E1F2"/>
            <w:noWrap/>
            <w:vAlign w:val="center"/>
            <w:hideMark/>
          </w:tcPr>
          <w:p w14:paraId="7A18483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1F2"/>
            <w:noWrap/>
            <w:vAlign w:val="center"/>
            <w:hideMark/>
          </w:tcPr>
          <w:p w14:paraId="1097AFE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D9E1F2"/>
            <w:noWrap/>
            <w:vAlign w:val="center"/>
            <w:hideMark/>
          </w:tcPr>
          <w:p w14:paraId="26446B9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29DF5F1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33%</w:t>
            </w:r>
          </w:p>
        </w:tc>
      </w:tr>
      <w:tr w:rsidR="00AD27AF" w:rsidRPr="00216251" w14:paraId="0CA3F9B0" w14:textId="77777777" w:rsidTr="00C97C03">
        <w:trPr>
          <w:trHeight w:val="300"/>
        </w:trPr>
        <w:tc>
          <w:tcPr>
            <w:tcW w:w="1517" w:type="pct"/>
            <w:tcBorders>
              <w:top w:val="nil"/>
              <w:left w:val="nil"/>
              <w:bottom w:val="nil"/>
              <w:right w:val="nil"/>
            </w:tcBorders>
            <w:shd w:val="clear" w:color="auto" w:fill="auto"/>
            <w:noWrap/>
            <w:vAlign w:val="center"/>
            <w:hideMark/>
          </w:tcPr>
          <w:p w14:paraId="58F3C75D"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1B3415D3" w14:textId="77777777" w:rsidR="00AD27AF" w:rsidRPr="00216251" w:rsidRDefault="00AD27AF" w:rsidP="00AD27AF">
            <w:pPr>
              <w:spacing w:after="0" w:line="240" w:lineRule="auto"/>
              <w:ind w:firstLine="0"/>
              <w:jc w:val="right"/>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38360DBA"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0CB97CC1"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42F3A5F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832FB3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76DCBBA1"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0D170E5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88E0D60"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0A1580C4"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9AE984D"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Missouri General</w:t>
            </w:r>
          </w:p>
        </w:tc>
      </w:tr>
      <w:tr w:rsidR="00AD27AF" w:rsidRPr="00216251" w14:paraId="7F4AA5BE"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75F99AEB"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03B920A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7026AD7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16D97F4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30F59B7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595B078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143D200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0801D5A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496D405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2F33DB7A"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DC55D30"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Peer Mentoring</w:t>
            </w:r>
          </w:p>
        </w:tc>
        <w:tc>
          <w:tcPr>
            <w:tcW w:w="437" w:type="pct"/>
            <w:tcBorders>
              <w:top w:val="nil"/>
              <w:left w:val="nil"/>
              <w:bottom w:val="single" w:sz="4" w:space="0" w:color="auto"/>
              <w:right w:val="single" w:sz="4" w:space="0" w:color="auto"/>
            </w:tcBorders>
            <w:shd w:val="clear" w:color="000000" w:fill="FFFFFF"/>
            <w:noWrap/>
            <w:vAlign w:val="center"/>
            <w:hideMark/>
          </w:tcPr>
          <w:p w14:paraId="4794DB5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FFFFFF"/>
            <w:noWrap/>
            <w:vAlign w:val="center"/>
            <w:hideMark/>
          </w:tcPr>
          <w:p w14:paraId="34AEAD6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2C3E653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70BDB5E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38F9928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5978077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6CC3045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108A92F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353B88AB" w14:textId="77777777" w:rsidTr="00C97C03">
        <w:trPr>
          <w:trHeight w:val="300"/>
        </w:trPr>
        <w:tc>
          <w:tcPr>
            <w:tcW w:w="1517" w:type="pct"/>
            <w:tcBorders>
              <w:top w:val="nil"/>
              <w:left w:val="nil"/>
              <w:bottom w:val="nil"/>
              <w:right w:val="nil"/>
            </w:tcBorders>
            <w:shd w:val="clear" w:color="auto" w:fill="auto"/>
            <w:noWrap/>
            <w:vAlign w:val="bottom"/>
            <w:hideMark/>
          </w:tcPr>
          <w:p w14:paraId="7377AC70"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511F2BB7"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33DCDC0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3AF1DC7F"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6BA4D9D0"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E44ED0F"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254732E4"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3778118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444FA1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64B1F2C3"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47F6DE10"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Missouri General and Blind</w:t>
            </w:r>
          </w:p>
        </w:tc>
      </w:tr>
      <w:tr w:rsidR="00AD27AF" w:rsidRPr="00216251" w14:paraId="0ED9D969"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19BB12B6"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38C98AD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26E1035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214A369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371DF13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12BC809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649DC2A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1341311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4704666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3A32A693"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6765002"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Customized Employment</w:t>
            </w:r>
          </w:p>
        </w:tc>
        <w:tc>
          <w:tcPr>
            <w:tcW w:w="437" w:type="pct"/>
            <w:tcBorders>
              <w:top w:val="nil"/>
              <w:left w:val="nil"/>
              <w:bottom w:val="single" w:sz="4" w:space="0" w:color="auto"/>
              <w:right w:val="single" w:sz="4" w:space="0" w:color="auto"/>
            </w:tcBorders>
            <w:shd w:val="clear" w:color="000000" w:fill="FFFFFF"/>
            <w:noWrap/>
            <w:vAlign w:val="center"/>
            <w:hideMark/>
          </w:tcPr>
          <w:p w14:paraId="13E845C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FFFFFF"/>
            <w:noWrap/>
            <w:vAlign w:val="center"/>
            <w:hideMark/>
          </w:tcPr>
          <w:p w14:paraId="50C9B01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80%</w:t>
            </w:r>
          </w:p>
        </w:tc>
        <w:tc>
          <w:tcPr>
            <w:tcW w:w="399" w:type="pct"/>
            <w:tcBorders>
              <w:top w:val="nil"/>
              <w:left w:val="nil"/>
              <w:bottom w:val="single" w:sz="4" w:space="0" w:color="auto"/>
              <w:right w:val="single" w:sz="4" w:space="0" w:color="auto"/>
            </w:tcBorders>
            <w:shd w:val="clear" w:color="000000" w:fill="FFFFFF"/>
            <w:noWrap/>
            <w:vAlign w:val="center"/>
            <w:hideMark/>
          </w:tcPr>
          <w:p w14:paraId="6475698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075E2D9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4307F9F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80%</w:t>
            </w:r>
          </w:p>
        </w:tc>
        <w:tc>
          <w:tcPr>
            <w:tcW w:w="471" w:type="pct"/>
            <w:tcBorders>
              <w:top w:val="nil"/>
              <w:left w:val="nil"/>
              <w:bottom w:val="single" w:sz="4" w:space="0" w:color="auto"/>
              <w:right w:val="single" w:sz="4" w:space="0" w:color="auto"/>
            </w:tcBorders>
            <w:shd w:val="clear" w:color="000000" w:fill="FFFFFF"/>
            <w:noWrap/>
            <w:vAlign w:val="center"/>
            <w:hideMark/>
          </w:tcPr>
          <w:p w14:paraId="240E034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489F8BC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2BC185B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1FA549B4" w14:textId="77777777" w:rsidTr="00C97C03">
        <w:trPr>
          <w:trHeight w:val="300"/>
        </w:trPr>
        <w:tc>
          <w:tcPr>
            <w:tcW w:w="1517" w:type="pct"/>
            <w:tcBorders>
              <w:top w:val="nil"/>
              <w:left w:val="nil"/>
              <w:bottom w:val="nil"/>
              <w:right w:val="nil"/>
            </w:tcBorders>
            <w:shd w:val="clear" w:color="auto" w:fill="auto"/>
            <w:noWrap/>
            <w:vAlign w:val="bottom"/>
            <w:hideMark/>
          </w:tcPr>
          <w:p w14:paraId="442D35FC"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157CE38F"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7332A4B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78E5CA0F"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28589A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77FF7EC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FB046D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89B0504"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7E1C52E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330A207A"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23093384"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Mississippi Combined</w:t>
            </w:r>
          </w:p>
        </w:tc>
      </w:tr>
      <w:tr w:rsidR="00AD27AF" w:rsidRPr="00216251" w14:paraId="788F6C3C"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268CB3C6"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7ED9896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7A78D90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092BE78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745EAA4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6EB6ECA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7AA2EAA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5712382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7102193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2652AAE7"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1383ECC"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55CDDB7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37" w:type="pct"/>
            <w:tcBorders>
              <w:top w:val="nil"/>
              <w:left w:val="nil"/>
              <w:bottom w:val="single" w:sz="4" w:space="0" w:color="auto"/>
              <w:right w:val="single" w:sz="4" w:space="0" w:color="auto"/>
            </w:tcBorders>
            <w:shd w:val="clear" w:color="000000" w:fill="FFFFFF"/>
            <w:noWrap/>
            <w:vAlign w:val="center"/>
            <w:hideMark/>
          </w:tcPr>
          <w:p w14:paraId="55696FB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98%</w:t>
            </w:r>
          </w:p>
        </w:tc>
        <w:tc>
          <w:tcPr>
            <w:tcW w:w="399" w:type="pct"/>
            <w:tcBorders>
              <w:top w:val="nil"/>
              <w:left w:val="nil"/>
              <w:bottom w:val="single" w:sz="4" w:space="0" w:color="auto"/>
              <w:right w:val="single" w:sz="4" w:space="0" w:color="auto"/>
            </w:tcBorders>
            <w:shd w:val="clear" w:color="000000" w:fill="FFFFFF"/>
            <w:noWrap/>
            <w:vAlign w:val="center"/>
            <w:hideMark/>
          </w:tcPr>
          <w:p w14:paraId="48F0D47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FFFFFF"/>
            <w:noWrap/>
            <w:vAlign w:val="center"/>
            <w:hideMark/>
          </w:tcPr>
          <w:p w14:paraId="5A13D08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4533386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83%</w:t>
            </w:r>
          </w:p>
        </w:tc>
        <w:tc>
          <w:tcPr>
            <w:tcW w:w="471" w:type="pct"/>
            <w:tcBorders>
              <w:top w:val="nil"/>
              <w:left w:val="nil"/>
              <w:bottom w:val="single" w:sz="4" w:space="0" w:color="auto"/>
              <w:right w:val="single" w:sz="4" w:space="0" w:color="auto"/>
            </w:tcBorders>
            <w:shd w:val="clear" w:color="000000" w:fill="FFFFFF"/>
            <w:noWrap/>
            <w:vAlign w:val="center"/>
            <w:hideMark/>
          </w:tcPr>
          <w:p w14:paraId="5906FF0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7C72EAA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5FA05E6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r>
      <w:tr w:rsidR="00AD27AF" w:rsidRPr="00216251" w14:paraId="74E753CC"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C7321B4"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Section 511</w:t>
            </w:r>
          </w:p>
        </w:tc>
        <w:tc>
          <w:tcPr>
            <w:tcW w:w="437" w:type="pct"/>
            <w:tcBorders>
              <w:top w:val="nil"/>
              <w:left w:val="nil"/>
              <w:bottom w:val="single" w:sz="4" w:space="0" w:color="auto"/>
              <w:right w:val="single" w:sz="4" w:space="0" w:color="auto"/>
            </w:tcBorders>
            <w:shd w:val="clear" w:color="000000" w:fill="D9E1F2"/>
            <w:noWrap/>
            <w:vAlign w:val="center"/>
            <w:hideMark/>
          </w:tcPr>
          <w:p w14:paraId="77E0E2A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D9E1F2"/>
            <w:noWrap/>
            <w:vAlign w:val="center"/>
            <w:hideMark/>
          </w:tcPr>
          <w:p w14:paraId="0964594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1F2"/>
            <w:noWrap/>
            <w:vAlign w:val="center"/>
            <w:hideMark/>
          </w:tcPr>
          <w:p w14:paraId="69C25B4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D9E1F2"/>
            <w:noWrap/>
            <w:vAlign w:val="center"/>
            <w:hideMark/>
          </w:tcPr>
          <w:p w14:paraId="603576A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D9E1F2"/>
            <w:noWrap/>
            <w:vAlign w:val="center"/>
            <w:hideMark/>
          </w:tcPr>
          <w:p w14:paraId="7E1500A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1F2"/>
            <w:noWrap/>
            <w:vAlign w:val="center"/>
            <w:hideMark/>
          </w:tcPr>
          <w:p w14:paraId="06C65A9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028EF40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4133A25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688275DD"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9869D70"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FFFFFF"/>
            <w:noWrap/>
            <w:vAlign w:val="center"/>
            <w:hideMark/>
          </w:tcPr>
          <w:p w14:paraId="6C52B3E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FFFFFF"/>
            <w:noWrap/>
            <w:vAlign w:val="center"/>
            <w:hideMark/>
          </w:tcPr>
          <w:p w14:paraId="3BCD1D3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46E738C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2F79E3B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7220B60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80%</w:t>
            </w:r>
          </w:p>
        </w:tc>
        <w:tc>
          <w:tcPr>
            <w:tcW w:w="471" w:type="pct"/>
            <w:tcBorders>
              <w:top w:val="nil"/>
              <w:left w:val="nil"/>
              <w:bottom w:val="single" w:sz="4" w:space="0" w:color="auto"/>
              <w:right w:val="single" w:sz="4" w:space="0" w:color="auto"/>
            </w:tcBorders>
            <w:shd w:val="clear" w:color="000000" w:fill="FFFFFF"/>
            <w:noWrap/>
            <w:vAlign w:val="center"/>
            <w:hideMark/>
          </w:tcPr>
          <w:p w14:paraId="6BF3CAE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02BC387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09CF15C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r>
      <w:tr w:rsidR="00AD27AF" w:rsidRPr="00216251" w14:paraId="70C2844D"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FF08D9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D9E1F2"/>
            <w:noWrap/>
            <w:vAlign w:val="center"/>
            <w:hideMark/>
          </w:tcPr>
          <w:p w14:paraId="7A73F2F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D9E1F2"/>
            <w:noWrap/>
            <w:vAlign w:val="center"/>
            <w:hideMark/>
          </w:tcPr>
          <w:p w14:paraId="4D3D520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c>
          <w:tcPr>
            <w:tcW w:w="399" w:type="pct"/>
            <w:tcBorders>
              <w:top w:val="nil"/>
              <w:left w:val="nil"/>
              <w:bottom w:val="single" w:sz="4" w:space="0" w:color="auto"/>
              <w:right w:val="single" w:sz="4" w:space="0" w:color="auto"/>
            </w:tcBorders>
            <w:shd w:val="clear" w:color="000000" w:fill="D9E1F2"/>
            <w:noWrap/>
            <w:vAlign w:val="center"/>
            <w:hideMark/>
          </w:tcPr>
          <w:p w14:paraId="44810EC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D9E1F2"/>
            <w:noWrap/>
            <w:vAlign w:val="center"/>
            <w:hideMark/>
          </w:tcPr>
          <w:p w14:paraId="26214E5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D9E1F2"/>
            <w:noWrap/>
            <w:vAlign w:val="center"/>
            <w:hideMark/>
          </w:tcPr>
          <w:p w14:paraId="66C6920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60%</w:t>
            </w:r>
          </w:p>
        </w:tc>
        <w:tc>
          <w:tcPr>
            <w:tcW w:w="471" w:type="pct"/>
            <w:tcBorders>
              <w:top w:val="nil"/>
              <w:left w:val="nil"/>
              <w:bottom w:val="single" w:sz="4" w:space="0" w:color="auto"/>
              <w:right w:val="single" w:sz="4" w:space="0" w:color="auto"/>
            </w:tcBorders>
            <w:shd w:val="clear" w:color="000000" w:fill="D9E1F2"/>
            <w:noWrap/>
            <w:vAlign w:val="center"/>
            <w:hideMark/>
          </w:tcPr>
          <w:p w14:paraId="6ADDFCF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D9E1F2"/>
            <w:noWrap/>
            <w:vAlign w:val="center"/>
            <w:hideMark/>
          </w:tcPr>
          <w:p w14:paraId="613FC1A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65F485E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r>
      <w:tr w:rsidR="00AD27AF" w:rsidRPr="00216251" w14:paraId="079D0365"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715A687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Peer Mentoring</w:t>
            </w:r>
          </w:p>
        </w:tc>
        <w:tc>
          <w:tcPr>
            <w:tcW w:w="437" w:type="pct"/>
            <w:tcBorders>
              <w:top w:val="nil"/>
              <w:left w:val="nil"/>
              <w:bottom w:val="single" w:sz="4" w:space="0" w:color="auto"/>
              <w:right w:val="single" w:sz="4" w:space="0" w:color="auto"/>
            </w:tcBorders>
            <w:shd w:val="clear" w:color="000000" w:fill="FFFFFF"/>
            <w:noWrap/>
            <w:vAlign w:val="center"/>
            <w:hideMark/>
          </w:tcPr>
          <w:p w14:paraId="3465BB9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37" w:type="pct"/>
            <w:tcBorders>
              <w:top w:val="nil"/>
              <w:left w:val="nil"/>
              <w:bottom w:val="single" w:sz="4" w:space="0" w:color="auto"/>
              <w:right w:val="single" w:sz="4" w:space="0" w:color="auto"/>
            </w:tcBorders>
            <w:shd w:val="clear" w:color="000000" w:fill="FFFFFF"/>
            <w:noWrap/>
            <w:vAlign w:val="center"/>
            <w:hideMark/>
          </w:tcPr>
          <w:p w14:paraId="3DDAC2D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0C72497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17782D8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78772D5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0F14582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1A85898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0FFA124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6F0166EA"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D97F0FD"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Business Engagement</w:t>
            </w:r>
          </w:p>
        </w:tc>
        <w:tc>
          <w:tcPr>
            <w:tcW w:w="437" w:type="pct"/>
            <w:tcBorders>
              <w:top w:val="nil"/>
              <w:left w:val="nil"/>
              <w:bottom w:val="single" w:sz="4" w:space="0" w:color="auto"/>
              <w:right w:val="single" w:sz="4" w:space="0" w:color="auto"/>
            </w:tcBorders>
            <w:shd w:val="clear" w:color="000000" w:fill="D9E1F2"/>
            <w:noWrap/>
            <w:vAlign w:val="center"/>
            <w:hideMark/>
          </w:tcPr>
          <w:p w14:paraId="3904F5B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D9E1F2"/>
            <w:noWrap/>
            <w:vAlign w:val="center"/>
            <w:hideMark/>
          </w:tcPr>
          <w:p w14:paraId="0E529B1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c>
          <w:tcPr>
            <w:tcW w:w="399" w:type="pct"/>
            <w:tcBorders>
              <w:top w:val="nil"/>
              <w:left w:val="nil"/>
              <w:bottom w:val="single" w:sz="4" w:space="0" w:color="auto"/>
              <w:right w:val="single" w:sz="4" w:space="0" w:color="auto"/>
            </w:tcBorders>
            <w:shd w:val="clear" w:color="000000" w:fill="D9E1F2"/>
            <w:noWrap/>
            <w:vAlign w:val="center"/>
            <w:hideMark/>
          </w:tcPr>
          <w:p w14:paraId="12136FC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1F2"/>
            <w:noWrap/>
            <w:vAlign w:val="center"/>
            <w:hideMark/>
          </w:tcPr>
          <w:p w14:paraId="0EB423A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D9E1F2"/>
            <w:noWrap/>
            <w:vAlign w:val="center"/>
            <w:hideMark/>
          </w:tcPr>
          <w:p w14:paraId="2FC76E0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10D5695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66365A0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4E27FC2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6CB57502"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3D61DCA"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The Career Index Plus (TCI+) and LMI</w:t>
            </w:r>
          </w:p>
        </w:tc>
        <w:tc>
          <w:tcPr>
            <w:tcW w:w="437" w:type="pct"/>
            <w:tcBorders>
              <w:top w:val="nil"/>
              <w:left w:val="nil"/>
              <w:bottom w:val="single" w:sz="4" w:space="0" w:color="auto"/>
              <w:right w:val="single" w:sz="4" w:space="0" w:color="auto"/>
            </w:tcBorders>
            <w:shd w:val="clear" w:color="000000" w:fill="FFFFFF"/>
            <w:noWrap/>
            <w:vAlign w:val="center"/>
            <w:hideMark/>
          </w:tcPr>
          <w:p w14:paraId="68418EB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FFFFFF"/>
            <w:noWrap/>
            <w:vAlign w:val="center"/>
            <w:hideMark/>
          </w:tcPr>
          <w:p w14:paraId="360E105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98%</w:t>
            </w:r>
          </w:p>
        </w:tc>
        <w:tc>
          <w:tcPr>
            <w:tcW w:w="399" w:type="pct"/>
            <w:tcBorders>
              <w:top w:val="nil"/>
              <w:left w:val="nil"/>
              <w:bottom w:val="single" w:sz="4" w:space="0" w:color="auto"/>
              <w:right w:val="single" w:sz="4" w:space="0" w:color="auto"/>
            </w:tcBorders>
            <w:shd w:val="clear" w:color="000000" w:fill="FFFFFF"/>
            <w:noWrap/>
            <w:vAlign w:val="center"/>
            <w:hideMark/>
          </w:tcPr>
          <w:p w14:paraId="549613C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1C8287C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569F8AC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c>
          <w:tcPr>
            <w:tcW w:w="471" w:type="pct"/>
            <w:tcBorders>
              <w:top w:val="nil"/>
              <w:left w:val="nil"/>
              <w:bottom w:val="single" w:sz="4" w:space="0" w:color="auto"/>
              <w:right w:val="single" w:sz="4" w:space="0" w:color="auto"/>
            </w:tcBorders>
            <w:shd w:val="clear" w:color="000000" w:fill="FFFFFF"/>
            <w:noWrap/>
            <w:vAlign w:val="center"/>
            <w:hideMark/>
          </w:tcPr>
          <w:p w14:paraId="419BB19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0CF8914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36EAE73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2C7EC847"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7E4EB4E6"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Montana Combined</w:t>
            </w:r>
          </w:p>
        </w:tc>
      </w:tr>
      <w:tr w:rsidR="00AD27AF" w:rsidRPr="00216251" w14:paraId="0429FA4A"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16D614DA"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2DEAA67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1E020B9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4F825A5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56D0C34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21E138F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5852327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6466F2EB"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5C820C9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3C8D75C3"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9739EE8"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43A402B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37" w:type="pct"/>
            <w:tcBorders>
              <w:top w:val="nil"/>
              <w:left w:val="nil"/>
              <w:bottom w:val="single" w:sz="4" w:space="0" w:color="auto"/>
              <w:right w:val="single" w:sz="4" w:space="0" w:color="auto"/>
            </w:tcBorders>
            <w:shd w:val="clear" w:color="000000" w:fill="FFFFFF"/>
            <w:noWrap/>
            <w:vAlign w:val="center"/>
            <w:hideMark/>
          </w:tcPr>
          <w:p w14:paraId="06084D6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99%</w:t>
            </w:r>
          </w:p>
        </w:tc>
        <w:tc>
          <w:tcPr>
            <w:tcW w:w="399" w:type="pct"/>
            <w:tcBorders>
              <w:top w:val="nil"/>
              <w:left w:val="nil"/>
              <w:bottom w:val="single" w:sz="4" w:space="0" w:color="auto"/>
              <w:right w:val="single" w:sz="4" w:space="0" w:color="auto"/>
            </w:tcBorders>
            <w:shd w:val="clear" w:color="000000" w:fill="FFFFFF"/>
            <w:noWrap/>
            <w:vAlign w:val="center"/>
            <w:hideMark/>
          </w:tcPr>
          <w:p w14:paraId="078DD04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667C945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399" w:type="pct"/>
            <w:tcBorders>
              <w:top w:val="nil"/>
              <w:left w:val="nil"/>
              <w:bottom w:val="single" w:sz="4" w:space="0" w:color="auto"/>
              <w:right w:val="single" w:sz="4" w:space="0" w:color="auto"/>
            </w:tcBorders>
            <w:shd w:val="clear" w:color="000000" w:fill="FFFFFF"/>
            <w:noWrap/>
            <w:vAlign w:val="center"/>
            <w:hideMark/>
          </w:tcPr>
          <w:p w14:paraId="545428F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86%</w:t>
            </w:r>
          </w:p>
        </w:tc>
        <w:tc>
          <w:tcPr>
            <w:tcW w:w="471" w:type="pct"/>
            <w:tcBorders>
              <w:top w:val="nil"/>
              <w:left w:val="nil"/>
              <w:bottom w:val="single" w:sz="4" w:space="0" w:color="auto"/>
              <w:right w:val="single" w:sz="4" w:space="0" w:color="auto"/>
            </w:tcBorders>
            <w:shd w:val="clear" w:color="000000" w:fill="FFFFFF"/>
            <w:noWrap/>
            <w:vAlign w:val="center"/>
            <w:hideMark/>
          </w:tcPr>
          <w:p w14:paraId="3BB5927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3FC15C5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78003F6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r>
      <w:tr w:rsidR="00AD27AF" w:rsidRPr="00216251" w14:paraId="3822BEDE"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19EB92C8"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lastRenderedPageBreak/>
              <w:t>Common Performance Measures</w:t>
            </w:r>
          </w:p>
        </w:tc>
        <w:tc>
          <w:tcPr>
            <w:tcW w:w="437" w:type="pct"/>
            <w:tcBorders>
              <w:top w:val="nil"/>
              <w:left w:val="nil"/>
              <w:bottom w:val="single" w:sz="4" w:space="0" w:color="auto"/>
              <w:right w:val="single" w:sz="4" w:space="0" w:color="auto"/>
            </w:tcBorders>
            <w:shd w:val="clear" w:color="000000" w:fill="D9E1F2"/>
            <w:noWrap/>
            <w:vAlign w:val="center"/>
            <w:hideMark/>
          </w:tcPr>
          <w:p w14:paraId="7D6ACD6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D9E1F2"/>
            <w:noWrap/>
            <w:vAlign w:val="center"/>
            <w:hideMark/>
          </w:tcPr>
          <w:p w14:paraId="0557FFC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70%</w:t>
            </w:r>
          </w:p>
        </w:tc>
        <w:tc>
          <w:tcPr>
            <w:tcW w:w="399" w:type="pct"/>
            <w:tcBorders>
              <w:top w:val="nil"/>
              <w:left w:val="nil"/>
              <w:bottom w:val="single" w:sz="4" w:space="0" w:color="auto"/>
              <w:right w:val="single" w:sz="4" w:space="0" w:color="auto"/>
            </w:tcBorders>
            <w:shd w:val="clear" w:color="000000" w:fill="D9E1F2"/>
            <w:noWrap/>
            <w:vAlign w:val="center"/>
            <w:hideMark/>
          </w:tcPr>
          <w:p w14:paraId="1BFD4BA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D9E1F2"/>
            <w:noWrap/>
            <w:vAlign w:val="center"/>
            <w:hideMark/>
          </w:tcPr>
          <w:p w14:paraId="5F4BA93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74A6BC1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40%</w:t>
            </w:r>
          </w:p>
        </w:tc>
        <w:tc>
          <w:tcPr>
            <w:tcW w:w="471" w:type="pct"/>
            <w:tcBorders>
              <w:top w:val="nil"/>
              <w:left w:val="nil"/>
              <w:bottom w:val="single" w:sz="4" w:space="0" w:color="auto"/>
              <w:right w:val="single" w:sz="4" w:space="0" w:color="auto"/>
            </w:tcBorders>
            <w:shd w:val="clear" w:color="000000" w:fill="D9E1F2"/>
            <w:noWrap/>
            <w:vAlign w:val="center"/>
            <w:hideMark/>
          </w:tcPr>
          <w:p w14:paraId="3B8B229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63BAB91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0D5CB1E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14F7B2E9"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8012876"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Customized Employment</w:t>
            </w:r>
          </w:p>
        </w:tc>
        <w:tc>
          <w:tcPr>
            <w:tcW w:w="437" w:type="pct"/>
            <w:tcBorders>
              <w:top w:val="nil"/>
              <w:left w:val="nil"/>
              <w:bottom w:val="single" w:sz="4" w:space="0" w:color="auto"/>
              <w:right w:val="single" w:sz="4" w:space="0" w:color="auto"/>
            </w:tcBorders>
            <w:shd w:val="clear" w:color="000000" w:fill="FFFFFF"/>
            <w:noWrap/>
            <w:vAlign w:val="center"/>
            <w:hideMark/>
          </w:tcPr>
          <w:p w14:paraId="4F79FA3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FFFFFF"/>
            <w:noWrap/>
            <w:vAlign w:val="center"/>
            <w:hideMark/>
          </w:tcPr>
          <w:p w14:paraId="1581683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c>
          <w:tcPr>
            <w:tcW w:w="399" w:type="pct"/>
            <w:tcBorders>
              <w:top w:val="nil"/>
              <w:left w:val="nil"/>
              <w:bottom w:val="single" w:sz="4" w:space="0" w:color="auto"/>
              <w:right w:val="single" w:sz="4" w:space="0" w:color="auto"/>
            </w:tcBorders>
            <w:shd w:val="clear" w:color="000000" w:fill="FFFFFF"/>
            <w:noWrap/>
            <w:vAlign w:val="center"/>
            <w:hideMark/>
          </w:tcPr>
          <w:p w14:paraId="208834C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245DFA4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445862C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c>
          <w:tcPr>
            <w:tcW w:w="471" w:type="pct"/>
            <w:tcBorders>
              <w:top w:val="nil"/>
              <w:left w:val="nil"/>
              <w:bottom w:val="single" w:sz="4" w:space="0" w:color="auto"/>
              <w:right w:val="single" w:sz="4" w:space="0" w:color="auto"/>
            </w:tcBorders>
            <w:shd w:val="clear" w:color="000000" w:fill="FFFFFF"/>
            <w:noWrap/>
            <w:vAlign w:val="center"/>
            <w:hideMark/>
          </w:tcPr>
          <w:p w14:paraId="0DD1F0A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4A098B9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6B3CC25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54A312D4" w14:textId="77777777" w:rsidTr="00C97C03">
        <w:trPr>
          <w:trHeight w:val="300"/>
        </w:trPr>
        <w:tc>
          <w:tcPr>
            <w:tcW w:w="1517" w:type="pct"/>
            <w:tcBorders>
              <w:top w:val="nil"/>
              <w:left w:val="nil"/>
              <w:bottom w:val="nil"/>
              <w:right w:val="nil"/>
            </w:tcBorders>
            <w:shd w:val="clear" w:color="auto" w:fill="auto"/>
            <w:noWrap/>
            <w:vAlign w:val="bottom"/>
            <w:hideMark/>
          </w:tcPr>
          <w:p w14:paraId="7D975681"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31DE861B"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40CB7B5F"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5948C2E0"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576903A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72BD4C2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631F0FAA"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39A8E01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EA9014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60440A11"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F162988"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Nebraska General</w:t>
            </w:r>
          </w:p>
        </w:tc>
      </w:tr>
      <w:tr w:rsidR="00AD27AF" w:rsidRPr="00216251" w14:paraId="5E3967DB"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2D4308D7"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7FB6F1B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286358D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0652F5E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37B0B70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116A30A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31DA525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1F957FE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45580EB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6724F8BF"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B52338B"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auto" w:fill="auto"/>
            <w:noWrap/>
            <w:vAlign w:val="center"/>
            <w:hideMark/>
          </w:tcPr>
          <w:p w14:paraId="7B90466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auto" w:fill="auto"/>
            <w:noWrap/>
            <w:vAlign w:val="center"/>
            <w:hideMark/>
          </w:tcPr>
          <w:p w14:paraId="68EA586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auto" w:fill="auto"/>
            <w:noWrap/>
            <w:vAlign w:val="center"/>
            <w:hideMark/>
          </w:tcPr>
          <w:p w14:paraId="014F3A9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auto" w:fill="auto"/>
            <w:noWrap/>
            <w:vAlign w:val="center"/>
            <w:hideMark/>
          </w:tcPr>
          <w:p w14:paraId="5788A44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auto" w:fill="auto"/>
            <w:noWrap/>
            <w:vAlign w:val="center"/>
            <w:hideMark/>
          </w:tcPr>
          <w:p w14:paraId="301217D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auto" w:fill="auto"/>
            <w:noWrap/>
            <w:vAlign w:val="center"/>
            <w:hideMark/>
          </w:tcPr>
          <w:p w14:paraId="4128C02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auto" w:fill="auto"/>
            <w:noWrap/>
            <w:vAlign w:val="center"/>
            <w:hideMark/>
          </w:tcPr>
          <w:p w14:paraId="5360BBC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auto" w:fill="auto"/>
            <w:noWrap/>
            <w:vAlign w:val="center"/>
            <w:hideMark/>
          </w:tcPr>
          <w:p w14:paraId="4111E90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#DIV/0!</w:t>
            </w:r>
          </w:p>
        </w:tc>
      </w:tr>
      <w:tr w:rsidR="00AD27AF" w:rsidRPr="00216251" w14:paraId="367B1613" w14:textId="77777777" w:rsidTr="00C97C03">
        <w:trPr>
          <w:trHeight w:val="300"/>
        </w:trPr>
        <w:tc>
          <w:tcPr>
            <w:tcW w:w="1517" w:type="pct"/>
            <w:tcBorders>
              <w:top w:val="nil"/>
              <w:left w:val="nil"/>
              <w:bottom w:val="nil"/>
              <w:right w:val="nil"/>
            </w:tcBorders>
            <w:shd w:val="clear" w:color="auto" w:fill="auto"/>
            <w:noWrap/>
            <w:vAlign w:val="bottom"/>
            <w:hideMark/>
          </w:tcPr>
          <w:p w14:paraId="10679D5E"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720CDACA"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723267B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2C122A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65B5EC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4A4FA04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6BC5AA0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918924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5EB08F6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531D06DA"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2B0AA9B3"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Nevada Combined</w:t>
            </w:r>
          </w:p>
        </w:tc>
      </w:tr>
      <w:tr w:rsidR="00AD27AF" w:rsidRPr="00216251" w14:paraId="451FA6E1"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1B9CB655"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660BAC4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68DBF72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59A48BB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18901C4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6B99D03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06D5DAE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553C5CD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07C2541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1FD0DD2E"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A51E100"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62319FF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37" w:type="pct"/>
            <w:tcBorders>
              <w:top w:val="nil"/>
              <w:left w:val="nil"/>
              <w:bottom w:val="single" w:sz="4" w:space="0" w:color="auto"/>
              <w:right w:val="single" w:sz="4" w:space="0" w:color="auto"/>
            </w:tcBorders>
            <w:shd w:val="clear" w:color="000000" w:fill="FFFFFF"/>
            <w:noWrap/>
            <w:vAlign w:val="center"/>
            <w:hideMark/>
          </w:tcPr>
          <w:p w14:paraId="24D3380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56182D5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78905E8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5587983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4DE860B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66D2E5F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43CCB88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r>
      <w:tr w:rsidR="00AD27AF" w:rsidRPr="00216251" w14:paraId="0A4ABC63"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AC1ED07"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Section 511</w:t>
            </w:r>
          </w:p>
        </w:tc>
        <w:tc>
          <w:tcPr>
            <w:tcW w:w="437" w:type="pct"/>
            <w:tcBorders>
              <w:top w:val="nil"/>
              <w:left w:val="nil"/>
              <w:bottom w:val="single" w:sz="4" w:space="0" w:color="auto"/>
              <w:right w:val="single" w:sz="4" w:space="0" w:color="auto"/>
            </w:tcBorders>
            <w:shd w:val="clear" w:color="000000" w:fill="D9E1F2"/>
            <w:noWrap/>
            <w:vAlign w:val="center"/>
            <w:hideMark/>
          </w:tcPr>
          <w:p w14:paraId="6CAEEBA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37" w:type="pct"/>
            <w:tcBorders>
              <w:top w:val="nil"/>
              <w:left w:val="nil"/>
              <w:bottom w:val="single" w:sz="4" w:space="0" w:color="auto"/>
              <w:right w:val="single" w:sz="4" w:space="0" w:color="auto"/>
            </w:tcBorders>
            <w:shd w:val="clear" w:color="000000" w:fill="D9E1F2"/>
            <w:noWrap/>
            <w:vAlign w:val="center"/>
            <w:hideMark/>
          </w:tcPr>
          <w:p w14:paraId="0D94264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1F2"/>
            <w:noWrap/>
            <w:vAlign w:val="center"/>
            <w:hideMark/>
          </w:tcPr>
          <w:p w14:paraId="078DA1A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5F7F430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303C638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1F2"/>
            <w:noWrap/>
            <w:vAlign w:val="center"/>
            <w:hideMark/>
          </w:tcPr>
          <w:p w14:paraId="17C3EE8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52A3079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5365FA9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35C2C0F1"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7029D36A"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FFFFFF"/>
            <w:noWrap/>
            <w:vAlign w:val="center"/>
            <w:hideMark/>
          </w:tcPr>
          <w:p w14:paraId="0FA0853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FFFFFF"/>
            <w:noWrap/>
            <w:vAlign w:val="center"/>
            <w:hideMark/>
          </w:tcPr>
          <w:p w14:paraId="1C2364A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85%</w:t>
            </w:r>
          </w:p>
        </w:tc>
        <w:tc>
          <w:tcPr>
            <w:tcW w:w="399" w:type="pct"/>
            <w:tcBorders>
              <w:top w:val="nil"/>
              <w:left w:val="nil"/>
              <w:bottom w:val="single" w:sz="4" w:space="0" w:color="auto"/>
              <w:right w:val="single" w:sz="4" w:space="0" w:color="auto"/>
            </w:tcBorders>
            <w:shd w:val="clear" w:color="000000" w:fill="FFFFFF"/>
            <w:noWrap/>
            <w:vAlign w:val="center"/>
            <w:hideMark/>
          </w:tcPr>
          <w:p w14:paraId="14D8193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414BB9E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1126CC5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80%</w:t>
            </w:r>
          </w:p>
        </w:tc>
        <w:tc>
          <w:tcPr>
            <w:tcW w:w="471" w:type="pct"/>
            <w:tcBorders>
              <w:top w:val="nil"/>
              <w:left w:val="nil"/>
              <w:bottom w:val="single" w:sz="4" w:space="0" w:color="auto"/>
              <w:right w:val="single" w:sz="4" w:space="0" w:color="auto"/>
            </w:tcBorders>
            <w:shd w:val="clear" w:color="000000" w:fill="FFFFFF"/>
            <w:noWrap/>
            <w:vAlign w:val="center"/>
            <w:hideMark/>
          </w:tcPr>
          <w:p w14:paraId="187A437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257B94A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1102DC1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5078F194"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B709BD2"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SARA*</w:t>
            </w:r>
          </w:p>
        </w:tc>
        <w:tc>
          <w:tcPr>
            <w:tcW w:w="437" w:type="pct"/>
            <w:tcBorders>
              <w:top w:val="nil"/>
              <w:left w:val="nil"/>
              <w:bottom w:val="single" w:sz="4" w:space="0" w:color="auto"/>
              <w:right w:val="single" w:sz="4" w:space="0" w:color="auto"/>
            </w:tcBorders>
            <w:shd w:val="clear" w:color="000000" w:fill="D9E1F2"/>
            <w:noWrap/>
            <w:vAlign w:val="center"/>
            <w:hideMark/>
          </w:tcPr>
          <w:p w14:paraId="7A16789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37" w:type="pct"/>
            <w:tcBorders>
              <w:top w:val="nil"/>
              <w:left w:val="nil"/>
              <w:bottom w:val="single" w:sz="4" w:space="0" w:color="auto"/>
              <w:right w:val="single" w:sz="4" w:space="0" w:color="auto"/>
            </w:tcBorders>
            <w:shd w:val="clear" w:color="000000" w:fill="D9E1F2"/>
            <w:noWrap/>
            <w:vAlign w:val="center"/>
            <w:hideMark/>
          </w:tcPr>
          <w:p w14:paraId="4B1D26A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1F2"/>
            <w:noWrap/>
            <w:vAlign w:val="center"/>
            <w:hideMark/>
          </w:tcPr>
          <w:p w14:paraId="385FA60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D9E1F2"/>
            <w:noWrap/>
            <w:vAlign w:val="center"/>
            <w:hideMark/>
          </w:tcPr>
          <w:p w14:paraId="48708B6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D9E1F2"/>
            <w:noWrap/>
            <w:vAlign w:val="center"/>
            <w:hideMark/>
          </w:tcPr>
          <w:p w14:paraId="20A168E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1F2"/>
            <w:noWrap/>
            <w:vAlign w:val="center"/>
            <w:hideMark/>
          </w:tcPr>
          <w:p w14:paraId="6B42485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71" w:type="pct"/>
            <w:tcBorders>
              <w:top w:val="nil"/>
              <w:left w:val="nil"/>
              <w:bottom w:val="single" w:sz="4" w:space="0" w:color="auto"/>
              <w:right w:val="single" w:sz="4" w:space="0" w:color="auto"/>
            </w:tcBorders>
            <w:shd w:val="clear" w:color="000000" w:fill="D9E1F2"/>
            <w:noWrap/>
            <w:vAlign w:val="center"/>
            <w:hideMark/>
          </w:tcPr>
          <w:p w14:paraId="68DF584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71" w:type="pct"/>
            <w:tcBorders>
              <w:top w:val="nil"/>
              <w:left w:val="nil"/>
              <w:bottom w:val="single" w:sz="4" w:space="0" w:color="auto"/>
              <w:right w:val="single" w:sz="4" w:space="0" w:color="auto"/>
            </w:tcBorders>
            <w:shd w:val="clear" w:color="000000" w:fill="D9E1F2"/>
            <w:noWrap/>
            <w:vAlign w:val="center"/>
            <w:hideMark/>
          </w:tcPr>
          <w:p w14:paraId="5B4A67B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86%</w:t>
            </w:r>
          </w:p>
        </w:tc>
      </w:tr>
      <w:tr w:rsidR="00AD27AF" w:rsidRPr="00216251" w14:paraId="7873F328"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AD89368"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Customized Employment</w:t>
            </w:r>
          </w:p>
        </w:tc>
        <w:tc>
          <w:tcPr>
            <w:tcW w:w="437" w:type="pct"/>
            <w:tcBorders>
              <w:top w:val="nil"/>
              <w:left w:val="nil"/>
              <w:bottom w:val="single" w:sz="4" w:space="0" w:color="auto"/>
              <w:right w:val="single" w:sz="4" w:space="0" w:color="auto"/>
            </w:tcBorders>
            <w:shd w:val="clear" w:color="000000" w:fill="FFFFFF"/>
            <w:noWrap/>
            <w:vAlign w:val="center"/>
            <w:hideMark/>
          </w:tcPr>
          <w:p w14:paraId="719BD20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FFFFFF"/>
            <w:noWrap/>
            <w:vAlign w:val="center"/>
            <w:hideMark/>
          </w:tcPr>
          <w:p w14:paraId="01D60B5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58%</w:t>
            </w:r>
          </w:p>
        </w:tc>
        <w:tc>
          <w:tcPr>
            <w:tcW w:w="399" w:type="pct"/>
            <w:tcBorders>
              <w:top w:val="nil"/>
              <w:left w:val="nil"/>
              <w:bottom w:val="single" w:sz="4" w:space="0" w:color="auto"/>
              <w:right w:val="single" w:sz="4" w:space="0" w:color="auto"/>
            </w:tcBorders>
            <w:shd w:val="clear" w:color="000000" w:fill="FFFFFF"/>
            <w:noWrap/>
            <w:vAlign w:val="center"/>
            <w:hideMark/>
          </w:tcPr>
          <w:p w14:paraId="0B7D377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5DC5683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793BAEE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33%</w:t>
            </w:r>
          </w:p>
        </w:tc>
        <w:tc>
          <w:tcPr>
            <w:tcW w:w="471" w:type="pct"/>
            <w:tcBorders>
              <w:top w:val="nil"/>
              <w:left w:val="nil"/>
              <w:bottom w:val="single" w:sz="4" w:space="0" w:color="auto"/>
              <w:right w:val="single" w:sz="4" w:space="0" w:color="auto"/>
            </w:tcBorders>
            <w:shd w:val="clear" w:color="000000" w:fill="FFFFFF"/>
            <w:noWrap/>
            <w:vAlign w:val="center"/>
            <w:hideMark/>
          </w:tcPr>
          <w:p w14:paraId="01B0E56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7A5D570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69E1046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40D85DE8" w14:textId="77777777" w:rsidTr="00C97C03">
        <w:trPr>
          <w:trHeight w:val="300"/>
        </w:trPr>
        <w:tc>
          <w:tcPr>
            <w:tcW w:w="1517" w:type="pct"/>
            <w:tcBorders>
              <w:top w:val="nil"/>
              <w:left w:val="nil"/>
              <w:bottom w:val="nil"/>
              <w:right w:val="nil"/>
            </w:tcBorders>
            <w:shd w:val="clear" w:color="auto" w:fill="auto"/>
            <w:noWrap/>
            <w:vAlign w:val="bottom"/>
            <w:hideMark/>
          </w:tcPr>
          <w:p w14:paraId="134447C2"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3D81ABA1"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32A2044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0C8AC18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422F388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8995144"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1CCF619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5ADFA70F"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5118D60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13A7211B"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47975510"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New Hampshire Combined</w:t>
            </w:r>
          </w:p>
        </w:tc>
      </w:tr>
      <w:tr w:rsidR="00AD27AF" w:rsidRPr="00216251" w14:paraId="3F8A4A5F"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0DADB791"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5C67F65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1B62381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220E344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15F7650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4EEC697B"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5E9771A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72EF983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6CB0391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43331DBA"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753E878"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290A01C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FFFFFF"/>
            <w:noWrap/>
            <w:vAlign w:val="center"/>
            <w:hideMark/>
          </w:tcPr>
          <w:p w14:paraId="7FF34CB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c>
          <w:tcPr>
            <w:tcW w:w="399" w:type="pct"/>
            <w:tcBorders>
              <w:top w:val="nil"/>
              <w:left w:val="nil"/>
              <w:bottom w:val="single" w:sz="4" w:space="0" w:color="auto"/>
              <w:right w:val="single" w:sz="4" w:space="0" w:color="auto"/>
            </w:tcBorders>
            <w:shd w:val="clear" w:color="000000" w:fill="FFFFFF"/>
            <w:noWrap/>
            <w:vAlign w:val="center"/>
            <w:hideMark/>
          </w:tcPr>
          <w:p w14:paraId="33D2FA5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3FDBEBF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FFFFFF"/>
            <w:noWrap/>
            <w:vAlign w:val="center"/>
            <w:hideMark/>
          </w:tcPr>
          <w:p w14:paraId="72F7902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1E62484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3B7C1F2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23C477C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2D9D7C04"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1B0830A7"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D9E1F2"/>
            <w:noWrap/>
            <w:vAlign w:val="center"/>
            <w:hideMark/>
          </w:tcPr>
          <w:p w14:paraId="243F467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D9E1F2"/>
            <w:noWrap/>
            <w:vAlign w:val="center"/>
            <w:hideMark/>
          </w:tcPr>
          <w:p w14:paraId="2A7F2E3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c>
          <w:tcPr>
            <w:tcW w:w="399" w:type="pct"/>
            <w:tcBorders>
              <w:top w:val="nil"/>
              <w:left w:val="nil"/>
              <w:bottom w:val="single" w:sz="4" w:space="0" w:color="auto"/>
              <w:right w:val="single" w:sz="4" w:space="0" w:color="auto"/>
            </w:tcBorders>
            <w:shd w:val="clear" w:color="000000" w:fill="D9E1F2"/>
            <w:noWrap/>
            <w:vAlign w:val="center"/>
            <w:hideMark/>
          </w:tcPr>
          <w:p w14:paraId="6C1D4F9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D9E1F2"/>
            <w:noWrap/>
            <w:vAlign w:val="center"/>
            <w:hideMark/>
          </w:tcPr>
          <w:p w14:paraId="3B8362F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D9E1F2"/>
            <w:noWrap/>
            <w:vAlign w:val="center"/>
            <w:hideMark/>
          </w:tcPr>
          <w:p w14:paraId="3A789B8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3FF3AFA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02A5C40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2C5E02C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3448B657"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DAB6944"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FFFFFF"/>
            <w:noWrap/>
            <w:vAlign w:val="center"/>
            <w:hideMark/>
          </w:tcPr>
          <w:p w14:paraId="03F217F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37" w:type="pct"/>
            <w:tcBorders>
              <w:top w:val="nil"/>
              <w:left w:val="nil"/>
              <w:bottom w:val="single" w:sz="4" w:space="0" w:color="auto"/>
              <w:right w:val="single" w:sz="4" w:space="0" w:color="auto"/>
            </w:tcBorders>
            <w:shd w:val="clear" w:color="000000" w:fill="FFFFFF"/>
            <w:noWrap/>
            <w:vAlign w:val="center"/>
            <w:hideMark/>
          </w:tcPr>
          <w:p w14:paraId="798D41E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3B26347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43B7119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612ACAA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41AE8CF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6061CC9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22F1E0C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r>
      <w:tr w:rsidR="00AD27AF" w:rsidRPr="00216251" w14:paraId="52AA327D" w14:textId="77777777" w:rsidTr="00C97C03">
        <w:trPr>
          <w:trHeight w:val="300"/>
        </w:trPr>
        <w:tc>
          <w:tcPr>
            <w:tcW w:w="1517" w:type="pct"/>
            <w:tcBorders>
              <w:top w:val="nil"/>
              <w:left w:val="nil"/>
              <w:bottom w:val="nil"/>
              <w:right w:val="nil"/>
            </w:tcBorders>
            <w:shd w:val="clear" w:color="auto" w:fill="auto"/>
            <w:noWrap/>
            <w:vAlign w:val="center"/>
            <w:hideMark/>
          </w:tcPr>
          <w:p w14:paraId="6487FA1A"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4F9290C2" w14:textId="77777777" w:rsidR="00AD27AF" w:rsidRPr="00216251" w:rsidRDefault="00AD27AF" w:rsidP="00AD27AF">
            <w:pPr>
              <w:spacing w:after="0" w:line="240" w:lineRule="auto"/>
              <w:ind w:firstLine="0"/>
              <w:jc w:val="right"/>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44C8501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53B59EF4"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799FE89A"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06AB66B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78903D3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508A474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63DDE51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bl>
    <w:p w14:paraId="04773403" w14:textId="77777777" w:rsidR="00AD27AF" w:rsidRDefault="00AD27AF">
      <w:r>
        <w:br w:type="page"/>
      </w:r>
    </w:p>
    <w:tbl>
      <w:tblPr>
        <w:tblW w:w="5000" w:type="pct"/>
        <w:tblLook w:val="04A0" w:firstRow="1" w:lastRow="0" w:firstColumn="1" w:lastColumn="0" w:noHBand="0" w:noVBand="1"/>
      </w:tblPr>
      <w:tblGrid>
        <w:gridCol w:w="2840"/>
        <w:gridCol w:w="818"/>
        <w:gridCol w:w="818"/>
        <w:gridCol w:w="747"/>
        <w:gridCol w:w="747"/>
        <w:gridCol w:w="747"/>
        <w:gridCol w:w="881"/>
        <w:gridCol w:w="881"/>
        <w:gridCol w:w="881"/>
      </w:tblGrid>
      <w:tr w:rsidR="00AD27AF" w:rsidRPr="00216251" w14:paraId="06325E25"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665FD9C6" w14:textId="523CE056"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lastRenderedPageBreak/>
              <w:t>New York General</w:t>
            </w:r>
          </w:p>
        </w:tc>
      </w:tr>
      <w:tr w:rsidR="00AD27AF" w:rsidRPr="00216251" w14:paraId="3DB893CF"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5552636B"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54BCDFA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6CDC029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4F5B882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05826C2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777CBC6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0755D01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021D774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3F76702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5D7DC8B4"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6D0B334E"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The Career Index Plus (TCI+) and LMI</w:t>
            </w:r>
          </w:p>
        </w:tc>
        <w:tc>
          <w:tcPr>
            <w:tcW w:w="437" w:type="pct"/>
            <w:tcBorders>
              <w:top w:val="nil"/>
              <w:left w:val="nil"/>
              <w:bottom w:val="single" w:sz="4" w:space="0" w:color="auto"/>
              <w:right w:val="single" w:sz="4" w:space="0" w:color="auto"/>
            </w:tcBorders>
            <w:shd w:val="clear" w:color="000000" w:fill="FFFFFF"/>
            <w:noWrap/>
            <w:vAlign w:val="center"/>
            <w:hideMark/>
          </w:tcPr>
          <w:p w14:paraId="61BC1FA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FFFFFF"/>
            <w:noWrap/>
            <w:vAlign w:val="center"/>
            <w:hideMark/>
          </w:tcPr>
          <w:p w14:paraId="0916841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3FD5171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6CE4309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0929CDA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23C3589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182B237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49FBD74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67A07BA4" w14:textId="77777777" w:rsidTr="00C97C03">
        <w:trPr>
          <w:trHeight w:val="300"/>
        </w:trPr>
        <w:tc>
          <w:tcPr>
            <w:tcW w:w="1517" w:type="pct"/>
            <w:tcBorders>
              <w:top w:val="nil"/>
              <w:left w:val="nil"/>
              <w:bottom w:val="nil"/>
              <w:right w:val="nil"/>
            </w:tcBorders>
            <w:shd w:val="clear" w:color="auto" w:fill="auto"/>
            <w:noWrap/>
            <w:vAlign w:val="bottom"/>
            <w:hideMark/>
          </w:tcPr>
          <w:p w14:paraId="3D899767"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6282277A"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3631641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FD987FF"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7742F99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5F6EA372"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32813B3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22CA391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2FC644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280B48FC"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12B44016"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North Carolina General and Blind</w:t>
            </w:r>
          </w:p>
        </w:tc>
      </w:tr>
      <w:tr w:rsidR="00AD27AF" w:rsidRPr="00216251" w14:paraId="23B365E6"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53FBBFD7"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7BFB823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7ABF02B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0CD73F9B"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38AFE82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4F6A585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3DCBED9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536616C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0E851CE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3C3B7252"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3458EC1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526514E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37" w:type="pct"/>
            <w:tcBorders>
              <w:top w:val="nil"/>
              <w:left w:val="nil"/>
              <w:bottom w:val="single" w:sz="4" w:space="0" w:color="auto"/>
              <w:right w:val="single" w:sz="4" w:space="0" w:color="auto"/>
            </w:tcBorders>
            <w:shd w:val="clear" w:color="000000" w:fill="FFFFFF"/>
            <w:noWrap/>
            <w:vAlign w:val="center"/>
            <w:hideMark/>
          </w:tcPr>
          <w:p w14:paraId="0ADFBBC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82%</w:t>
            </w:r>
          </w:p>
        </w:tc>
        <w:tc>
          <w:tcPr>
            <w:tcW w:w="399" w:type="pct"/>
            <w:tcBorders>
              <w:top w:val="nil"/>
              <w:left w:val="nil"/>
              <w:bottom w:val="single" w:sz="4" w:space="0" w:color="auto"/>
              <w:right w:val="single" w:sz="4" w:space="0" w:color="auto"/>
            </w:tcBorders>
            <w:shd w:val="clear" w:color="000000" w:fill="FFFFFF"/>
            <w:noWrap/>
            <w:vAlign w:val="center"/>
            <w:hideMark/>
          </w:tcPr>
          <w:p w14:paraId="4432D32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6CDB323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3021766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57%</w:t>
            </w:r>
          </w:p>
        </w:tc>
        <w:tc>
          <w:tcPr>
            <w:tcW w:w="471" w:type="pct"/>
            <w:tcBorders>
              <w:top w:val="nil"/>
              <w:left w:val="nil"/>
              <w:bottom w:val="single" w:sz="4" w:space="0" w:color="auto"/>
              <w:right w:val="single" w:sz="4" w:space="0" w:color="auto"/>
            </w:tcBorders>
            <w:shd w:val="clear" w:color="000000" w:fill="FFFFFF"/>
            <w:noWrap/>
            <w:vAlign w:val="center"/>
            <w:hideMark/>
          </w:tcPr>
          <w:p w14:paraId="0EC7A61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1C3B3F9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2803FE3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69BA59AA"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F9D896E"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D9E1F2"/>
            <w:noWrap/>
            <w:vAlign w:val="center"/>
            <w:hideMark/>
          </w:tcPr>
          <w:p w14:paraId="69AE326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D9E1F2"/>
            <w:noWrap/>
            <w:vAlign w:val="center"/>
            <w:hideMark/>
          </w:tcPr>
          <w:p w14:paraId="5AD0736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63%</w:t>
            </w:r>
          </w:p>
        </w:tc>
        <w:tc>
          <w:tcPr>
            <w:tcW w:w="399" w:type="pct"/>
            <w:tcBorders>
              <w:top w:val="nil"/>
              <w:left w:val="nil"/>
              <w:bottom w:val="single" w:sz="4" w:space="0" w:color="auto"/>
              <w:right w:val="single" w:sz="4" w:space="0" w:color="auto"/>
            </w:tcBorders>
            <w:shd w:val="clear" w:color="000000" w:fill="D9E1F2"/>
            <w:noWrap/>
            <w:vAlign w:val="center"/>
            <w:hideMark/>
          </w:tcPr>
          <w:p w14:paraId="09E83C6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D9E1F2"/>
            <w:noWrap/>
            <w:vAlign w:val="center"/>
            <w:hideMark/>
          </w:tcPr>
          <w:p w14:paraId="2D61997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1449AC4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471" w:type="pct"/>
            <w:tcBorders>
              <w:top w:val="nil"/>
              <w:left w:val="nil"/>
              <w:bottom w:val="single" w:sz="4" w:space="0" w:color="auto"/>
              <w:right w:val="single" w:sz="4" w:space="0" w:color="auto"/>
            </w:tcBorders>
            <w:shd w:val="clear" w:color="000000" w:fill="D9E1F2"/>
            <w:noWrap/>
            <w:vAlign w:val="center"/>
            <w:hideMark/>
          </w:tcPr>
          <w:p w14:paraId="6963A45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2EA3A6E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57476A0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6A896E23"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D0EBC87"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FFFFFF"/>
            <w:noWrap/>
            <w:vAlign w:val="center"/>
            <w:hideMark/>
          </w:tcPr>
          <w:p w14:paraId="296364D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FFFFFF"/>
            <w:noWrap/>
            <w:vAlign w:val="center"/>
            <w:hideMark/>
          </w:tcPr>
          <w:p w14:paraId="6520E8E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85%</w:t>
            </w:r>
          </w:p>
        </w:tc>
        <w:tc>
          <w:tcPr>
            <w:tcW w:w="399" w:type="pct"/>
            <w:tcBorders>
              <w:top w:val="nil"/>
              <w:left w:val="nil"/>
              <w:bottom w:val="single" w:sz="4" w:space="0" w:color="auto"/>
              <w:right w:val="single" w:sz="4" w:space="0" w:color="auto"/>
            </w:tcBorders>
            <w:shd w:val="clear" w:color="000000" w:fill="FFFFFF"/>
            <w:noWrap/>
            <w:vAlign w:val="center"/>
            <w:hideMark/>
          </w:tcPr>
          <w:p w14:paraId="3A94648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69E14AC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02FDEBC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80%</w:t>
            </w:r>
          </w:p>
        </w:tc>
        <w:tc>
          <w:tcPr>
            <w:tcW w:w="471" w:type="pct"/>
            <w:tcBorders>
              <w:top w:val="nil"/>
              <w:left w:val="nil"/>
              <w:bottom w:val="single" w:sz="4" w:space="0" w:color="auto"/>
              <w:right w:val="single" w:sz="4" w:space="0" w:color="auto"/>
            </w:tcBorders>
            <w:shd w:val="clear" w:color="000000" w:fill="FFFFFF"/>
            <w:noWrap/>
            <w:vAlign w:val="center"/>
            <w:hideMark/>
          </w:tcPr>
          <w:p w14:paraId="624A784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5DF4E68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173BC1E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r>
      <w:tr w:rsidR="00AD27AF" w:rsidRPr="00216251" w14:paraId="03336043" w14:textId="77777777" w:rsidTr="00C97C03">
        <w:trPr>
          <w:trHeight w:val="300"/>
        </w:trPr>
        <w:tc>
          <w:tcPr>
            <w:tcW w:w="1517" w:type="pct"/>
            <w:tcBorders>
              <w:top w:val="nil"/>
              <w:left w:val="nil"/>
              <w:bottom w:val="nil"/>
              <w:right w:val="nil"/>
            </w:tcBorders>
            <w:shd w:val="clear" w:color="auto" w:fill="auto"/>
            <w:noWrap/>
            <w:vAlign w:val="center"/>
            <w:hideMark/>
          </w:tcPr>
          <w:p w14:paraId="355324A9"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51B2291B" w14:textId="77777777" w:rsidR="00AD27AF" w:rsidRPr="00216251" w:rsidRDefault="00AD27AF" w:rsidP="00AD27AF">
            <w:pPr>
              <w:spacing w:after="0" w:line="240" w:lineRule="auto"/>
              <w:ind w:firstLine="0"/>
              <w:jc w:val="right"/>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3ADFD61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3825E031"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016807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A4BCFD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697241A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5F4E755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5FF98A1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63B60C78"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65009DE3"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Oregon General</w:t>
            </w:r>
          </w:p>
        </w:tc>
      </w:tr>
      <w:tr w:rsidR="00AD27AF" w:rsidRPr="00216251" w14:paraId="61462619"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5A0943DD"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307D612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5506112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64CBFCA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00A8481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52E287C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577EB21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3282B30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5B1C21B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21D93F5A"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B3064E6"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Business Engagement</w:t>
            </w:r>
          </w:p>
        </w:tc>
        <w:tc>
          <w:tcPr>
            <w:tcW w:w="437" w:type="pct"/>
            <w:tcBorders>
              <w:top w:val="nil"/>
              <w:left w:val="nil"/>
              <w:bottom w:val="single" w:sz="4" w:space="0" w:color="auto"/>
              <w:right w:val="single" w:sz="4" w:space="0" w:color="auto"/>
            </w:tcBorders>
            <w:shd w:val="clear" w:color="000000" w:fill="FFFFFF"/>
            <w:noWrap/>
            <w:vAlign w:val="center"/>
            <w:hideMark/>
          </w:tcPr>
          <w:p w14:paraId="6A9BA0E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FFFFFF"/>
            <w:noWrap/>
            <w:vAlign w:val="center"/>
            <w:hideMark/>
          </w:tcPr>
          <w:p w14:paraId="6F786D1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399" w:type="pct"/>
            <w:tcBorders>
              <w:top w:val="nil"/>
              <w:left w:val="nil"/>
              <w:bottom w:val="single" w:sz="4" w:space="0" w:color="auto"/>
              <w:right w:val="single" w:sz="4" w:space="0" w:color="auto"/>
            </w:tcBorders>
            <w:shd w:val="clear" w:color="000000" w:fill="FFFFFF"/>
            <w:noWrap/>
            <w:vAlign w:val="center"/>
            <w:hideMark/>
          </w:tcPr>
          <w:p w14:paraId="79FF28B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4CCA927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12625EF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20%</w:t>
            </w:r>
          </w:p>
        </w:tc>
        <w:tc>
          <w:tcPr>
            <w:tcW w:w="471" w:type="pct"/>
            <w:tcBorders>
              <w:top w:val="nil"/>
              <w:left w:val="nil"/>
              <w:bottom w:val="single" w:sz="4" w:space="0" w:color="auto"/>
              <w:right w:val="single" w:sz="4" w:space="0" w:color="auto"/>
            </w:tcBorders>
            <w:shd w:val="clear" w:color="000000" w:fill="FFFFFF"/>
            <w:noWrap/>
            <w:vAlign w:val="center"/>
            <w:hideMark/>
          </w:tcPr>
          <w:p w14:paraId="62E1DAE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0D96EFF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727F89E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6B844E1C" w14:textId="77777777" w:rsidTr="00C97C03">
        <w:trPr>
          <w:trHeight w:val="300"/>
        </w:trPr>
        <w:tc>
          <w:tcPr>
            <w:tcW w:w="1517" w:type="pct"/>
            <w:tcBorders>
              <w:top w:val="nil"/>
              <w:left w:val="nil"/>
              <w:bottom w:val="nil"/>
              <w:right w:val="nil"/>
            </w:tcBorders>
            <w:shd w:val="clear" w:color="auto" w:fill="auto"/>
            <w:noWrap/>
            <w:vAlign w:val="center"/>
            <w:hideMark/>
          </w:tcPr>
          <w:p w14:paraId="2660259B"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518F70D7" w14:textId="77777777" w:rsidR="00AD27AF" w:rsidRPr="00216251" w:rsidRDefault="00AD27AF" w:rsidP="00AD27AF">
            <w:pPr>
              <w:spacing w:after="0" w:line="240" w:lineRule="auto"/>
              <w:ind w:firstLine="0"/>
              <w:jc w:val="right"/>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06E8D78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DA10D5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6899E6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388E4FB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6954D8A"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68CC7F1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0834C55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4518C0D5"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4DB57365"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Pennsylvania</w:t>
            </w:r>
          </w:p>
        </w:tc>
      </w:tr>
      <w:tr w:rsidR="00AD27AF" w:rsidRPr="00216251" w14:paraId="02ED1167"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61AA8EBB"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6732969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1AC805F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06995F7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44EF714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30D99AF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271ADE5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4CD02C3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693DCCF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4998CD78"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BC13E95"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1F8AD3B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FFFFFF"/>
            <w:noWrap/>
            <w:vAlign w:val="center"/>
            <w:hideMark/>
          </w:tcPr>
          <w:p w14:paraId="2BE9E2F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80%</w:t>
            </w:r>
          </w:p>
        </w:tc>
        <w:tc>
          <w:tcPr>
            <w:tcW w:w="399" w:type="pct"/>
            <w:tcBorders>
              <w:top w:val="nil"/>
              <w:left w:val="nil"/>
              <w:bottom w:val="single" w:sz="4" w:space="0" w:color="auto"/>
              <w:right w:val="single" w:sz="4" w:space="0" w:color="auto"/>
            </w:tcBorders>
            <w:shd w:val="clear" w:color="000000" w:fill="FFFFFF"/>
            <w:noWrap/>
            <w:vAlign w:val="center"/>
            <w:hideMark/>
          </w:tcPr>
          <w:p w14:paraId="46B3CC8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7ABA51D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58E2E6D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c>
          <w:tcPr>
            <w:tcW w:w="471" w:type="pct"/>
            <w:tcBorders>
              <w:top w:val="nil"/>
              <w:left w:val="nil"/>
              <w:bottom w:val="single" w:sz="4" w:space="0" w:color="auto"/>
              <w:right w:val="single" w:sz="4" w:space="0" w:color="auto"/>
            </w:tcBorders>
            <w:shd w:val="clear" w:color="000000" w:fill="FFFFFF"/>
            <w:noWrap/>
            <w:vAlign w:val="center"/>
            <w:hideMark/>
          </w:tcPr>
          <w:p w14:paraId="13BFC85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3F7658F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3A40235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66BD7625" w14:textId="77777777" w:rsidTr="00C97C03">
        <w:trPr>
          <w:trHeight w:val="300"/>
        </w:trPr>
        <w:tc>
          <w:tcPr>
            <w:tcW w:w="1517" w:type="pct"/>
            <w:tcBorders>
              <w:top w:val="nil"/>
              <w:left w:val="nil"/>
              <w:bottom w:val="nil"/>
              <w:right w:val="nil"/>
            </w:tcBorders>
            <w:shd w:val="clear" w:color="auto" w:fill="auto"/>
            <w:noWrap/>
            <w:vAlign w:val="bottom"/>
            <w:hideMark/>
          </w:tcPr>
          <w:p w14:paraId="060F6105"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1709A9ED"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68C8A9E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752B2E0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1492A3D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58A3E6A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22D3E74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365BCC5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7ABAAE4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bl>
    <w:p w14:paraId="33A875E8" w14:textId="77777777" w:rsidR="00AD27AF" w:rsidRDefault="00AD27AF">
      <w:r>
        <w:br w:type="page"/>
      </w:r>
    </w:p>
    <w:tbl>
      <w:tblPr>
        <w:tblW w:w="5000" w:type="pct"/>
        <w:tblLook w:val="04A0" w:firstRow="1" w:lastRow="0" w:firstColumn="1" w:lastColumn="0" w:noHBand="0" w:noVBand="1"/>
      </w:tblPr>
      <w:tblGrid>
        <w:gridCol w:w="2840"/>
        <w:gridCol w:w="818"/>
        <w:gridCol w:w="818"/>
        <w:gridCol w:w="747"/>
        <w:gridCol w:w="747"/>
        <w:gridCol w:w="747"/>
        <w:gridCol w:w="881"/>
        <w:gridCol w:w="881"/>
        <w:gridCol w:w="881"/>
      </w:tblGrid>
      <w:tr w:rsidR="00AD27AF" w:rsidRPr="00216251" w14:paraId="4286DD1A"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D6A4FDF" w14:textId="6C1318BA"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lastRenderedPageBreak/>
              <w:t>Puerto Rico Combined</w:t>
            </w:r>
          </w:p>
        </w:tc>
      </w:tr>
      <w:tr w:rsidR="00AD27AF" w:rsidRPr="00216251" w14:paraId="2F82A805"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4ADD0609"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1C3D6E1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7BB48A7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583106F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6BE4346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2CBA252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7C2F76AB"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43E87ED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4957271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5297D42D"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274906C"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0CD5597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37" w:type="pct"/>
            <w:tcBorders>
              <w:top w:val="nil"/>
              <w:left w:val="nil"/>
              <w:bottom w:val="single" w:sz="4" w:space="0" w:color="auto"/>
              <w:right w:val="single" w:sz="4" w:space="0" w:color="auto"/>
            </w:tcBorders>
            <w:shd w:val="clear" w:color="000000" w:fill="FFFFFF"/>
            <w:noWrap/>
            <w:vAlign w:val="center"/>
            <w:hideMark/>
          </w:tcPr>
          <w:p w14:paraId="6FD55EE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36%</w:t>
            </w:r>
          </w:p>
        </w:tc>
        <w:tc>
          <w:tcPr>
            <w:tcW w:w="399" w:type="pct"/>
            <w:tcBorders>
              <w:top w:val="nil"/>
              <w:left w:val="nil"/>
              <w:bottom w:val="single" w:sz="4" w:space="0" w:color="auto"/>
              <w:right w:val="single" w:sz="4" w:space="0" w:color="auto"/>
            </w:tcBorders>
            <w:shd w:val="clear" w:color="000000" w:fill="FFFFFF"/>
            <w:noWrap/>
            <w:vAlign w:val="center"/>
            <w:hideMark/>
          </w:tcPr>
          <w:p w14:paraId="67A7953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399" w:type="pct"/>
            <w:tcBorders>
              <w:top w:val="nil"/>
              <w:left w:val="nil"/>
              <w:bottom w:val="single" w:sz="4" w:space="0" w:color="auto"/>
              <w:right w:val="single" w:sz="4" w:space="0" w:color="auto"/>
            </w:tcBorders>
            <w:shd w:val="clear" w:color="000000" w:fill="FFFFFF"/>
            <w:noWrap/>
            <w:vAlign w:val="center"/>
            <w:hideMark/>
          </w:tcPr>
          <w:p w14:paraId="2315622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0662A0C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14%</w:t>
            </w:r>
          </w:p>
        </w:tc>
        <w:tc>
          <w:tcPr>
            <w:tcW w:w="471" w:type="pct"/>
            <w:tcBorders>
              <w:top w:val="nil"/>
              <w:left w:val="nil"/>
              <w:bottom w:val="single" w:sz="4" w:space="0" w:color="auto"/>
              <w:right w:val="single" w:sz="4" w:space="0" w:color="auto"/>
            </w:tcBorders>
            <w:shd w:val="clear" w:color="000000" w:fill="FFFFFF"/>
            <w:noWrap/>
            <w:vAlign w:val="center"/>
            <w:hideMark/>
          </w:tcPr>
          <w:p w14:paraId="10BF81E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1DE78C4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56FD685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0AC35ED8"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5B399A4"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D9E1F2"/>
            <w:noWrap/>
            <w:vAlign w:val="center"/>
            <w:hideMark/>
          </w:tcPr>
          <w:p w14:paraId="7619F38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D9E1F2"/>
            <w:noWrap/>
            <w:vAlign w:val="center"/>
            <w:hideMark/>
          </w:tcPr>
          <w:p w14:paraId="5C9F8E4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399" w:type="pct"/>
            <w:tcBorders>
              <w:top w:val="nil"/>
              <w:left w:val="nil"/>
              <w:bottom w:val="single" w:sz="4" w:space="0" w:color="auto"/>
              <w:right w:val="single" w:sz="4" w:space="0" w:color="auto"/>
            </w:tcBorders>
            <w:shd w:val="clear" w:color="000000" w:fill="D9E1F2"/>
            <w:noWrap/>
            <w:vAlign w:val="center"/>
            <w:hideMark/>
          </w:tcPr>
          <w:p w14:paraId="702221B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D9E1F2"/>
            <w:noWrap/>
            <w:vAlign w:val="center"/>
            <w:hideMark/>
          </w:tcPr>
          <w:p w14:paraId="6874673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54A854A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471" w:type="pct"/>
            <w:tcBorders>
              <w:top w:val="nil"/>
              <w:left w:val="nil"/>
              <w:bottom w:val="single" w:sz="4" w:space="0" w:color="auto"/>
              <w:right w:val="single" w:sz="4" w:space="0" w:color="auto"/>
            </w:tcBorders>
            <w:shd w:val="clear" w:color="000000" w:fill="D9E1F2"/>
            <w:noWrap/>
            <w:vAlign w:val="center"/>
            <w:hideMark/>
          </w:tcPr>
          <w:p w14:paraId="58C4D3A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11F7811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5F20DCC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38B1CF49" w14:textId="77777777" w:rsidTr="00C97C03">
        <w:trPr>
          <w:trHeight w:val="300"/>
        </w:trPr>
        <w:tc>
          <w:tcPr>
            <w:tcW w:w="1517" w:type="pct"/>
            <w:tcBorders>
              <w:top w:val="nil"/>
              <w:left w:val="nil"/>
              <w:bottom w:val="nil"/>
              <w:right w:val="nil"/>
            </w:tcBorders>
            <w:shd w:val="clear" w:color="auto" w:fill="auto"/>
            <w:noWrap/>
            <w:vAlign w:val="bottom"/>
            <w:hideMark/>
          </w:tcPr>
          <w:p w14:paraId="041A4B0E"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7FBE0F9B"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39699E00"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3DF470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47B4E05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01101D31"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623C864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46F7B1A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2767158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31806E41"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1869E4EF"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Rhode Island Combined</w:t>
            </w:r>
          </w:p>
        </w:tc>
      </w:tr>
      <w:tr w:rsidR="00AD27AF" w:rsidRPr="00216251" w14:paraId="54957838"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27128DC1"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0DD4EC4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3C79E884"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2BD9DFA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6066D3E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63DB250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6928193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425B479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42D7319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083FC636"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0531CF7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62EFE66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437" w:type="pct"/>
            <w:tcBorders>
              <w:top w:val="nil"/>
              <w:left w:val="nil"/>
              <w:bottom w:val="single" w:sz="4" w:space="0" w:color="auto"/>
              <w:right w:val="single" w:sz="4" w:space="0" w:color="auto"/>
            </w:tcBorders>
            <w:shd w:val="clear" w:color="000000" w:fill="FFFFFF"/>
            <w:noWrap/>
            <w:vAlign w:val="center"/>
            <w:hideMark/>
          </w:tcPr>
          <w:p w14:paraId="2866309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7363F04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399" w:type="pct"/>
            <w:tcBorders>
              <w:top w:val="nil"/>
              <w:left w:val="nil"/>
              <w:bottom w:val="single" w:sz="4" w:space="0" w:color="auto"/>
              <w:right w:val="single" w:sz="4" w:space="0" w:color="auto"/>
            </w:tcBorders>
            <w:shd w:val="clear" w:color="000000" w:fill="FFFFFF"/>
            <w:noWrap/>
            <w:vAlign w:val="center"/>
            <w:hideMark/>
          </w:tcPr>
          <w:p w14:paraId="5C055CD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399" w:type="pct"/>
            <w:tcBorders>
              <w:top w:val="nil"/>
              <w:left w:val="nil"/>
              <w:bottom w:val="single" w:sz="4" w:space="0" w:color="auto"/>
              <w:right w:val="single" w:sz="4" w:space="0" w:color="auto"/>
            </w:tcBorders>
            <w:shd w:val="clear" w:color="000000" w:fill="FFFFFF"/>
            <w:noWrap/>
            <w:vAlign w:val="center"/>
            <w:hideMark/>
          </w:tcPr>
          <w:p w14:paraId="54C83D0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20D974C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5162DF1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71" w:type="pct"/>
            <w:tcBorders>
              <w:top w:val="nil"/>
              <w:left w:val="nil"/>
              <w:bottom w:val="single" w:sz="4" w:space="0" w:color="auto"/>
              <w:right w:val="single" w:sz="4" w:space="0" w:color="auto"/>
            </w:tcBorders>
            <w:shd w:val="clear" w:color="000000" w:fill="FFFFFF"/>
            <w:noWrap/>
            <w:vAlign w:val="center"/>
            <w:hideMark/>
          </w:tcPr>
          <w:p w14:paraId="5914A66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559543F9"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11A3B979"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37" w:type="pct"/>
            <w:tcBorders>
              <w:top w:val="nil"/>
              <w:left w:val="nil"/>
              <w:bottom w:val="single" w:sz="4" w:space="0" w:color="auto"/>
              <w:right w:val="single" w:sz="4" w:space="0" w:color="auto"/>
            </w:tcBorders>
            <w:shd w:val="clear" w:color="000000" w:fill="D9E1F2"/>
            <w:noWrap/>
            <w:vAlign w:val="center"/>
            <w:hideMark/>
          </w:tcPr>
          <w:p w14:paraId="510EFEB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37" w:type="pct"/>
            <w:tcBorders>
              <w:top w:val="nil"/>
              <w:left w:val="nil"/>
              <w:bottom w:val="single" w:sz="4" w:space="0" w:color="auto"/>
              <w:right w:val="single" w:sz="4" w:space="0" w:color="auto"/>
            </w:tcBorders>
            <w:shd w:val="clear" w:color="000000" w:fill="D9E1F2"/>
            <w:noWrap/>
            <w:vAlign w:val="center"/>
            <w:hideMark/>
          </w:tcPr>
          <w:p w14:paraId="474FAA2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D9E1F2"/>
            <w:noWrap/>
            <w:vAlign w:val="center"/>
            <w:hideMark/>
          </w:tcPr>
          <w:p w14:paraId="56402A1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769B482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3E2B3EC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D9E1F2"/>
            <w:noWrap/>
            <w:vAlign w:val="center"/>
            <w:hideMark/>
          </w:tcPr>
          <w:p w14:paraId="1C135C7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2DCE04D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539D536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r>
      <w:tr w:rsidR="00AD27AF" w:rsidRPr="00216251" w14:paraId="26228147"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5A5D9214"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FFFFFF"/>
            <w:noWrap/>
            <w:vAlign w:val="center"/>
            <w:hideMark/>
          </w:tcPr>
          <w:p w14:paraId="52B9F55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37" w:type="pct"/>
            <w:tcBorders>
              <w:top w:val="nil"/>
              <w:left w:val="nil"/>
              <w:bottom w:val="single" w:sz="4" w:space="0" w:color="auto"/>
              <w:right w:val="single" w:sz="4" w:space="0" w:color="auto"/>
            </w:tcBorders>
            <w:shd w:val="clear" w:color="000000" w:fill="FFFFFF"/>
            <w:noWrap/>
            <w:vAlign w:val="center"/>
            <w:hideMark/>
          </w:tcPr>
          <w:p w14:paraId="4304D50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399" w:type="pct"/>
            <w:tcBorders>
              <w:top w:val="nil"/>
              <w:left w:val="nil"/>
              <w:bottom w:val="single" w:sz="4" w:space="0" w:color="auto"/>
              <w:right w:val="single" w:sz="4" w:space="0" w:color="auto"/>
            </w:tcBorders>
            <w:shd w:val="clear" w:color="000000" w:fill="FFFFFF"/>
            <w:noWrap/>
            <w:vAlign w:val="center"/>
            <w:hideMark/>
          </w:tcPr>
          <w:p w14:paraId="2B6E4F8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399" w:type="pct"/>
            <w:tcBorders>
              <w:top w:val="nil"/>
              <w:left w:val="nil"/>
              <w:bottom w:val="single" w:sz="4" w:space="0" w:color="auto"/>
              <w:right w:val="single" w:sz="4" w:space="0" w:color="auto"/>
            </w:tcBorders>
            <w:shd w:val="clear" w:color="000000" w:fill="FFFFFF"/>
            <w:noWrap/>
            <w:vAlign w:val="center"/>
            <w:hideMark/>
          </w:tcPr>
          <w:p w14:paraId="41ECE46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FFFFFF"/>
            <w:noWrap/>
            <w:vAlign w:val="center"/>
            <w:hideMark/>
          </w:tcPr>
          <w:p w14:paraId="3803036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40%</w:t>
            </w:r>
          </w:p>
        </w:tc>
        <w:tc>
          <w:tcPr>
            <w:tcW w:w="471" w:type="pct"/>
            <w:tcBorders>
              <w:top w:val="nil"/>
              <w:left w:val="nil"/>
              <w:bottom w:val="single" w:sz="4" w:space="0" w:color="auto"/>
              <w:right w:val="single" w:sz="4" w:space="0" w:color="auto"/>
            </w:tcBorders>
            <w:shd w:val="clear" w:color="000000" w:fill="FFFFFF"/>
            <w:noWrap/>
            <w:vAlign w:val="center"/>
            <w:hideMark/>
          </w:tcPr>
          <w:p w14:paraId="66A68B4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1E398B6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FFFFFF"/>
            <w:noWrap/>
            <w:vAlign w:val="center"/>
            <w:hideMark/>
          </w:tcPr>
          <w:p w14:paraId="20A647F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6CE7B579"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14C65863"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Business Engagement</w:t>
            </w:r>
          </w:p>
        </w:tc>
        <w:tc>
          <w:tcPr>
            <w:tcW w:w="437" w:type="pct"/>
            <w:tcBorders>
              <w:top w:val="nil"/>
              <w:left w:val="nil"/>
              <w:bottom w:val="single" w:sz="4" w:space="0" w:color="auto"/>
              <w:right w:val="single" w:sz="4" w:space="0" w:color="auto"/>
            </w:tcBorders>
            <w:shd w:val="clear" w:color="000000" w:fill="D9E1F2"/>
            <w:noWrap/>
            <w:vAlign w:val="center"/>
            <w:hideMark/>
          </w:tcPr>
          <w:p w14:paraId="18398E6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D9E1F2"/>
            <w:noWrap/>
            <w:vAlign w:val="center"/>
            <w:hideMark/>
          </w:tcPr>
          <w:p w14:paraId="7318E75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c>
          <w:tcPr>
            <w:tcW w:w="399" w:type="pct"/>
            <w:tcBorders>
              <w:top w:val="nil"/>
              <w:left w:val="nil"/>
              <w:bottom w:val="single" w:sz="4" w:space="0" w:color="auto"/>
              <w:right w:val="single" w:sz="4" w:space="0" w:color="auto"/>
            </w:tcBorders>
            <w:shd w:val="clear" w:color="000000" w:fill="D9E1F2"/>
            <w:noWrap/>
            <w:vAlign w:val="center"/>
            <w:hideMark/>
          </w:tcPr>
          <w:p w14:paraId="1D702AA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D9E1F2"/>
            <w:noWrap/>
            <w:vAlign w:val="center"/>
            <w:hideMark/>
          </w:tcPr>
          <w:p w14:paraId="73223E0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D9E1F2"/>
            <w:noWrap/>
            <w:vAlign w:val="center"/>
            <w:hideMark/>
          </w:tcPr>
          <w:p w14:paraId="03B2BD8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33%</w:t>
            </w:r>
          </w:p>
        </w:tc>
        <w:tc>
          <w:tcPr>
            <w:tcW w:w="471" w:type="pct"/>
            <w:tcBorders>
              <w:top w:val="nil"/>
              <w:left w:val="nil"/>
              <w:bottom w:val="single" w:sz="4" w:space="0" w:color="auto"/>
              <w:right w:val="single" w:sz="4" w:space="0" w:color="auto"/>
            </w:tcBorders>
            <w:shd w:val="clear" w:color="000000" w:fill="D9E1F2"/>
            <w:noWrap/>
            <w:vAlign w:val="center"/>
            <w:hideMark/>
          </w:tcPr>
          <w:p w14:paraId="7B1DD15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D9E1F2"/>
            <w:noWrap/>
            <w:vAlign w:val="center"/>
            <w:hideMark/>
          </w:tcPr>
          <w:p w14:paraId="41F5B72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0A80090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221A76E4"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1029D1EE"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The Career Index Plus (TCI+) and LMI</w:t>
            </w:r>
          </w:p>
        </w:tc>
        <w:tc>
          <w:tcPr>
            <w:tcW w:w="437" w:type="pct"/>
            <w:tcBorders>
              <w:top w:val="nil"/>
              <w:left w:val="nil"/>
              <w:bottom w:val="single" w:sz="4" w:space="0" w:color="auto"/>
              <w:right w:val="single" w:sz="4" w:space="0" w:color="auto"/>
            </w:tcBorders>
            <w:shd w:val="clear" w:color="000000" w:fill="FFFFFF"/>
            <w:noWrap/>
            <w:vAlign w:val="center"/>
            <w:hideMark/>
          </w:tcPr>
          <w:p w14:paraId="2F674B6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37" w:type="pct"/>
            <w:tcBorders>
              <w:top w:val="nil"/>
              <w:left w:val="nil"/>
              <w:bottom w:val="single" w:sz="4" w:space="0" w:color="auto"/>
              <w:right w:val="single" w:sz="4" w:space="0" w:color="auto"/>
            </w:tcBorders>
            <w:shd w:val="clear" w:color="000000" w:fill="FFFFFF"/>
            <w:noWrap/>
            <w:vAlign w:val="center"/>
            <w:hideMark/>
          </w:tcPr>
          <w:p w14:paraId="28C3EA1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399" w:type="pct"/>
            <w:tcBorders>
              <w:top w:val="nil"/>
              <w:left w:val="nil"/>
              <w:bottom w:val="single" w:sz="4" w:space="0" w:color="auto"/>
              <w:right w:val="single" w:sz="4" w:space="0" w:color="auto"/>
            </w:tcBorders>
            <w:shd w:val="clear" w:color="000000" w:fill="FFFFFF"/>
            <w:noWrap/>
            <w:vAlign w:val="center"/>
            <w:hideMark/>
          </w:tcPr>
          <w:p w14:paraId="7EF80EA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0D57138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FFFFFF"/>
            <w:noWrap/>
            <w:vAlign w:val="center"/>
            <w:hideMark/>
          </w:tcPr>
          <w:p w14:paraId="609418F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2C8FE66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2785AE6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4E80110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r>
      <w:tr w:rsidR="00AD27AF" w:rsidRPr="00216251" w14:paraId="4F58A91C" w14:textId="77777777" w:rsidTr="00C97C03">
        <w:trPr>
          <w:trHeight w:val="300"/>
        </w:trPr>
        <w:tc>
          <w:tcPr>
            <w:tcW w:w="1517" w:type="pct"/>
            <w:tcBorders>
              <w:top w:val="nil"/>
              <w:left w:val="nil"/>
              <w:bottom w:val="nil"/>
              <w:right w:val="nil"/>
            </w:tcBorders>
            <w:shd w:val="clear" w:color="auto" w:fill="auto"/>
            <w:noWrap/>
            <w:vAlign w:val="bottom"/>
            <w:hideMark/>
          </w:tcPr>
          <w:p w14:paraId="6C4FBC87"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37" w:type="pct"/>
            <w:tcBorders>
              <w:top w:val="nil"/>
              <w:left w:val="nil"/>
              <w:bottom w:val="nil"/>
              <w:right w:val="nil"/>
            </w:tcBorders>
            <w:shd w:val="clear" w:color="auto" w:fill="auto"/>
            <w:noWrap/>
            <w:vAlign w:val="center"/>
            <w:hideMark/>
          </w:tcPr>
          <w:p w14:paraId="4A006D9F"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0D7A39D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50AA99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25195C61"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399" w:type="pct"/>
            <w:tcBorders>
              <w:top w:val="nil"/>
              <w:left w:val="nil"/>
              <w:bottom w:val="nil"/>
              <w:right w:val="nil"/>
            </w:tcBorders>
            <w:shd w:val="clear" w:color="auto" w:fill="auto"/>
            <w:noWrap/>
            <w:vAlign w:val="center"/>
            <w:hideMark/>
          </w:tcPr>
          <w:p w14:paraId="58F9AA2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7D00E3B1"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262BFB7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71" w:type="pct"/>
            <w:tcBorders>
              <w:top w:val="nil"/>
              <w:left w:val="nil"/>
              <w:bottom w:val="nil"/>
              <w:right w:val="nil"/>
            </w:tcBorders>
            <w:shd w:val="clear" w:color="auto" w:fill="auto"/>
            <w:noWrap/>
            <w:vAlign w:val="center"/>
            <w:hideMark/>
          </w:tcPr>
          <w:p w14:paraId="005B730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52E68370" w14:textId="77777777" w:rsidTr="00C97C03">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175C81A6"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South Carolina Blind</w:t>
            </w:r>
          </w:p>
        </w:tc>
      </w:tr>
      <w:tr w:rsidR="00AD27AF" w:rsidRPr="00216251" w14:paraId="4006513E" w14:textId="77777777" w:rsidTr="00C97C03">
        <w:trPr>
          <w:trHeight w:val="1305"/>
        </w:trPr>
        <w:tc>
          <w:tcPr>
            <w:tcW w:w="1517" w:type="pct"/>
            <w:tcBorders>
              <w:top w:val="nil"/>
              <w:left w:val="single" w:sz="4" w:space="0" w:color="auto"/>
              <w:bottom w:val="single" w:sz="4" w:space="0" w:color="auto"/>
              <w:right w:val="single" w:sz="4" w:space="0" w:color="auto"/>
            </w:tcBorders>
            <w:shd w:val="clear" w:color="000000" w:fill="B4C6E7"/>
            <w:vAlign w:val="bottom"/>
            <w:hideMark/>
          </w:tcPr>
          <w:p w14:paraId="704D3A20"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37" w:type="pct"/>
            <w:tcBorders>
              <w:top w:val="nil"/>
              <w:left w:val="nil"/>
              <w:bottom w:val="single" w:sz="4" w:space="0" w:color="auto"/>
              <w:right w:val="single" w:sz="4" w:space="0" w:color="auto"/>
            </w:tcBorders>
            <w:shd w:val="clear" w:color="000000" w:fill="B4C6E7"/>
            <w:vAlign w:val="bottom"/>
            <w:hideMark/>
          </w:tcPr>
          <w:p w14:paraId="5DBBC0A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37" w:type="pct"/>
            <w:tcBorders>
              <w:top w:val="nil"/>
              <w:left w:val="nil"/>
              <w:bottom w:val="single" w:sz="4" w:space="0" w:color="auto"/>
              <w:right w:val="single" w:sz="4" w:space="0" w:color="auto"/>
            </w:tcBorders>
            <w:shd w:val="clear" w:color="000000" w:fill="B4C6E7"/>
            <w:vAlign w:val="bottom"/>
            <w:hideMark/>
          </w:tcPr>
          <w:p w14:paraId="06DBB22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399" w:type="pct"/>
            <w:tcBorders>
              <w:top w:val="nil"/>
              <w:left w:val="nil"/>
              <w:bottom w:val="single" w:sz="4" w:space="0" w:color="auto"/>
              <w:right w:val="single" w:sz="4" w:space="0" w:color="auto"/>
            </w:tcBorders>
            <w:shd w:val="clear" w:color="000000" w:fill="B4C6E7"/>
            <w:vAlign w:val="bottom"/>
            <w:hideMark/>
          </w:tcPr>
          <w:p w14:paraId="354E149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399" w:type="pct"/>
            <w:tcBorders>
              <w:top w:val="nil"/>
              <w:left w:val="nil"/>
              <w:bottom w:val="single" w:sz="4" w:space="0" w:color="auto"/>
              <w:right w:val="single" w:sz="4" w:space="0" w:color="auto"/>
            </w:tcBorders>
            <w:shd w:val="clear" w:color="000000" w:fill="B4C6E7"/>
            <w:vAlign w:val="bottom"/>
            <w:hideMark/>
          </w:tcPr>
          <w:p w14:paraId="0F7925A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399" w:type="pct"/>
            <w:tcBorders>
              <w:top w:val="nil"/>
              <w:left w:val="nil"/>
              <w:bottom w:val="single" w:sz="4" w:space="0" w:color="auto"/>
              <w:right w:val="single" w:sz="4" w:space="0" w:color="auto"/>
            </w:tcBorders>
            <w:shd w:val="clear" w:color="000000" w:fill="B4C6E7"/>
            <w:vAlign w:val="bottom"/>
            <w:hideMark/>
          </w:tcPr>
          <w:p w14:paraId="35A612A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71" w:type="pct"/>
            <w:tcBorders>
              <w:top w:val="nil"/>
              <w:left w:val="nil"/>
              <w:bottom w:val="single" w:sz="4" w:space="0" w:color="auto"/>
              <w:right w:val="single" w:sz="4" w:space="0" w:color="auto"/>
            </w:tcBorders>
            <w:shd w:val="clear" w:color="000000" w:fill="B4C6E7"/>
            <w:vAlign w:val="bottom"/>
            <w:hideMark/>
          </w:tcPr>
          <w:p w14:paraId="3F26066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71" w:type="pct"/>
            <w:tcBorders>
              <w:top w:val="nil"/>
              <w:left w:val="nil"/>
              <w:bottom w:val="single" w:sz="4" w:space="0" w:color="auto"/>
              <w:right w:val="single" w:sz="4" w:space="0" w:color="auto"/>
            </w:tcBorders>
            <w:shd w:val="clear" w:color="000000" w:fill="B4C6E7"/>
            <w:vAlign w:val="bottom"/>
            <w:hideMark/>
          </w:tcPr>
          <w:p w14:paraId="30D07BA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71" w:type="pct"/>
            <w:tcBorders>
              <w:top w:val="nil"/>
              <w:left w:val="nil"/>
              <w:bottom w:val="single" w:sz="4" w:space="0" w:color="auto"/>
              <w:right w:val="single" w:sz="4" w:space="0" w:color="auto"/>
            </w:tcBorders>
            <w:shd w:val="clear" w:color="000000" w:fill="B4C6E7"/>
            <w:vAlign w:val="bottom"/>
            <w:hideMark/>
          </w:tcPr>
          <w:p w14:paraId="4925890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0DF259A6"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D679BDA"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37" w:type="pct"/>
            <w:tcBorders>
              <w:top w:val="nil"/>
              <w:left w:val="nil"/>
              <w:bottom w:val="single" w:sz="4" w:space="0" w:color="auto"/>
              <w:right w:val="single" w:sz="4" w:space="0" w:color="auto"/>
            </w:tcBorders>
            <w:shd w:val="clear" w:color="000000" w:fill="FFFFFF"/>
            <w:noWrap/>
            <w:vAlign w:val="center"/>
            <w:hideMark/>
          </w:tcPr>
          <w:p w14:paraId="1AD2DC5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FFFFFF"/>
            <w:noWrap/>
            <w:vAlign w:val="center"/>
            <w:hideMark/>
          </w:tcPr>
          <w:p w14:paraId="265C409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399" w:type="pct"/>
            <w:tcBorders>
              <w:top w:val="nil"/>
              <w:left w:val="nil"/>
              <w:bottom w:val="single" w:sz="4" w:space="0" w:color="auto"/>
              <w:right w:val="single" w:sz="4" w:space="0" w:color="auto"/>
            </w:tcBorders>
            <w:shd w:val="clear" w:color="000000" w:fill="FFFFFF"/>
            <w:noWrap/>
            <w:vAlign w:val="center"/>
            <w:hideMark/>
          </w:tcPr>
          <w:p w14:paraId="3C2696C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FFFFFF"/>
            <w:noWrap/>
            <w:vAlign w:val="center"/>
            <w:hideMark/>
          </w:tcPr>
          <w:p w14:paraId="2F742E4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399" w:type="pct"/>
            <w:tcBorders>
              <w:top w:val="nil"/>
              <w:left w:val="nil"/>
              <w:bottom w:val="single" w:sz="4" w:space="0" w:color="auto"/>
              <w:right w:val="single" w:sz="4" w:space="0" w:color="auto"/>
            </w:tcBorders>
            <w:shd w:val="clear" w:color="000000" w:fill="FFFFFF"/>
            <w:noWrap/>
            <w:vAlign w:val="center"/>
            <w:hideMark/>
          </w:tcPr>
          <w:p w14:paraId="17206B0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c>
          <w:tcPr>
            <w:tcW w:w="471" w:type="pct"/>
            <w:tcBorders>
              <w:top w:val="nil"/>
              <w:left w:val="nil"/>
              <w:bottom w:val="single" w:sz="4" w:space="0" w:color="auto"/>
              <w:right w:val="single" w:sz="4" w:space="0" w:color="auto"/>
            </w:tcBorders>
            <w:shd w:val="clear" w:color="000000" w:fill="FFFFFF"/>
            <w:noWrap/>
            <w:vAlign w:val="center"/>
            <w:hideMark/>
          </w:tcPr>
          <w:p w14:paraId="51B5DFF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71" w:type="pct"/>
            <w:tcBorders>
              <w:top w:val="nil"/>
              <w:left w:val="nil"/>
              <w:bottom w:val="single" w:sz="4" w:space="0" w:color="auto"/>
              <w:right w:val="single" w:sz="4" w:space="0" w:color="auto"/>
            </w:tcBorders>
            <w:shd w:val="clear" w:color="000000" w:fill="FFFFFF"/>
            <w:noWrap/>
            <w:vAlign w:val="center"/>
            <w:hideMark/>
          </w:tcPr>
          <w:p w14:paraId="495D5E4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FFFFFF"/>
            <w:noWrap/>
            <w:vAlign w:val="center"/>
            <w:hideMark/>
          </w:tcPr>
          <w:p w14:paraId="1DF6539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1E552100"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565DDD8"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37" w:type="pct"/>
            <w:tcBorders>
              <w:top w:val="nil"/>
              <w:left w:val="nil"/>
              <w:bottom w:val="single" w:sz="4" w:space="0" w:color="auto"/>
              <w:right w:val="single" w:sz="4" w:space="0" w:color="auto"/>
            </w:tcBorders>
            <w:shd w:val="clear" w:color="000000" w:fill="D9E1F2"/>
            <w:noWrap/>
            <w:vAlign w:val="center"/>
            <w:hideMark/>
          </w:tcPr>
          <w:p w14:paraId="4FFC653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37" w:type="pct"/>
            <w:tcBorders>
              <w:top w:val="nil"/>
              <w:left w:val="nil"/>
              <w:bottom w:val="single" w:sz="4" w:space="0" w:color="auto"/>
              <w:right w:val="single" w:sz="4" w:space="0" w:color="auto"/>
            </w:tcBorders>
            <w:shd w:val="clear" w:color="000000" w:fill="D9E1F2"/>
            <w:noWrap/>
            <w:vAlign w:val="center"/>
            <w:hideMark/>
          </w:tcPr>
          <w:p w14:paraId="20C395D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31%</w:t>
            </w:r>
          </w:p>
        </w:tc>
        <w:tc>
          <w:tcPr>
            <w:tcW w:w="399" w:type="pct"/>
            <w:tcBorders>
              <w:top w:val="nil"/>
              <w:left w:val="nil"/>
              <w:bottom w:val="single" w:sz="4" w:space="0" w:color="auto"/>
              <w:right w:val="single" w:sz="4" w:space="0" w:color="auto"/>
            </w:tcBorders>
            <w:shd w:val="clear" w:color="000000" w:fill="D9E1F2"/>
            <w:noWrap/>
            <w:vAlign w:val="center"/>
            <w:hideMark/>
          </w:tcPr>
          <w:p w14:paraId="0A5949E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399" w:type="pct"/>
            <w:tcBorders>
              <w:top w:val="nil"/>
              <w:left w:val="nil"/>
              <w:bottom w:val="single" w:sz="4" w:space="0" w:color="auto"/>
              <w:right w:val="single" w:sz="4" w:space="0" w:color="auto"/>
            </w:tcBorders>
            <w:shd w:val="clear" w:color="000000" w:fill="D9E1F2"/>
            <w:noWrap/>
            <w:vAlign w:val="center"/>
            <w:hideMark/>
          </w:tcPr>
          <w:p w14:paraId="1E74FE1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399" w:type="pct"/>
            <w:tcBorders>
              <w:top w:val="nil"/>
              <w:left w:val="nil"/>
              <w:bottom w:val="single" w:sz="4" w:space="0" w:color="auto"/>
              <w:right w:val="single" w:sz="4" w:space="0" w:color="auto"/>
            </w:tcBorders>
            <w:shd w:val="clear" w:color="000000" w:fill="D9E1F2"/>
            <w:noWrap/>
            <w:vAlign w:val="center"/>
            <w:hideMark/>
          </w:tcPr>
          <w:p w14:paraId="09452DD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3DFBAD3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7B315F0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71" w:type="pct"/>
            <w:tcBorders>
              <w:top w:val="nil"/>
              <w:left w:val="nil"/>
              <w:bottom w:val="single" w:sz="4" w:space="0" w:color="auto"/>
              <w:right w:val="single" w:sz="4" w:space="0" w:color="auto"/>
            </w:tcBorders>
            <w:shd w:val="clear" w:color="000000" w:fill="D9E1F2"/>
            <w:noWrap/>
            <w:vAlign w:val="center"/>
            <w:hideMark/>
          </w:tcPr>
          <w:p w14:paraId="3017DBB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r>
      <w:tr w:rsidR="00AD27AF" w:rsidRPr="00216251" w14:paraId="4333A78B"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42DFB9D8"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The Career Index Plus (TCI+) and LMI</w:t>
            </w:r>
          </w:p>
        </w:tc>
        <w:tc>
          <w:tcPr>
            <w:tcW w:w="437" w:type="pct"/>
            <w:tcBorders>
              <w:top w:val="nil"/>
              <w:left w:val="nil"/>
              <w:bottom w:val="single" w:sz="4" w:space="0" w:color="auto"/>
              <w:right w:val="single" w:sz="4" w:space="0" w:color="auto"/>
            </w:tcBorders>
            <w:shd w:val="clear" w:color="000000" w:fill="FFFFFF"/>
            <w:noWrap/>
            <w:vAlign w:val="center"/>
            <w:hideMark/>
          </w:tcPr>
          <w:p w14:paraId="1BE959D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FFFFFF"/>
            <w:noWrap/>
            <w:vAlign w:val="center"/>
            <w:hideMark/>
          </w:tcPr>
          <w:p w14:paraId="6227E2F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399" w:type="pct"/>
            <w:tcBorders>
              <w:top w:val="nil"/>
              <w:left w:val="nil"/>
              <w:bottom w:val="single" w:sz="4" w:space="0" w:color="auto"/>
              <w:right w:val="single" w:sz="4" w:space="0" w:color="auto"/>
            </w:tcBorders>
            <w:shd w:val="clear" w:color="000000" w:fill="FFFFFF"/>
            <w:noWrap/>
            <w:vAlign w:val="center"/>
            <w:hideMark/>
          </w:tcPr>
          <w:p w14:paraId="2F3C275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31BDA16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FFFFFF"/>
            <w:noWrap/>
            <w:vAlign w:val="center"/>
            <w:hideMark/>
          </w:tcPr>
          <w:p w14:paraId="52E6994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71" w:type="pct"/>
            <w:tcBorders>
              <w:top w:val="nil"/>
              <w:left w:val="nil"/>
              <w:bottom w:val="single" w:sz="4" w:space="0" w:color="auto"/>
              <w:right w:val="single" w:sz="4" w:space="0" w:color="auto"/>
            </w:tcBorders>
            <w:shd w:val="clear" w:color="000000" w:fill="FFFFFF"/>
            <w:noWrap/>
            <w:vAlign w:val="center"/>
            <w:hideMark/>
          </w:tcPr>
          <w:p w14:paraId="7392377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4B66BCC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71" w:type="pct"/>
            <w:tcBorders>
              <w:top w:val="nil"/>
              <w:left w:val="nil"/>
              <w:bottom w:val="single" w:sz="4" w:space="0" w:color="auto"/>
              <w:right w:val="single" w:sz="4" w:space="0" w:color="auto"/>
            </w:tcBorders>
            <w:shd w:val="clear" w:color="000000" w:fill="FFFFFF"/>
            <w:noWrap/>
            <w:vAlign w:val="center"/>
            <w:hideMark/>
          </w:tcPr>
          <w:p w14:paraId="3F65E5F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1231CE57" w14:textId="77777777" w:rsidTr="00C97C03">
        <w:trPr>
          <w:trHeight w:val="300"/>
        </w:trPr>
        <w:tc>
          <w:tcPr>
            <w:tcW w:w="1517" w:type="pct"/>
            <w:tcBorders>
              <w:top w:val="nil"/>
              <w:left w:val="single" w:sz="4" w:space="0" w:color="auto"/>
              <w:bottom w:val="single" w:sz="4" w:space="0" w:color="auto"/>
              <w:right w:val="single" w:sz="4" w:space="0" w:color="auto"/>
            </w:tcBorders>
            <w:shd w:val="clear" w:color="000000" w:fill="B4C6E7"/>
            <w:noWrap/>
            <w:vAlign w:val="center"/>
            <w:hideMark/>
          </w:tcPr>
          <w:p w14:paraId="2FAF5A89"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Customized Employment</w:t>
            </w:r>
          </w:p>
        </w:tc>
        <w:tc>
          <w:tcPr>
            <w:tcW w:w="437" w:type="pct"/>
            <w:tcBorders>
              <w:top w:val="nil"/>
              <w:left w:val="nil"/>
              <w:bottom w:val="single" w:sz="4" w:space="0" w:color="auto"/>
              <w:right w:val="single" w:sz="4" w:space="0" w:color="auto"/>
            </w:tcBorders>
            <w:shd w:val="clear" w:color="000000" w:fill="D9E1F2"/>
            <w:noWrap/>
            <w:vAlign w:val="center"/>
            <w:hideMark/>
          </w:tcPr>
          <w:p w14:paraId="753107D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37" w:type="pct"/>
            <w:tcBorders>
              <w:top w:val="nil"/>
              <w:left w:val="nil"/>
              <w:bottom w:val="single" w:sz="4" w:space="0" w:color="auto"/>
              <w:right w:val="single" w:sz="4" w:space="0" w:color="auto"/>
            </w:tcBorders>
            <w:shd w:val="clear" w:color="000000" w:fill="D9E1F2"/>
            <w:noWrap/>
            <w:vAlign w:val="center"/>
            <w:hideMark/>
          </w:tcPr>
          <w:p w14:paraId="7506CDA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83%</w:t>
            </w:r>
          </w:p>
        </w:tc>
        <w:tc>
          <w:tcPr>
            <w:tcW w:w="399" w:type="pct"/>
            <w:tcBorders>
              <w:top w:val="nil"/>
              <w:left w:val="nil"/>
              <w:bottom w:val="single" w:sz="4" w:space="0" w:color="auto"/>
              <w:right w:val="single" w:sz="4" w:space="0" w:color="auto"/>
            </w:tcBorders>
            <w:shd w:val="clear" w:color="000000" w:fill="D9E1F2"/>
            <w:noWrap/>
            <w:vAlign w:val="center"/>
            <w:hideMark/>
          </w:tcPr>
          <w:p w14:paraId="210C2D9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399" w:type="pct"/>
            <w:tcBorders>
              <w:top w:val="nil"/>
              <w:left w:val="nil"/>
              <w:bottom w:val="single" w:sz="4" w:space="0" w:color="auto"/>
              <w:right w:val="single" w:sz="4" w:space="0" w:color="auto"/>
            </w:tcBorders>
            <w:shd w:val="clear" w:color="000000" w:fill="D9E1F2"/>
            <w:noWrap/>
            <w:vAlign w:val="center"/>
            <w:hideMark/>
          </w:tcPr>
          <w:p w14:paraId="6B3E2DC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399" w:type="pct"/>
            <w:tcBorders>
              <w:top w:val="nil"/>
              <w:left w:val="nil"/>
              <w:bottom w:val="single" w:sz="4" w:space="0" w:color="auto"/>
              <w:right w:val="single" w:sz="4" w:space="0" w:color="auto"/>
            </w:tcBorders>
            <w:shd w:val="clear" w:color="000000" w:fill="D9E1F2"/>
            <w:noWrap/>
            <w:vAlign w:val="center"/>
            <w:hideMark/>
          </w:tcPr>
          <w:p w14:paraId="4B6E49E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c>
          <w:tcPr>
            <w:tcW w:w="471" w:type="pct"/>
            <w:tcBorders>
              <w:top w:val="nil"/>
              <w:left w:val="nil"/>
              <w:bottom w:val="single" w:sz="4" w:space="0" w:color="auto"/>
              <w:right w:val="single" w:sz="4" w:space="0" w:color="auto"/>
            </w:tcBorders>
            <w:shd w:val="clear" w:color="000000" w:fill="D9E1F2"/>
            <w:noWrap/>
            <w:vAlign w:val="center"/>
            <w:hideMark/>
          </w:tcPr>
          <w:p w14:paraId="61155E3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0BCC01C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71" w:type="pct"/>
            <w:tcBorders>
              <w:top w:val="nil"/>
              <w:left w:val="nil"/>
              <w:bottom w:val="single" w:sz="4" w:space="0" w:color="auto"/>
              <w:right w:val="single" w:sz="4" w:space="0" w:color="auto"/>
            </w:tcBorders>
            <w:shd w:val="clear" w:color="000000" w:fill="D9E1F2"/>
            <w:noWrap/>
            <w:vAlign w:val="center"/>
            <w:hideMark/>
          </w:tcPr>
          <w:p w14:paraId="2C6DFA8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649F7F80" w14:textId="77777777" w:rsidTr="00C97C03">
        <w:trPr>
          <w:trHeight w:val="300"/>
        </w:trPr>
        <w:tc>
          <w:tcPr>
            <w:tcW w:w="1517" w:type="pct"/>
            <w:tcBorders>
              <w:top w:val="nil"/>
              <w:left w:val="nil"/>
              <w:bottom w:val="nil"/>
              <w:right w:val="nil"/>
            </w:tcBorders>
            <w:shd w:val="clear" w:color="auto" w:fill="auto"/>
            <w:noWrap/>
            <w:vAlign w:val="bottom"/>
            <w:hideMark/>
          </w:tcPr>
          <w:p w14:paraId="1BC58E4A" w14:textId="77777777" w:rsidR="00AD27AF" w:rsidRPr="00216251" w:rsidRDefault="00AD27AF" w:rsidP="00AD27AF">
            <w:pPr>
              <w:spacing w:after="0" w:line="240" w:lineRule="auto"/>
              <w:ind w:firstLine="0"/>
              <w:rPr>
                <w:rFonts w:ascii="Calibri" w:eastAsia="Times New Roman" w:hAnsi="Calibri" w:cs="Calibri"/>
                <w:color w:val="000000"/>
              </w:rPr>
            </w:pPr>
            <w:r w:rsidRPr="00216251">
              <w:rPr>
                <w:rFonts w:ascii="Calibri" w:eastAsia="Times New Roman" w:hAnsi="Calibri" w:cs="Calibri"/>
                <w:color w:val="000000"/>
              </w:rPr>
              <w:t> </w:t>
            </w:r>
          </w:p>
        </w:tc>
        <w:tc>
          <w:tcPr>
            <w:tcW w:w="437" w:type="pct"/>
            <w:tcBorders>
              <w:top w:val="nil"/>
              <w:left w:val="nil"/>
              <w:bottom w:val="nil"/>
              <w:right w:val="nil"/>
            </w:tcBorders>
            <w:shd w:val="clear" w:color="auto" w:fill="auto"/>
            <w:noWrap/>
            <w:vAlign w:val="center"/>
            <w:hideMark/>
          </w:tcPr>
          <w:p w14:paraId="04F0669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437" w:type="pct"/>
            <w:tcBorders>
              <w:top w:val="nil"/>
              <w:left w:val="nil"/>
              <w:bottom w:val="nil"/>
              <w:right w:val="nil"/>
            </w:tcBorders>
            <w:shd w:val="clear" w:color="auto" w:fill="auto"/>
            <w:noWrap/>
            <w:vAlign w:val="center"/>
            <w:hideMark/>
          </w:tcPr>
          <w:p w14:paraId="159C105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399" w:type="pct"/>
            <w:tcBorders>
              <w:top w:val="nil"/>
              <w:left w:val="nil"/>
              <w:bottom w:val="nil"/>
              <w:right w:val="nil"/>
            </w:tcBorders>
            <w:shd w:val="clear" w:color="auto" w:fill="auto"/>
            <w:noWrap/>
            <w:vAlign w:val="center"/>
            <w:hideMark/>
          </w:tcPr>
          <w:p w14:paraId="1F2C760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399" w:type="pct"/>
            <w:tcBorders>
              <w:top w:val="nil"/>
              <w:left w:val="nil"/>
              <w:bottom w:val="nil"/>
              <w:right w:val="nil"/>
            </w:tcBorders>
            <w:shd w:val="clear" w:color="auto" w:fill="auto"/>
            <w:noWrap/>
            <w:vAlign w:val="center"/>
            <w:hideMark/>
          </w:tcPr>
          <w:p w14:paraId="07B8FE3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399" w:type="pct"/>
            <w:tcBorders>
              <w:top w:val="nil"/>
              <w:left w:val="nil"/>
              <w:bottom w:val="nil"/>
              <w:right w:val="nil"/>
            </w:tcBorders>
            <w:shd w:val="clear" w:color="auto" w:fill="auto"/>
            <w:noWrap/>
            <w:vAlign w:val="center"/>
            <w:hideMark/>
          </w:tcPr>
          <w:p w14:paraId="5EFDD16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471" w:type="pct"/>
            <w:tcBorders>
              <w:top w:val="nil"/>
              <w:left w:val="nil"/>
              <w:bottom w:val="nil"/>
              <w:right w:val="nil"/>
            </w:tcBorders>
            <w:shd w:val="clear" w:color="auto" w:fill="auto"/>
            <w:noWrap/>
            <w:vAlign w:val="center"/>
            <w:hideMark/>
          </w:tcPr>
          <w:p w14:paraId="4A586B6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471" w:type="pct"/>
            <w:tcBorders>
              <w:top w:val="nil"/>
              <w:left w:val="nil"/>
              <w:bottom w:val="nil"/>
              <w:right w:val="nil"/>
            </w:tcBorders>
            <w:shd w:val="clear" w:color="auto" w:fill="auto"/>
            <w:noWrap/>
            <w:vAlign w:val="center"/>
            <w:hideMark/>
          </w:tcPr>
          <w:p w14:paraId="3D1D7E0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c>
          <w:tcPr>
            <w:tcW w:w="471" w:type="pct"/>
            <w:tcBorders>
              <w:top w:val="nil"/>
              <w:left w:val="nil"/>
              <w:bottom w:val="nil"/>
              <w:right w:val="nil"/>
            </w:tcBorders>
            <w:shd w:val="clear" w:color="auto" w:fill="auto"/>
            <w:noWrap/>
            <w:vAlign w:val="center"/>
            <w:hideMark/>
          </w:tcPr>
          <w:p w14:paraId="2F79899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 </w:t>
            </w:r>
          </w:p>
        </w:tc>
      </w:tr>
    </w:tbl>
    <w:p w14:paraId="43AACEA0" w14:textId="77777777" w:rsidR="00AD27AF" w:rsidRDefault="00AD27AF">
      <w:r>
        <w:br w:type="page"/>
      </w:r>
    </w:p>
    <w:tbl>
      <w:tblPr>
        <w:tblW w:w="5000" w:type="pct"/>
        <w:tblLook w:val="04A0" w:firstRow="1" w:lastRow="0" w:firstColumn="1" w:lastColumn="0" w:noHBand="0" w:noVBand="1"/>
      </w:tblPr>
      <w:tblGrid>
        <w:gridCol w:w="2658"/>
        <w:gridCol w:w="839"/>
        <w:gridCol w:w="840"/>
        <w:gridCol w:w="766"/>
        <w:gridCol w:w="766"/>
        <w:gridCol w:w="766"/>
        <w:gridCol w:w="905"/>
        <w:gridCol w:w="905"/>
        <w:gridCol w:w="905"/>
      </w:tblGrid>
      <w:tr w:rsidR="00AD27AF" w:rsidRPr="00216251" w14:paraId="3EF80015" w14:textId="77777777" w:rsidTr="00AD27AF">
        <w:trPr>
          <w:trHeight w:val="465"/>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5EB4D0E" w14:textId="60C01321"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lastRenderedPageBreak/>
              <w:t>Texas Combined</w:t>
            </w:r>
          </w:p>
        </w:tc>
      </w:tr>
      <w:tr w:rsidR="00AD27AF" w:rsidRPr="00216251" w14:paraId="3C926411" w14:textId="77777777" w:rsidTr="00AD27AF">
        <w:trPr>
          <w:trHeight w:val="1305"/>
        </w:trPr>
        <w:tc>
          <w:tcPr>
            <w:tcW w:w="1421" w:type="pct"/>
            <w:tcBorders>
              <w:top w:val="nil"/>
              <w:left w:val="single" w:sz="4" w:space="0" w:color="auto"/>
              <w:bottom w:val="single" w:sz="4" w:space="0" w:color="auto"/>
              <w:right w:val="single" w:sz="4" w:space="0" w:color="auto"/>
            </w:tcBorders>
            <w:shd w:val="clear" w:color="000000" w:fill="B4C6E7"/>
            <w:vAlign w:val="bottom"/>
            <w:hideMark/>
          </w:tcPr>
          <w:p w14:paraId="4B27F1FB"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49" w:type="pct"/>
            <w:tcBorders>
              <w:top w:val="nil"/>
              <w:left w:val="nil"/>
              <w:bottom w:val="single" w:sz="4" w:space="0" w:color="auto"/>
              <w:right w:val="single" w:sz="4" w:space="0" w:color="auto"/>
            </w:tcBorders>
            <w:shd w:val="clear" w:color="000000" w:fill="B4C6E7"/>
            <w:vAlign w:val="bottom"/>
            <w:hideMark/>
          </w:tcPr>
          <w:p w14:paraId="567B078B"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49" w:type="pct"/>
            <w:tcBorders>
              <w:top w:val="nil"/>
              <w:left w:val="nil"/>
              <w:bottom w:val="single" w:sz="4" w:space="0" w:color="auto"/>
              <w:right w:val="single" w:sz="4" w:space="0" w:color="auto"/>
            </w:tcBorders>
            <w:shd w:val="clear" w:color="000000" w:fill="B4C6E7"/>
            <w:vAlign w:val="bottom"/>
            <w:hideMark/>
          </w:tcPr>
          <w:p w14:paraId="48DD45C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410" w:type="pct"/>
            <w:tcBorders>
              <w:top w:val="nil"/>
              <w:left w:val="nil"/>
              <w:bottom w:val="single" w:sz="4" w:space="0" w:color="auto"/>
              <w:right w:val="single" w:sz="4" w:space="0" w:color="auto"/>
            </w:tcBorders>
            <w:shd w:val="clear" w:color="000000" w:fill="B4C6E7"/>
            <w:vAlign w:val="bottom"/>
            <w:hideMark/>
          </w:tcPr>
          <w:p w14:paraId="6BCA947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410" w:type="pct"/>
            <w:tcBorders>
              <w:top w:val="nil"/>
              <w:left w:val="nil"/>
              <w:bottom w:val="single" w:sz="4" w:space="0" w:color="auto"/>
              <w:right w:val="single" w:sz="4" w:space="0" w:color="auto"/>
            </w:tcBorders>
            <w:shd w:val="clear" w:color="000000" w:fill="B4C6E7"/>
            <w:vAlign w:val="bottom"/>
            <w:hideMark/>
          </w:tcPr>
          <w:p w14:paraId="55ADB93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10" w:type="pct"/>
            <w:tcBorders>
              <w:top w:val="nil"/>
              <w:left w:val="nil"/>
              <w:bottom w:val="single" w:sz="4" w:space="0" w:color="auto"/>
              <w:right w:val="single" w:sz="4" w:space="0" w:color="auto"/>
            </w:tcBorders>
            <w:shd w:val="clear" w:color="000000" w:fill="B4C6E7"/>
            <w:vAlign w:val="bottom"/>
            <w:hideMark/>
          </w:tcPr>
          <w:p w14:paraId="04A88C0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84" w:type="pct"/>
            <w:tcBorders>
              <w:top w:val="nil"/>
              <w:left w:val="nil"/>
              <w:bottom w:val="single" w:sz="4" w:space="0" w:color="auto"/>
              <w:right w:val="single" w:sz="4" w:space="0" w:color="auto"/>
            </w:tcBorders>
            <w:shd w:val="clear" w:color="000000" w:fill="B4C6E7"/>
            <w:vAlign w:val="bottom"/>
            <w:hideMark/>
          </w:tcPr>
          <w:p w14:paraId="51103F0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84" w:type="pct"/>
            <w:tcBorders>
              <w:top w:val="nil"/>
              <w:left w:val="nil"/>
              <w:bottom w:val="single" w:sz="4" w:space="0" w:color="auto"/>
              <w:right w:val="single" w:sz="4" w:space="0" w:color="auto"/>
            </w:tcBorders>
            <w:shd w:val="clear" w:color="000000" w:fill="B4C6E7"/>
            <w:vAlign w:val="bottom"/>
            <w:hideMark/>
          </w:tcPr>
          <w:p w14:paraId="774EFDFB"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84" w:type="pct"/>
            <w:tcBorders>
              <w:top w:val="nil"/>
              <w:left w:val="nil"/>
              <w:bottom w:val="single" w:sz="4" w:space="0" w:color="auto"/>
              <w:right w:val="single" w:sz="4" w:space="0" w:color="auto"/>
            </w:tcBorders>
            <w:shd w:val="clear" w:color="000000" w:fill="B4C6E7"/>
            <w:vAlign w:val="bottom"/>
            <w:hideMark/>
          </w:tcPr>
          <w:p w14:paraId="2C726B7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3420E2AB" w14:textId="77777777" w:rsidTr="00AD27AF">
        <w:trPr>
          <w:trHeight w:val="300"/>
        </w:trPr>
        <w:tc>
          <w:tcPr>
            <w:tcW w:w="1421" w:type="pct"/>
            <w:tcBorders>
              <w:top w:val="nil"/>
              <w:left w:val="single" w:sz="4" w:space="0" w:color="auto"/>
              <w:bottom w:val="single" w:sz="4" w:space="0" w:color="auto"/>
              <w:right w:val="single" w:sz="4" w:space="0" w:color="auto"/>
            </w:tcBorders>
            <w:shd w:val="clear" w:color="000000" w:fill="B4C6E7"/>
            <w:noWrap/>
            <w:vAlign w:val="center"/>
            <w:hideMark/>
          </w:tcPr>
          <w:p w14:paraId="5715A8DB"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Customized Employment</w:t>
            </w:r>
          </w:p>
        </w:tc>
        <w:tc>
          <w:tcPr>
            <w:tcW w:w="449" w:type="pct"/>
            <w:tcBorders>
              <w:top w:val="nil"/>
              <w:left w:val="nil"/>
              <w:bottom w:val="single" w:sz="4" w:space="0" w:color="auto"/>
              <w:right w:val="single" w:sz="4" w:space="0" w:color="auto"/>
            </w:tcBorders>
            <w:shd w:val="clear" w:color="000000" w:fill="FFFFFF"/>
            <w:noWrap/>
            <w:vAlign w:val="center"/>
            <w:hideMark/>
          </w:tcPr>
          <w:p w14:paraId="74FBBAB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49" w:type="pct"/>
            <w:tcBorders>
              <w:top w:val="nil"/>
              <w:left w:val="nil"/>
              <w:bottom w:val="single" w:sz="4" w:space="0" w:color="auto"/>
              <w:right w:val="single" w:sz="4" w:space="0" w:color="auto"/>
            </w:tcBorders>
            <w:shd w:val="clear" w:color="000000" w:fill="FFFFFF"/>
            <w:noWrap/>
            <w:vAlign w:val="center"/>
            <w:hideMark/>
          </w:tcPr>
          <w:p w14:paraId="7837D50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410" w:type="pct"/>
            <w:tcBorders>
              <w:top w:val="nil"/>
              <w:left w:val="nil"/>
              <w:bottom w:val="single" w:sz="4" w:space="0" w:color="auto"/>
              <w:right w:val="single" w:sz="4" w:space="0" w:color="auto"/>
            </w:tcBorders>
            <w:shd w:val="clear" w:color="000000" w:fill="FFFFFF"/>
            <w:noWrap/>
            <w:vAlign w:val="center"/>
            <w:hideMark/>
          </w:tcPr>
          <w:p w14:paraId="10F53F3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10" w:type="pct"/>
            <w:tcBorders>
              <w:top w:val="nil"/>
              <w:left w:val="nil"/>
              <w:bottom w:val="single" w:sz="4" w:space="0" w:color="auto"/>
              <w:right w:val="single" w:sz="4" w:space="0" w:color="auto"/>
            </w:tcBorders>
            <w:shd w:val="clear" w:color="000000" w:fill="FFFFFF"/>
            <w:noWrap/>
            <w:vAlign w:val="center"/>
            <w:hideMark/>
          </w:tcPr>
          <w:p w14:paraId="2B88208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10" w:type="pct"/>
            <w:tcBorders>
              <w:top w:val="nil"/>
              <w:left w:val="nil"/>
              <w:bottom w:val="single" w:sz="4" w:space="0" w:color="auto"/>
              <w:right w:val="single" w:sz="4" w:space="0" w:color="auto"/>
            </w:tcBorders>
            <w:shd w:val="clear" w:color="000000" w:fill="FFFFFF"/>
            <w:noWrap/>
            <w:vAlign w:val="center"/>
            <w:hideMark/>
          </w:tcPr>
          <w:p w14:paraId="2055210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17%</w:t>
            </w:r>
          </w:p>
        </w:tc>
        <w:tc>
          <w:tcPr>
            <w:tcW w:w="484" w:type="pct"/>
            <w:tcBorders>
              <w:top w:val="nil"/>
              <w:left w:val="nil"/>
              <w:bottom w:val="single" w:sz="4" w:space="0" w:color="auto"/>
              <w:right w:val="single" w:sz="4" w:space="0" w:color="auto"/>
            </w:tcBorders>
            <w:shd w:val="clear" w:color="000000" w:fill="FFFFFF"/>
            <w:noWrap/>
            <w:vAlign w:val="center"/>
            <w:hideMark/>
          </w:tcPr>
          <w:p w14:paraId="7CDFF92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84" w:type="pct"/>
            <w:tcBorders>
              <w:top w:val="nil"/>
              <w:left w:val="nil"/>
              <w:bottom w:val="single" w:sz="4" w:space="0" w:color="auto"/>
              <w:right w:val="single" w:sz="4" w:space="0" w:color="auto"/>
            </w:tcBorders>
            <w:shd w:val="clear" w:color="000000" w:fill="FFFFFF"/>
            <w:noWrap/>
            <w:vAlign w:val="center"/>
            <w:hideMark/>
          </w:tcPr>
          <w:p w14:paraId="37664C8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84" w:type="pct"/>
            <w:tcBorders>
              <w:top w:val="nil"/>
              <w:left w:val="nil"/>
              <w:bottom w:val="single" w:sz="4" w:space="0" w:color="auto"/>
              <w:right w:val="single" w:sz="4" w:space="0" w:color="auto"/>
            </w:tcBorders>
            <w:shd w:val="clear" w:color="000000" w:fill="FFFFFF"/>
            <w:noWrap/>
            <w:vAlign w:val="center"/>
            <w:hideMark/>
          </w:tcPr>
          <w:p w14:paraId="6A93689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25%</w:t>
            </w:r>
          </w:p>
        </w:tc>
      </w:tr>
      <w:tr w:rsidR="00AD27AF" w:rsidRPr="00216251" w14:paraId="1D3087FC" w14:textId="77777777" w:rsidTr="00AD27AF">
        <w:trPr>
          <w:trHeight w:val="300"/>
        </w:trPr>
        <w:tc>
          <w:tcPr>
            <w:tcW w:w="1421" w:type="pct"/>
            <w:tcBorders>
              <w:top w:val="nil"/>
              <w:left w:val="nil"/>
              <w:bottom w:val="nil"/>
              <w:right w:val="nil"/>
            </w:tcBorders>
            <w:shd w:val="clear" w:color="auto" w:fill="auto"/>
            <w:noWrap/>
            <w:vAlign w:val="bottom"/>
            <w:hideMark/>
          </w:tcPr>
          <w:p w14:paraId="6CA48439"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49" w:type="pct"/>
            <w:tcBorders>
              <w:top w:val="nil"/>
              <w:left w:val="nil"/>
              <w:bottom w:val="nil"/>
              <w:right w:val="nil"/>
            </w:tcBorders>
            <w:shd w:val="clear" w:color="auto" w:fill="auto"/>
            <w:noWrap/>
            <w:vAlign w:val="center"/>
            <w:hideMark/>
          </w:tcPr>
          <w:p w14:paraId="7E717132"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49" w:type="pct"/>
            <w:tcBorders>
              <w:top w:val="nil"/>
              <w:left w:val="nil"/>
              <w:bottom w:val="nil"/>
              <w:right w:val="nil"/>
            </w:tcBorders>
            <w:shd w:val="clear" w:color="auto" w:fill="auto"/>
            <w:noWrap/>
            <w:vAlign w:val="center"/>
            <w:hideMark/>
          </w:tcPr>
          <w:p w14:paraId="611079F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502484E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240B48E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5FF91F4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84" w:type="pct"/>
            <w:tcBorders>
              <w:top w:val="nil"/>
              <w:left w:val="nil"/>
              <w:bottom w:val="nil"/>
              <w:right w:val="nil"/>
            </w:tcBorders>
            <w:shd w:val="clear" w:color="auto" w:fill="auto"/>
            <w:noWrap/>
            <w:vAlign w:val="center"/>
            <w:hideMark/>
          </w:tcPr>
          <w:p w14:paraId="73320B0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84" w:type="pct"/>
            <w:tcBorders>
              <w:top w:val="nil"/>
              <w:left w:val="nil"/>
              <w:bottom w:val="nil"/>
              <w:right w:val="nil"/>
            </w:tcBorders>
            <w:shd w:val="clear" w:color="auto" w:fill="auto"/>
            <w:noWrap/>
            <w:vAlign w:val="center"/>
            <w:hideMark/>
          </w:tcPr>
          <w:p w14:paraId="61DE381A"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84" w:type="pct"/>
            <w:tcBorders>
              <w:top w:val="nil"/>
              <w:left w:val="nil"/>
              <w:bottom w:val="nil"/>
              <w:right w:val="nil"/>
            </w:tcBorders>
            <w:shd w:val="clear" w:color="auto" w:fill="auto"/>
            <w:noWrap/>
            <w:vAlign w:val="center"/>
            <w:hideMark/>
          </w:tcPr>
          <w:p w14:paraId="251B2393"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73F41947" w14:textId="77777777" w:rsidTr="00AD27AF">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69DD9042"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Utah Combined</w:t>
            </w:r>
          </w:p>
        </w:tc>
      </w:tr>
      <w:tr w:rsidR="00AD27AF" w:rsidRPr="00216251" w14:paraId="11DBA309" w14:textId="77777777" w:rsidTr="00AD27AF">
        <w:trPr>
          <w:trHeight w:val="1305"/>
        </w:trPr>
        <w:tc>
          <w:tcPr>
            <w:tcW w:w="1421" w:type="pct"/>
            <w:tcBorders>
              <w:top w:val="nil"/>
              <w:left w:val="single" w:sz="4" w:space="0" w:color="auto"/>
              <w:bottom w:val="single" w:sz="4" w:space="0" w:color="auto"/>
              <w:right w:val="single" w:sz="4" w:space="0" w:color="auto"/>
            </w:tcBorders>
            <w:shd w:val="clear" w:color="000000" w:fill="B4C6E7"/>
            <w:vAlign w:val="bottom"/>
            <w:hideMark/>
          </w:tcPr>
          <w:p w14:paraId="767AA8CF"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49" w:type="pct"/>
            <w:tcBorders>
              <w:top w:val="nil"/>
              <w:left w:val="nil"/>
              <w:bottom w:val="single" w:sz="4" w:space="0" w:color="auto"/>
              <w:right w:val="single" w:sz="4" w:space="0" w:color="auto"/>
            </w:tcBorders>
            <w:shd w:val="clear" w:color="000000" w:fill="B4C6E7"/>
            <w:vAlign w:val="bottom"/>
            <w:hideMark/>
          </w:tcPr>
          <w:p w14:paraId="5AAAFC5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49" w:type="pct"/>
            <w:tcBorders>
              <w:top w:val="nil"/>
              <w:left w:val="nil"/>
              <w:bottom w:val="single" w:sz="4" w:space="0" w:color="auto"/>
              <w:right w:val="single" w:sz="4" w:space="0" w:color="auto"/>
            </w:tcBorders>
            <w:shd w:val="clear" w:color="000000" w:fill="B4C6E7"/>
            <w:vAlign w:val="bottom"/>
            <w:hideMark/>
          </w:tcPr>
          <w:p w14:paraId="6C9E97A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410" w:type="pct"/>
            <w:tcBorders>
              <w:top w:val="nil"/>
              <w:left w:val="nil"/>
              <w:bottom w:val="single" w:sz="4" w:space="0" w:color="auto"/>
              <w:right w:val="single" w:sz="4" w:space="0" w:color="auto"/>
            </w:tcBorders>
            <w:shd w:val="clear" w:color="000000" w:fill="B4C6E7"/>
            <w:vAlign w:val="bottom"/>
            <w:hideMark/>
          </w:tcPr>
          <w:p w14:paraId="1B2CAE8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410" w:type="pct"/>
            <w:tcBorders>
              <w:top w:val="nil"/>
              <w:left w:val="nil"/>
              <w:bottom w:val="single" w:sz="4" w:space="0" w:color="auto"/>
              <w:right w:val="single" w:sz="4" w:space="0" w:color="auto"/>
            </w:tcBorders>
            <w:shd w:val="clear" w:color="000000" w:fill="B4C6E7"/>
            <w:vAlign w:val="bottom"/>
            <w:hideMark/>
          </w:tcPr>
          <w:p w14:paraId="1C30F26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10" w:type="pct"/>
            <w:tcBorders>
              <w:top w:val="nil"/>
              <w:left w:val="nil"/>
              <w:bottom w:val="single" w:sz="4" w:space="0" w:color="auto"/>
              <w:right w:val="single" w:sz="4" w:space="0" w:color="auto"/>
            </w:tcBorders>
            <w:shd w:val="clear" w:color="000000" w:fill="B4C6E7"/>
            <w:vAlign w:val="bottom"/>
            <w:hideMark/>
          </w:tcPr>
          <w:p w14:paraId="1CD0F09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84" w:type="pct"/>
            <w:tcBorders>
              <w:top w:val="nil"/>
              <w:left w:val="nil"/>
              <w:bottom w:val="single" w:sz="4" w:space="0" w:color="auto"/>
              <w:right w:val="single" w:sz="4" w:space="0" w:color="auto"/>
            </w:tcBorders>
            <w:shd w:val="clear" w:color="000000" w:fill="B4C6E7"/>
            <w:vAlign w:val="bottom"/>
            <w:hideMark/>
          </w:tcPr>
          <w:p w14:paraId="16AB15D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84" w:type="pct"/>
            <w:tcBorders>
              <w:top w:val="nil"/>
              <w:left w:val="nil"/>
              <w:bottom w:val="single" w:sz="4" w:space="0" w:color="auto"/>
              <w:right w:val="single" w:sz="4" w:space="0" w:color="auto"/>
            </w:tcBorders>
            <w:shd w:val="clear" w:color="000000" w:fill="B4C6E7"/>
            <w:vAlign w:val="bottom"/>
            <w:hideMark/>
          </w:tcPr>
          <w:p w14:paraId="3C71C76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84" w:type="pct"/>
            <w:tcBorders>
              <w:top w:val="nil"/>
              <w:left w:val="nil"/>
              <w:bottom w:val="single" w:sz="4" w:space="0" w:color="auto"/>
              <w:right w:val="single" w:sz="4" w:space="0" w:color="auto"/>
            </w:tcBorders>
            <w:shd w:val="clear" w:color="000000" w:fill="B4C6E7"/>
            <w:vAlign w:val="bottom"/>
            <w:hideMark/>
          </w:tcPr>
          <w:p w14:paraId="73FB7C4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38806435" w14:textId="77777777" w:rsidTr="00AD27AF">
        <w:trPr>
          <w:trHeight w:val="300"/>
        </w:trPr>
        <w:tc>
          <w:tcPr>
            <w:tcW w:w="1421" w:type="pct"/>
            <w:tcBorders>
              <w:top w:val="nil"/>
              <w:left w:val="single" w:sz="4" w:space="0" w:color="auto"/>
              <w:bottom w:val="single" w:sz="4" w:space="0" w:color="auto"/>
              <w:right w:val="single" w:sz="4" w:space="0" w:color="auto"/>
            </w:tcBorders>
            <w:shd w:val="clear" w:color="000000" w:fill="B4C6E7"/>
            <w:noWrap/>
            <w:vAlign w:val="center"/>
            <w:hideMark/>
          </w:tcPr>
          <w:p w14:paraId="320A51D5"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49" w:type="pct"/>
            <w:tcBorders>
              <w:top w:val="nil"/>
              <w:left w:val="nil"/>
              <w:bottom w:val="single" w:sz="4" w:space="0" w:color="auto"/>
              <w:right w:val="single" w:sz="4" w:space="0" w:color="auto"/>
            </w:tcBorders>
            <w:shd w:val="clear" w:color="000000" w:fill="FFFFFF"/>
            <w:noWrap/>
            <w:vAlign w:val="center"/>
            <w:hideMark/>
          </w:tcPr>
          <w:p w14:paraId="50F22FB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449" w:type="pct"/>
            <w:tcBorders>
              <w:top w:val="nil"/>
              <w:left w:val="nil"/>
              <w:bottom w:val="single" w:sz="4" w:space="0" w:color="auto"/>
              <w:right w:val="single" w:sz="4" w:space="0" w:color="auto"/>
            </w:tcBorders>
            <w:shd w:val="clear" w:color="000000" w:fill="FFFFFF"/>
            <w:noWrap/>
            <w:vAlign w:val="center"/>
            <w:hideMark/>
          </w:tcPr>
          <w:p w14:paraId="761E844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10" w:type="pct"/>
            <w:tcBorders>
              <w:top w:val="nil"/>
              <w:left w:val="nil"/>
              <w:bottom w:val="single" w:sz="4" w:space="0" w:color="auto"/>
              <w:right w:val="single" w:sz="4" w:space="0" w:color="auto"/>
            </w:tcBorders>
            <w:shd w:val="clear" w:color="000000" w:fill="FFFFFF"/>
            <w:noWrap/>
            <w:vAlign w:val="center"/>
            <w:hideMark/>
          </w:tcPr>
          <w:p w14:paraId="0BC5AC7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410" w:type="pct"/>
            <w:tcBorders>
              <w:top w:val="nil"/>
              <w:left w:val="nil"/>
              <w:bottom w:val="single" w:sz="4" w:space="0" w:color="auto"/>
              <w:right w:val="single" w:sz="4" w:space="0" w:color="auto"/>
            </w:tcBorders>
            <w:shd w:val="clear" w:color="000000" w:fill="FFFFFF"/>
            <w:noWrap/>
            <w:vAlign w:val="center"/>
            <w:hideMark/>
          </w:tcPr>
          <w:p w14:paraId="3975A00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w:t>
            </w:r>
          </w:p>
        </w:tc>
        <w:tc>
          <w:tcPr>
            <w:tcW w:w="410" w:type="pct"/>
            <w:tcBorders>
              <w:top w:val="nil"/>
              <w:left w:val="nil"/>
              <w:bottom w:val="single" w:sz="4" w:space="0" w:color="auto"/>
              <w:right w:val="single" w:sz="4" w:space="0" w:color="auto"/>
            </w:tcBorders>
            <w:shd w:val="clear" w:color="000000" w:fill="FFFFFF"/>
            <w:noWrap/>
            <w:vAlign w:val="center"/>
            <w:hideMark/>
          </w:tcPr>
          <w:p w14:paraId="7088133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84" w:type="pct"/>
            <w:tcBorders>
              <w:top w:val="nil"/>
              <w:left w:val="nil"/>
              <w:bottom w:val="single" w:sz="4" w:space="0" w:color="auto"/>
              <w:right w:val="single" w:sz="4" w:space="0" w:color="auto"/>
            </w:tcBorders>
            <w:shd w:val="clear" w:color="000000" w:fill="FFFFFF"/>
            <w:noWrap/>
            <w:vAlign w:val="center"/>
            <w:hideMark/>
          </w:tcPr>
          <w:p w14:paraId="2F56F2F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84" w:type="pct"/>
            <w:tcBorders>
              <w:top w:val="nil"/>
              <w:left w:val="nil"/>
              <w:bottom w:val="single" w:sz="4" w:space="0" w:color="auto"/>
              <w:right w:val="single" w:sz="4" w:space="0" w:color="auto"/>
            </w:tcBorders>
            <w:shd w:val="clear" w:color="000000" w:fill="FFFFFF"/>
            <w:noWrap/>
            <w:vAlign w:val="center"/>
            <w:hideMark/>
          </w:tcPr>
          <w:p w14:paraId="35B2AAB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84" w:type="pct"/>
            <w:tcBorders>
              <w:top w:val="nil"/>
              <w:left w:val="nil"/>
              <w:bottom w:val="single" w:sz="4" w:space="0" w:color="auto"/>
              <w:right w:val="single" w:sz="4" w:space="0" w:color="auto"/>
            </w:tcBorders>
            <w:shd w:val="clear" w:color="000000" w:fill="FFFFFF"/>
            <w:noWrap/>
            <w:vAlign w:val="center"/>
            <w:hideMark/>
          </w:tcPr>
          <w:p w14:paraId="224B296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r>
      <w:tr w:rsidR="00AD27AF" w:rsidRPr="00216251" w14:paraId="1AB93E55" w14:textId="77777777" w:rsidTr="00AD27AF">
        <w:trPr>
          <w:trHeight w:val="300"/>
        </w:trPr>
        <w:tc>
          <w:tcPr>
            <w:tcW w:w="1421" w:type="pct"/>
            <w:tcBorders>
              <w:top w:val="nil"/>
              <w:left w:val="single" w:sz="4" w:space="0" w:color="auto"/>
              <w:bottom w:val="single" w:sz="4" w:space="0" w:color="auto"/>
              <w:right w:val="single" w:sz="4" w:space="0" w:color="auto"/>
            </w:tcBorders>
            <w:shd w:val="clear" w:color="000000" w:fill="B4C6E7"/>
            <w:noWrap/>
            <w:vAlign w:val="center"/>
            <w:hideMark/>
          </w:tcPr>
          <w:p w14:paraId="30910E89"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49" w:type="pct"/>
            <w:tcBorders>
              <w:top w:val="nil"/>
              <w:left w:val="nil"/>
              <w:bottom w:val="single" w:sz="4" w:space="0" w:color="auto"/>
              <w:right w:val="single" w:sz="4" w:space="0" w:color="auto"/>
            </w:tcBorders>
            <w:shd w:val="clear" w:color="000000" w:fill="D9E1F2"/>
            <w:noWrap/>
            <w:vAlign w:val="center"/>
            <w:hideMark/>
          </w:tcPr>
          <w:p w14:paraId="47E769F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49" w:type="pct"/>
            <w:tcBorders>
              <w:top w:val="nil"/>
              <w:left w:val="nil"/>
              <w:bottom w:val="single" w:sz="4" w:space="0" w:color="auto"/>
              <w:right w:val="single" w:sz="4" w:space="0" w:color="auto"/>
            </w:tcBorders>
            <w:shd w:val="clear" w:color="000000" w:fill="D9E1F2"/>
            <w:noWrap/>
            <w:vAlign w:val="center"/>
            <w:hideMark/>
          </w:tcPr>
          <w:p w14:paraId="13D944E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75%</w:t>
            </w:r>
          </w:p>
        </w:tc>
        <w:tc>
          <w:tcPr>
            <w:tcW w:w="410" w:type="pct"/>
            <w:tcBorders>
              <w:top w:val="nil"/>
              <w:left w:val="nil"/>
              <w:bottom w:val="single" w:sz="4" w:space="0" w:color="auto"/>
              <w:right w:val="single" w:sz="4" w:space="0" w:color="auto"/>
            </w:tcBorders>
            <w:shd w:val="clear" w:color="000000" w:fill="D9E1F2"/>
            <w:noWrap/>
            <w:vAlign w:val="center"/>
            <w:hideMark/>
          </w:tcPr>
          <w:p w14:paraId="11345A4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10" w:type="pct"/>
            <w:tcBorders>
              <w:top w:val="nil"/>
              <w:left w:val="nil"/>
              <w:bottom w:val="single" w:sz="4" w:space="0" w:color="auto"/>
              <w:right w:val="single" w:sz="4" w:space="0" w:color="auto"/>
            </w:tcBorders>
            <w:shd w:val="clear" w:color="000000" w:fill="D9E1F2"/>
            <w:noWrap/>
            <w:vAlign w:val="center"/>
            <w:hideMark/>
          </w:tcPr>
          <w:p w14:paraId="20776CB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10" w:type="pct"/>
            <w:tcBorders>
              <w:top w:val="nil"/>
              <w:left w:val="nil"/>
              <w:bottom w:val="single" w:sz="4" w:space="0" w:color="auto"/>
              <w:right w:val="single" w:sz="4" w:space="0" w:color="auto"/>
            </w:tcBorders>
            <w:shd w:val="clear" w:color="000000" w:fill="D9E1F2"/>
            <w:noWrap/>
            <w:vAlign w:val="center"/>
            <w:hideMark/>
          </w:tcPr>
          <w:p w14:paraId="20939BE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c>
          <w:tcPr>
            <w:tcW w:w="484" w:type="pct"/>
            <w:tcBorders>
              <w:top w:val="nil"/>
              <w:left w:val="nil"/>
              <w:bottom w:val="single" w:sz="4" w:space="0" w:color="auto"/>
              <w:right w:val="single" w:sz="4" w:space="0" w:color="auto"/>
            </w:tcBorders>
            <w:shd w:val="clear" w:color="000000" w:fill="D9E1F2"/>
            <w:noWrap/>
            <w:vAlign w:val="center"/>
            <w:hideMark/>
          </w:tcPr>
          <w:p w14:paraId="59D0AF7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84" w:type="pct"/>
            <w:tcBorders>
              <w:top w:val="nil"/>
              <w:left w:val="nil"/>
              <w:bottom w:val="single" w:sz="4" w:space="0" w:color="auto"/>
              <w:right w:val="single" w:sz="4" w:space="0" w:color="auto"/>
            </w:tcBorders>
            <w:shd w:val="clear" w:color="000000" w:fill="D9E1F2"/>
            <w:noWrap/>
            <w:vAlign w:val="center"/>
            <w:hideMark/>
          </w:tcPr>
          <w:p w14:paraId="35E7DA5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84" w:type="pct"/>
            <w:tcBorders>
              <w:top w:val="nil"/>
              <w:left w:val="nil"/>
              <w:bottom w:val="single" w:sz="4" w:space="0" w:color="auto"/>
              <w:right w:val="single" w:sz="4" w:space="0" w:color="auto"/>
            </w:tcBorders>
            <w:shd w:val="clear" w:color="000000" w:fill="D9E1F2"/>
            <w:noWrap/>
            <w:vAlign w:val="center"/>
            <w:hideMark/>
          </w:tcPr>
          <w:p w14:paraId="1AB1313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0219CF33" w14:textId="77777777" w:rsidTr="00AD27AF">
        <w:trPr>
          <w:trHeight w:val="300"/>
        </w:trPr>
        <w:tc>
          <w:tcPr>
            <w:tcW w:w="1421" w:type="pct"/>
            <w:tcBorders>
              <w:top w:val="nil"/>
              <w:left w:val="nil"/>
              <w:bottom w:val="nil"/>
              <w:right w:val="nil"/>
            </w:tcBorders>
            <w:shd w:val="clear" w:color="auto" w:fill="auto"/>
            <w:noWrap/>
            <w:vAlign w:val="bottom"/>
            <w:hideMark/>
          </w:tcPr>
          <w:p w14:paraId="4F98FD53"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49" w:type="pct"/>
            <w:tcBorders>
              <w:top w:val="nil"/>
              <w:left w:val="nil"/>
              <w:bottom w:val="nil"/>
              <w:right w:val="nil"/>
            </w:tcBorders>
            <w:shd w:val="clear" w:color="auto" w:fill="auto"/>
            <w:noWrap/>
            <w:vAlign w:val="center"/>
            <w:hideMark/>
          </w:tcPr>
          <w:p w14:paraId="3B3B26B4"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49" w:type="pct"/>
            <w:tcBorders>
              <w:top w:val="nil"/>
              <w:left w:val="nil"/>
              <w:bottom w:val="nil"/>
              <w:right w:val="nil"/>
            </w:tcBorders>
            <w:shd w:val="clear" w:color="auto" w:fill="auto"/>
            <w:noWrap/>
            <w:vAlign w:val="center"/>
            <w:hideMark/>
          </w:tcPr>
          <w:p w14:paraId="6748A12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685B463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10A24950"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3CE3298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84" w:type="pct"/>
            <w:tcBorders>
              <w:top w:val="nil"/>
              <w:left w:val="nil"/>
              <w:bottom w:val="nil"/>
              <w:right w:val="nil"/>
            </w:tcBorders>
            <w:shd w:val="clear" w:color="auto" w:fill="auto"/>
            <w:noWrap/>
            <w:vAlign w:val="center"/>
            <w:hideMark/>
          </w:tcPr>
          <w:p w14:paraId="71BDD57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84" w:type="pct"/>
            <w:tcBorders>
              <w:top w:val="nil"/>
              <w:left w:val="nil"/>
              <w:bottom w:val="nil"/>
              <w:right w:val="nil"/>
            </w:tcBorders>
            <w:shd w:val="clear" w:color="auto" w:fill="auto"/>
            <w:noWrap/>
            <w:vAlign w:val="center"/>
            <w:hideMark/>
          </w:tcPr>
          <w:p w14:paraId="1AB449B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84" w:type="pct"/>
            <w:tcBorders>
              <w:top w:val="nil"/>
              <w:left w:val="nil"/>
              <w:bottom w:val="nil"/>
              <w:right w:val="nil"/>
            </w:tcBorders>
            <w:shd w:val="clear" w:color="auto" w:fill="auto"/>
            <w:noWrap/>
            <w:vAlign w:val="center"/>
            <w:hideMark/>
          </w:tcPr>
          <w:p w14:paraId="117CF6E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18899A38" w14:textId="77777777" w:rsidTr="00AD27AF">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332E76A0"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Virgin Islands Combined</w:t>
            </w:r>
          </w:p>
        </w:tc>
      </w:tr>
      <w:tr w:rsidR="00AD27AF" w:rsidRPr="00216251" w14:paraId="1DC36A26" w14:textId="77777777" w:rsidTr="00AD27AF">
        <w:trPr>
          <w:trHeight w:val="1305"/>
        </w:trPr>
        <w:tc>
          <w:tcPr>
            <w:tcW w:w="1421" w:type="pct"/>
            <w:tcBorders>
              <w:top w:val="nil"/>
              <w:left w:val="single" w:sz="4" w:space="0" w:color="auto"/>
              <w:bottom w:val="single" w:sz="4" w:space="0" w:color="auto"/>
              <w:right w:val="single" w:sz="4" w:space="0" w:color="auto"/>
            </w:tcBorders>
            <w:shd w:val="clear" w:color="000000" w:fill="B4C6E7"/>
            <w:vAlign w:val="bottom"/>
            <w:hideMark/>
          </w:tcPr>
          <w:p w14:paraId="71EE0266"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49" w:type="pct"/>
            <w:tcBorders>
              <w:top w:val="nil"/>
              <w:left w:val="nil"/>
              <w:bottom w:val="single" w:sz="4" w:space="0" w:color="auto"/>
              <w:right w:val="single" w:sz="4" w:space="0" w:color="auto"/>
            </w:tcBorders>
            <w:shd w:val="clear" w:color="000000" w:fill="B4C6E7"/>
            <w:vAlign w:val="bottom"/>
            <w:hideMark/>
          </w:tcPr>
          <w:p w14:paraId="52DEFBC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49" w:type="pct"/>
            <w:tcBorders>
              <w:top w:val="nil"/>
              <w:left w:val="nil"/>
              <w:bottom w:val="single" w:sz="4" w:space="0" w:color="auto"/>
              <w:right w:val="single" w:sz="4" w:space="0" w:color="auto"/>
            </w:tcBorders>
            <w:shd w:val="clear" w:color="000000" w:fill="B4C6E7"/>
            <w:vAlign w:val="bottom"/>
            <w:hideMark/>
          </w:tcPr>
          <w:p w14:paraId="4F6D59A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410" w:type="pct"/>
            <w:tcBorders>
              <w:top w:val="nil"/>
              <w:left w:val="nil"/>
              <w:bottom w:val="single" w:sz="4" w:space="0" w:color="auto"/>
              <w:right w:val="single" w:sz="4" w:space="0" w:color="auto"/>
            </w:tcBorders>
            <w:shd w:val="clear" w:color="000000" w:fill="B4C6E7"/>
            <w:vAlign w:val="bottom"/>
            <w:hideMark/>
          </w:tcPr>
          <w:p w14:paraId="3115588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410" w:type="pct"/>
            <w:tcBorders>
              <w:top w:val="nil"/>
              <w:left w:val="nil"/>
              <w:bottom w:val="single" w:sz="4" w:space="0" w:color="auto"/>
              <w:right w:val="single" w:sz="4" w:space="0" w:color="auto"/>
            </w:tcBorders>
            <w:shd w:val="clear" w:color="000000" w:fill="B4C6E7"/>
            <w:vAlign w:val="bottom"/>
            <w:hideMark/>
          </w:tcPr>
          <w:p w14:paraId="1AF0F181"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10" w:type="pct"/>
            <w:tcBorders>
              <w:top w:val="nil"/>
              <w:left w:val="nil"/>
              <w:bottom w:val="single" w:sz="4" w:space="0" w:color="auto"/>
              <w:right w:val="single" w:sz="4" w:space="0" w:color="auto"/>
            </w:tcBorders>
            <w:shd w:val="clear" w:color="000000" w:fill="B4C6E7"/>
            <w:vAlign w:val="bottom"/>
            <w:hideMark/>
          </w:tcPr>
          <w:p w14:paraId="286DB4E3"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84" w:type="pct"/>
            <w:tcBorders>
              <w:top w:val="nil"/>
              <w:left w:val="nil"/>
              <w:bottom w:val="single" w:sz="4" w:space="0" w:color="auto"/>
              <w:right w:val="single" w:sz="4" w:space="0" w:color="auto"/>
            </w:tcBorders>
            <w:shd w:val="clear" w:color="000000" w:fill="B4C6E7"/>
            <w:vAlign w:val="bottom"/>
            <w:hideMark/>
          </w:tcPr>
          <w:p w14:paraId="13C125D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84" w:type="pct"/>
            <w:tcBorders>
              <w:top w:val="nil"/>
              <w:left w:val="nil"/>
              <w:bottom w:val="single" w:sz="4" w:space="0" w:color="auto"/>
              <w:right w:val="single" w:sz="4" w:space="0" w:color="auto"/>
            </w:tcBorders>
            <w:shd w:val="clear" w:color="000000" w:fill="B4C6E7"/>
            <w:vAlign w:val="bottom"/>
            <w:hideMark/>
          </w:tcPr>
          <w:p w14:paraId="73D52D2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84" w:type="pct"/>
            <w:tcBorders>
              <w:top w:val="nil"/>
              <w:left w:val="nil"/>
              <w:bottom w:val="single" w:sz="4" w:space="0" w:color="auto"/>
              <w:right w:val="single" w:sz="4" w:space="0" w:color="auto"/>
            </w:tcBorders>
            <w:shd w:val="clear" w:color="000000" w:fill="B4C6E7"/>
            <w:vAlign w:val="bottom"/>
            <w:hideMark/>
          </w:tcPr>
          <w:p w14:paraId="543203A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19ACD57B" w14:textId="77777777" w:rsidTr="00AD27AF">
        <w:trPr>
          <w:trHeight w:val="300"/>
        </w:trPr>
        <w:tc>
          <w:tcPr>
            <w:tcW w:w="1421" w:type="pct"/>
            <w:tcBorders>
              <w:top w:val="nil"/>
              <w:left w:val="single" w:sz="4" w:space="0" w:color="auto"/>
              <w:bottom w:val="single" w:sz="4" w:space="0" w:color="auto"/>
              <w:right w:val="single" w:sz="4" w:space="0" w:color="auto"/>
            </w:tcBorders>
            <w:shd w:val="clear" w:color="000000" w:fill="B4C6E7"/>
            <w:noWrap/>
            <w:vAlign w:val="center"/>
            <w:hideMark/>
          </w:tcPr>
          <w:p w14:paraId="6CCC0207"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49" w:type="pct"/>
            <w:tcBorders>
              <w:top w:val="nil"/>
              <w:left w:val="nil"/>
              <w:bottom w:val="single" w:sz="4" w:space="0" w:color="auto"/>
              <w:right w:val="single" w:sz="4" w:space="0" w:color="auto"/>
            </w:tcBorders>
            <w:shd w:val="clear" w:color="000000" w:fill="FFFFFF"/>
            <w:noWrap/>
            <w:vAlign w:val="center"/>
            <w:hideMark/>
          </w:tcPr>
          <w:p w14:paraId="6976B8A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49" w:type="pct"/>
            <w:tcBorders>
              <w:top w:val="nil"/>
              <w:left w:val="nil"/>
              <w:bottom w:val="single" w:sz="4" w:space="0" w:color="auto"/>
              <w:right w:val="single" w:sz="4" w:space="0" w:color="auto"/>
            </w:tcBorders>
            <w:shd w:val="clear" w:color="000000" w:fill="FFFFFF"/>
            <w:noWrap/>
            <w:vAlign w:val="center"/>
            <w:hideMark/>
          </w:tcPr>
          <w:p w14:paraId="0A96F77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57%</w:t>
            </w:r>
          </w:p>
        </w:tc>
        <w:tc>
          <w:tcPr>
            <w:tcW w:w="410" w:type="pct"/>
            <w:tcBorders>
              <w:top w:val="nil"/>
              <w:left w:val="nil"/>
              <w:bottom w:val="single" w:sz="4" w:space="0" w:color="auto"/>
              <w:right w:val="single" w:sz="4" w:space="0" w:color="auto"/>
            </w:tcBorders>
            <w:shd w:val="clear" w:color="000000" w:fill="FFFFFF"/>
            <w:noWrap/>
            <w:vAlign w:val="center"/>
            <w:hideMark/>
          </w:tcPr>
          <w:p w14:paraId="5C9FB84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10" w:type="pct"/>
            <w:tcBorders>
              <w:top w:val="nil"/>
              <w:left w:val="nil"/>
              <w:bottom w:val="single" w:sz="4" w:space="0" w:color="auto"/>
              <w:right w:val="single" w:sz="4" w:space="0" w:color="auto"/>
            </w:tcBorders>
            <w:shd w:val="clear" w:color="000000" w:fill="FFFFFF"/>
            <w:noWrap/>
            <w:vAlign w:val="center"/>
            <w:hideMark/>
          </w:tcPr>
          <w:p w14:paraId="766CD91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10" w:type="pct"/>
            <w:tcBorders>
              <w:top w:val="nil"/>
              <w:left w:val="nil"/>
              <w:bottom w:val="single" w:sz="4" w:space="0" w:color="auto"/>
              <w:right w:val="single" w:sz="4" w:space="0" w:color="auto"/>
            </w:tcBorders>
            <w:shd w:val="clear" w:color="000000" w:fill="FFFFFF"/>
            <w:noWrap/>
            <w:vAlign w:val="center"/>
            <w:hideMark/>
          </w:tcPr>
          <w:p w14:paraId="48D1907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17%</w:t>
            </w:r>
          </w:p>
        </w:tc>
        <w:tc>
          <w:tcPr>
            <w:tcW w:w="484" w:type="pct"/>
            <w:tcBorders>
              <w:top w:val="nil"/>
              <w:left w:val="nil"/>
              <w:bottom w:val="single" w:sz="4" w:space="0" w:color="auto"/>
              <w:right w:val="single" w:sz="4" w:space="0" w:color="auto"/>
            </w:tcBorders>
            <w:shd w:val="clear" w:color="000000" w:fill="FFFFFF"/>
            <w:noWrap/>
            <w:vAlign w:val="center"/>
            <w:hideMark/>
          </w:tcPr>
          <w:p w14:paraId="2A9FECC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84" w:type="pct"/>
            <w:tcBorders>
              <w:top w:val="nil"/>
              <w:left w:val="nil"/>
              <w:bottom w:val="single" w:sz="4" w:space="0" w:color="auto"/>
              <w:right w:val="single" w:sz="4" w:space="0" w:color="auto"/>
            </w:tcBorders>
            <w:shd w:val="clear" w:color="000000" w:fill="FFFFFF"/>
            <w:noWrap/>
            <w:vAlign w:val="center"/>
            <w:hideMark/>
          </w:tcPr>
          <w:p w14:paraId="544BC6C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84" w:type="pct"/>
            <w:tcBorders>
              <w:top w:val="nil"/>
              <w:left w:val="nil"/>
              <w:bottom w:val="single" w:sz="4" w:space="0" w:color="auto"/>
              <w:right w:val="single" w:sz="4" w:space="0" w:color="auto"/>
            </w:tcBorders>
            <w:shd w:val="clear" w:color="000000" w:fill="FFFFFF"/>
            <w:noWrap/>
            <w:vAlign w:val="center"/>
            <w:hideMark/>
          </w:tcPr>
          <w:p w14:paraId="7A152EA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6BEC7F4D" w14:textId="77777777" w:rsidTr="00AD27AF">
        <w:trPr>
          <w:trHeight w:val="300"/>
        </w:trPr>
        <w:tc>
          <w:tcPr>
            <w:tcW w:w="1421" w:type="pct"/>
            <w:tcBorders>
              <w:top w:val="nil"/>
              <w:left w:val="single" w:sz="4" w:space="0" w:color="auto"/>
              <w:bottom w:val="single" w:sz="4" w:space="0" w:color="auto"/>
              <w:right w:val="single" w:sz="4" w:space="0" w:color="auto"/>
            </w:tcBorders>
            <w:shd w:val="clear" w:color="000000" w:fill="B4C6E7"/>
            <w:noWrap/>
            <w:vAlign w:val="center"/>
            <w:hideMark/>
          </w:tcPr>
          <w:p w14:paraId="1686845C"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Workforce Integration</w:t>
            </w:r>
          </w:p>
        </w:tc>
        <w:tc>
          <w:tcPr>
            <w:tcW w:w="449" w:type="pct"/>
            <w:tcBorders>
              <w:top w:val="nil"/>
              <w:left w:val="nil"/>
              <w:bottom w:val="single" w:sz="4" w:space="0" w:color="auto"/>
              <w:right w:val="single" w:sz="4" w:space="0" w:color="auto"/>
            </w:tcBorders>
            <w:shd w:val="clear" w:color="000000" w:fill="D9E1F2"/>
            <w:noWrap/>
            <w:vAlign w:val="center"/>
            <w:hideMark/>
          </w:tcPr>
          <w:p w14:paraId="41908B7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49" w:type="pct"/>
            <w:tcBorders>
              <w:top w:val="nil"/>
              <w:left w:val="nil"/>
              <w:bottom w:val="single" w:sz="4" w:space="0" w:color="auto"/>
              <w:right w:val="single" w:sz="4" w:space="0" w:color="auto"/>
            </w:tcBorders>
            <w:shd w:val="clear" w:color="000000" w:fill="D9E1F2"/>
            <w:noWrap/>
            <w:vAlign w:val="center"/>
            <w:hideMark/>
          </w:tcPr>
          <w:p w14:paraId="61446B5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10" w:type="pct"/>
            <w:tcBorders>
              <w:top w:val="nil"/>
              <w:left w:val="nil"/>
              <w:bottom w:val="single" w:sz="4" w:space="0" w:color="auto"/>
              <w:right w:val="single" w:sz="4" w:space="0" w:color="auto"/>
            </w:tcBorders>
            <w:shd w:val="clear" w:color="000000" w:fill="D9E1F2"/>
            <w:noWrap/>
            <w:vAlign w:val="center"/>
            <w:hideMark/>
          </w:tcPr>
          <w:p w14:paraId="18D5D6A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10" w:type="pct"/>
            <w:tcBorders>
              <w:top w:val="nil"/>
              <w:left w:val="nil"/>
              <w:bottom w:val="single" w:sz="4" w:space="0" w:color="auto"/>
              <w:right w:val="single" w:sz="4" w:space="0" w:color="auto"/>
            </w:tcBorders>
            <w:shd w:val="clear" w:color="000000" w:fill="D9E1F2"/>
            <w:noWrap/>
            <w:vAlign w:val="center"/>
            <w:hideMark/>
          </w:tcPr>
          <w:p w14:paraId="5E98581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10" w:type="pct"/>
            <w:tcBorders>
              <w:top w:val="nil"/>
              <w:left w:val="nil"/>
              <w:bottom w:val="single" w:sz="4" w:space="0" w:color="auto"/>
              <w:right w:val="single" w:sz="4" w:space="0" w:color="auto"/>
            </w:tcBorders>
            <w:shd w:val="clear" w:color="000000" w:fill="D9E1F2"/>
            <w:noWrap/>
            <w:vAlign w:val="center"/>
            <w:hideMark/>
          </w:tcPr>
          <w:p w14:paraId="1577AC7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67%</w:t>
            </w:r>
          </w:p>
        </w:tc>
        <w:tc>
          <w:tcPr>
            <w:tcW w:w="484" w:type="pct"/>
            <w:tcBorders>
              <w:top w:val="nil"/>
              <w:left w:val="nil"/>
              <w:bottom w:val="single" w:sz="4" w:space="0" w:color="auto"/>
              <w:right w:val="single" w:sz="4" w:space="0" w:color="auto"/>
            </w:tcBorders>
            <w:shd w:val="clear" w:color="000000" w:fill="D9E1F2"/>
            <w:noWrap/>
            <w:vAlign w:val="center"/>
            <w:hideMark/>
          </w:tcPr>
          <w:p w14:paraId="2B2029B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w:t>
            </w:r>
          </w:p>
        </w:tc>
        <w:tc>
          <w:tcPr>
            <w:tcW w:w="484" w:type="pct"/>
            <w:tcBorders>
              <w:top w:val="nil"/>
              <w:left w:val="nil"/>
              <w:bottom w:val="single" w:sz="4" w:space="0" w:color="auto"/>
              <w:right w:val="single" w:sz="4" w:space="0" w:color="auto"/>
            </w:tcBorders>
            <w:shd w:val="clear" w:color="000000" w:fill="D9E1F2"/>
            <w:noWrap/>
            <w:vAlign w:val="center"/>
            <w:hideMark/>
          </w:tcPr>
          <w:p w14:paraId="0BED658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84" w:type="pct"/>
            <w:tcBorders>
              <w:top w:val="nil"/>
              <w:left w:val="nil"/>
              <w:bottom w:val="single" w:sz="4" w:space="0" w:color="auto"/>
              <w:right w:val="single" w:sz="4" w:space="0" w:color="auto"/>
            </w:tcBorders>
            <w:shd w:val="clear" w:color="000000" w:fill="D9E1F2"/>
            <w:noWrap/>
            <w:vAlign w:val="center"/>
            <w:hideMark/>
          </w:tcPr>
          <w:p w14:paraId="2D5D35F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598ED871" w14:textId="77777777" w:rsidTr="00AD27AF">
        <w:trPr>
          <w:trHeight w:val="300"/>
        </w:trPr>
        <w:tc>
          <w:tcPr>
            <w:tcW w:w="1421" w:type="pct"/>
            <w:tcBorders>
              <w:top w:val="nil"/>
              <w:left w:val="single" w:sz="4" w:space="0" w:color="auto"/>
              <w:bottom w:val="single" w:sz="4" w:space="0" w:color="auto"/>
              <w:right w:val="single" w:sz="4" w:space="0" w:color="auto"/>
            </w:tcBorders>
            <w:shd w:val="clear" w:color="000000" w:fill="B4C6E7"/>
            <w:noWrap/>
            <w:vAlign w:val="center"/>
            <w:hideMark/>
          </w:tcPr>
          <w:p w14:paraId="6ADC91C0"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Common Performance Measures</w:t>
            </w:r>
          </w:p>
        </w:tc>
        <w:tc>
          <w:tcPr>
            <w:tcW w:w="449" w:type="pct"/>
            <w:tcBorders>
              <w:top w:val="nil"/>
              <w:left w:val="nil"/>
              <w:bottom w:val="single" w:sz="4" w:space="0" w:color="auto"/>
              <w:right w:val="single" w:sz="4" w:space="0" w:color="auto"/>
            </w:tcBorders>
            <w:shd w:val="clear" w:color="000000" w:fill="FFFFFF"/>
            <w:noWrap/>
            <w:vAlign w:val="center"/>
            <w:hideMark/>
          </w:tcPr>
          <w:p w14:paraId="2AD0586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49" w:type="pct"/>
            <w:tcBorders>
              <w:top w:val="nil"/>
              <w:left w:val="nil"/>
              <w:bottom w:val="single" w:sz="4" w:space="0" w:color="auto"/>
              <w:right w:val="single" w:sz="4" w:space="0" w:color="auto"/>
            </w:tcBorders>
            <w:shd w:val="clear" w:color="000000" w:fill="FFFFFF"/>
            <w:noWrap/>
            <w:vAlign w:val="center"/>
            <w:hideMark/>
          </w:tcPr>
          <w:p w14:paraId="15DD3A2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410" w:type="pct"/>
            <w:tcBorders>
              <w:top w:val="nil"/>
              <w:left w:val="nil"/>
              <w:bottom w:val="single" w:sz="4" w:space="0" w:color="auto"/>
              <w:right w:val="single" w:sz="4" w:space="0" w:color="auto"/>
            </w:tcBorders>
            <w:shd w:val="clear" w:color="000000" w:fill="FFFFFF"/>
            <w:noWrap/>
            <w:vAlign w:val="center"/>
            <w:hideMark/>
          </w:tcPr>
          <w:p w14:paraId="630D650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10" w:type="pct"/>
            <w:tcBorders>
              <w:top w:val="nil"/>
              <w:left w:val="nil"/>
              <w:bottom w:val="single" w:sz="4" w:space="0" w:color="auto"/>
              <w:right w:val="single" w:sz="4" w:space="0" w:color="auto"/>
            </w:tcBorders>
            <w:shd w:val="clear" w:color="000000" w:fill="FFFFFF"/>
            <w:noWrap/>
            <w:vAlign w:val="center"/>
            <w:hideMark/>
          </w:tcPr>
          <w:p w14:paraId="13E99C7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10" w:type="pct"/>
            <w:tcBorders>
              <w:top w:val="nil"/>
              <w:left w:val="nil"/>
              <w:bottom w:val="single" w:sz="4" w:space="0" w:color="auto"/>
              <w:right w:val="single" w:sz="4" w:space="0" w:color="auto"/>
            </w:tcBorders>
            <w:shd w:val="clear" w:color="000000" w:fill="FFFFFF"/>
            <w:noWrap/>
            <w:vAlign w:val="center"/>
            <w:hideMark/>
          </w:tcPr>
          <w:p w14:paraId="0424D37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484" w:type="pct"/>
            <w:tcBorders>
              <w:top w:val="nil"/>
              <w:left w:val="nil"/>
              <w:bottom w:val="single" w:sz="4" w:space="0" w:color="auto"/>
              <w:right w:val="single" w:sz="4" w:space="0" w:color="auto"/>
            </w:tcBorders>
            <w:shd w:val="clear" w:color="000000" w:fill="FFFFFF"/>
            <w:noWrap/>
            <w:vAlign w:val="center"/>
            <w:hideMark/>
          </w:tcPr>
          <w:p w14:paraId="13D1E36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84" w:type="pct"/>
            <w:tcBorders>
              <w:top w:val="nil"/>
              <w:left w:val="nil"/>
              <w:bottom w:val="single" w:sz="4" w:space="0" w:color="auto"/>
              <w:right w:val="single" w:sz="4" w:space="0" w:color="auto"/>
            </w:tcBorders>
            <w:shd w:val="clear" w:color="000000" w:fill="FFFFFF"/>
            <w:noWrap/>
            <w:vAlign w:val="center"/>
            <w:hideMark/>
          </w:tcPr>
          <w:p w14:paraId="760D0E4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84" w:type="pct"/>
            <w:tcBorders>
              <w:top w:val="nil"/>
              <w:left w:val="nil"/>
              <w:bottom w:val="single" w:sz="4" w:space="0" w:color="auto"/>
              <w:right w:val="single" w:sz="4" w:space="0" w:color="auto"/>
            </w:tcBorders>
            <w:shd w:val="clear" w:color="000000" w:fill="FFFFFF"/>
            <w:noWrap/>
            <w:vAlign w:val="center"/>
            <w:hideMark/>
          </w:tcPr>
          <w:p w14:paraId="6DEA88C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r>
      <w:tr w:rsidR="00AD27AF" w:rsidRPr="00216251" w14:paraId="132D2BC2" w14:textId="77777777" w:rsidTr="00AD27AF">
        <w:trPr>
          <w:trHeight w:val="300"/>
        </w:trPr>
        <w:tc>
          <w:tcPr>
            <w:tcW w:w="1421" w:type="pct"/>
            <w:tcBorders>
              <w:top w:val="nil"/>
              <w:left w:val="nil"/>
              <w:bottom w:val="nil"/>
              <w:right w:val="nil"/>
            </w:tcBorders>
            <w:shd w:val="clear" w:color="auto" w:fill="auto"/>
            <w:noWrap/>
            <w:vAlign w:val="bottom"/>
            <w:hideMark/>
          </w:tcPr>
          <w:p w14:paraId="58125B43"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49" w:type="pct"/>
            <w:tcBorders>
              <w:top w:val="nil"/>
              <w:left w:val="nil"/>
              <w:bottom w:val="nil"/>
              <w:right w:val="nil"/>
            </w:tcBorders>
            <w:shd w:val="clear" w:color="auto" w:fill="auto"/>
            <w:noWrap/>
            <w:vAlign w:val="center"/>
            <w:hideMark/>
          </w:tcPr>
          <w:p w14:paraId="53440EFA"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49" w:type="pct"/>
            <w:tcBorders>
              <w:top w:val="nil"/>
              <w:left w:val="nil"/>
              <w:bottom w:val="nil"/>
              <w:right w:val="nil"/>
            </w:tcBorders>
            <w:shd w:val="clear" w:color="auto" w:fill="auto"/>
            <w:noWrap/>
            <w:vAlign w:val="center"/>
            <w:hideMark/>
          </w:tcPr>
          <w:p w14:paraId="74FF6D6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0614E76E"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6AFF26B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597D7726"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84" w:type="pct"/>
            <w:tcBorders>
              <w:top w:val="nil"/>
              <w:left w:val="nil"/>
              <w:bottom w:val="nil"/>
              <w:right w:val="nil"/>
            </w:tcBorders>
            <w:shd w:val="clear" w:color="auto" w:fill="auto"/>
            <w:noWrap/>
            <w:vAlign w:val="center"/>
            <w:hideMark/>
          </w:tcPr>
          <w:p w14:paraId="3D50D50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84" w:type="pct"/>
            <w:tcBorders>
              <w:top w:val="nil"/>
              <w:left w:val="nil"/>
              <w:bottom w:val="nil"/>
              <w:right w:val="nil"/>
            </w:tcBorders>
            <w:shd w:val="clear" w:color="auto" w:fill="auto"/>
            <w:noWrap/>
            <w:vAlign w:val="center"/>
            <w:hideMark/>
          </w:tcPr>
          <w:p w14:paraId="610960C8"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84" w:type="pct"/>
            <w:tcBorders>
              <w:top w:val="nil"/>
              <w:left w:val="nil"/>
              <w:bottom w:val="nil"/>
              <w:right w:val="nil"/>
            </w:tcBorders>
            <w:shd w:val="clear" w:color="auto" w:fill="auto"/>
            <w:noWrap/>
            <w:vAlign w:val="center"/>
            <w:hideMark/>
          </w:tcPr>
          <w:p w14:paraId="3FD2C06F"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28DD35CC" w14:textId="77777777" w:rsidTr="00AD27AF">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46F46540"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Virginia Blind</w:t>
            </w:r>
          </w:p>
        </w:tc>
      </w:tr>
      <w:tr w:rsidR="00AD27AF" w:rsidRPr="00216251" w14:paraId="127FB21B" w14:textId="77777777" w:rsidTr="00AD27AF">
        <w:trPr>
          <w:trHeight w:val="1305"/>
        </w:trPr>
        <w:tc>
          <w:tcPr>
            <w:tcW w:w="1421" w:type="pct"/>
            <w:tcBorders>
              <w:top w:val="nil"/>
              <w:left w:val="single" w:sz="4" w:space="0" w:color="auto"/>
              <w:bottom w:val="single" w:sz="4" w:space="0" w:color="auto"/>
              <w:right w:val="single" w:sz="4" w:space="0" w:color="auto"/>
            </w:tcBorders>
            <w:shd w:val="clear" w:color="000000" w:fill="B4C6E7"/>
            <w:vAlign w:val="bottom"/>
            <w:hideMark/>
          </w:tcPr>
          <w:p w14:paraId="49659C04"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49" w:type="pct"/>
            <w:tcBorders>
              <w:top w:val="nil"/>
              <w:left w:val="nil"/>
              <w:bottom w:val="single" w:sz="4" w:space="0" w:color="auto"/>
              <w:right w:val="single" w:sz="4" w:space="0" w:color="auto"/>
            </w:tcBorders>
            <w:shd w:val="clear" w:color="000000" w:fill="B4C6E7"/>
            <w:vAlign w:val="bottom"/>
            <w:hideMark/>
          </w:tcPr>
          <w:p w14:paraId="5A1F152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49" w:type="pct"/>
            <w:tcBorders>
              <w:top w:val="nil"/>
              <w:left w:val="nil"/>
              <w:bottom w:val="single" w:sz="4" w:space="0" w:color="auto"/>
              <w:right w:val="single" w:sz="4" w:space="0" w:color="auto"/>
            </w:tcBorders>
            <w:shd w:val="clear" w:color="000000" w:fill="B4C6E7"/>
            <w:vAlign w:val="bottom"/>
            <w:hideMark/>
          </w:tcPr>
          <w:p w14:paraId="757C436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410" w:type="pct"/>
            <w:tcBorders>
              <w:top w:val="nil"/>
              <w:left w:val="nil"/>
              <w:bottom w:val="single" w:sz="4" w:space="0" w:color="auto"/>
              <w:right w:val="single" w:sz="4" w:space="0" w:color="auto"/>
            </w:tcBorders>
            <w:shd w:val="clear" w:color="000000" w:fill="B4C6E7"/>
            <w:vAlign w:val="bottom"/>
            <w:hideMark/>
          </w:tcPr>
          <w:p w14:paraId="3B31A686"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410" w:type="pct"/>
            <w:tcBorders>
              <w:top w:val="nil"/>
              <w:left w:val="nil"/>
              <w:bottom w:val="single" w:sz="4" w:space="0" w:color="auto"/>
              <w:right w:val="single" w:sz="4" w:space="0" w:color="auto"/>
            </w:tcBorders>
            <w:shd w:val="clear" w:color="000000" w:fill="B4C6E7"/>
            <w:vAlign w:val="bottom"/>
            <w:hideMark/>
          </w:tcPr>
          <w:p w14:paraId="7ACE24D7"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10" w:type="pct"/>
            <w:tcBorders>
              <w:top w:val="nil"/>
              <w:left w:val="nil"/>
              <w:bottom w:val="single" w:sz="4" w:space="0" w:color="auto"/>
              <w:right w:val="single" w:sz="4" w:space="0" w:color="auto"/>
            </w:tcBorders>
            <w:shd w:val="clear" w:color="000000" w:fill="B4C6E7"/>
            <w:vAlign w:val="bottom"/>
            <w:hideMark/>
          </w:tcPr>
          <w:p w14:paraId="516834DB"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84" w:type="pct"/>
            <w:tcBorders>
              <w:top w:val="nil"/>
              <w:left w:val="nil"/>
              <w:bottom w:val="single" w:sz="4" w:space="0" w:color="auto"/>
              <w:right w:val="single" w:sz="4" w:space="0" w:color="auto"/>
            </w:tcBorders>
            <w:shd w:val="clear" w:color="000000" w:fill="B4C6E7"/>
            <w:vAlign w:val="bottom"/>
            <w:hideMark/>
          </w:tcPr>
          <w:p w14:paraId="25C08D0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84" w:type="pct"/>
            <w:tcBorders>
              <w:top w:val="nil"/>
              <w:left w:val="nil"/>
              <w:bottom w:val="single" w:sz="4" w:space="0" w:color="auto"/>
              <w:right w:val="single" w:sz="4" w:space="0" w:color="auto"/>
            </w:tcBorders>
            <w:shd w:val="clear" w:color="000000" w:fill="B4C6E7"/>
            <w:vAlign w:val="bottom"/>
            <w:hideMark/>
          </w:tcPr>
          <w:p w14:paraId="66EE11D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84" w:type="pct"/>
            <w:tcBorders>
              <w:top w:val="nil"/>
              <w:left w:val="nil"/>
              <w:bottom w:val="single" w:sz="4" w:space="0" w:color="auto"/>
              <w:right w:val="single" w:sz="4" w:space="0" w:color="auto"/>
            </w:tcBorders>
            <w:shd w:val="clear" w:color="000000" w:fill="B4C6E7"/>
            <w:vAlign w:val="bottom"/>
            <w:hideMark/>
          </w:tcPr>
          <w:p w14:paraId="5630357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29CD5038" w14:textId="77777777" w:rsidTr="00AD27AF">
        <w:trPr>
          <w:trHeight w:val="300"/>
        </w:trPr>
        <w:tc>
          <w:tcPr>
            <w:tcW w:w="1421" w:type="pct"/>
            <w:tcBorders>
              <w:top w:val="nil"/>
              <w:left w:val="single" w:sz="4" w:space="0" w:color="auto"/>
              <w:bottom w:val="single" w:sz="4" w:space="0" w:color="auto"/>
              <w:right w:val="single" w:sz="4" w:space="0" w:color="auto"/>
            </w:tcBorders>
            <w:shd w:val="clear" w:color="000000" w:fill="B4C6E7"/>
            <w:noWrap/>
            <w:vAlign w:val="center"/>
            <w:hideMark/>
          </w:tcPr>
          <w:p w14:paraId="47E07F2A"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49" w:type="pct"/>
            <w:tcBorders>
              <w:top w:val="nil"/>
              <w:left w:val="nil"/>
              <w:bottom w:val="single" w:sz="4" w:space="0" w:color="auto"/>
              <w:right w:val="single" w:sz="4" w:space="0" w:color="auto"/>
            </w:tcBorders>
            <w:shd w:val="clear" w:color="000000" w:fill="FFFFFF"/>
            <w:noWrap/>
            <w:vAlign w:val="center"/>
            <w:hideMark/>
          </w:tcPr>
          <w:p w14:paraId="0A7B416F"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49" w:type="pct"/>
            <w:tcBorders>
              <w:top w:val="nil"/>
              <w:left w:val="nil"/>
              <w:bottom w:val="single" w:sz="4" w:space="0" w:color="auto"/>
              <w:right w:val="single" w:sz="4" w:space="0" w:color="auto"/>
            </w:tcBorders>
            <w:shd w:val="clear" w:color="000000" w:fill="FFFFFF"/>
            <w:noWrap/>
            <w:vAlign w:val="center"/>
            <w:hideMark/>
          </w:tcPr>
          <w:p w14:paraId="3589E44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86%</w:t>
            </w:r>
          </w:p>
        </w:tc>
        <w:tc>
          <w:tcPr>
            <w:tcW w:w="410" w:type="pct"/>
            <w:tcBorders>
              <w:top w:val="nil"/>
              <w:left w:val="nil"/>
              <w:bottom w:val="single" w:sz="4" w:space="0" w:color="auto"/>
              <w:right w:val="single" w:sz="4" w:space="0" w:color="auto"/>
            </w:tcBorders>
            <w:shd w:val="clear" w:color="000000" w:fill="FFFFFF"/>
            <w:noWrap/>
            <w:vAlign w:val="center"/>
            <w:hideMark/>
          </w:tcPr>
          <w:p w14:paraId="0606CD3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7</w:t>
            </w:r>
          </w:p>
        </w:tc>
        <w:tc>
          <w:tcPr>
            <w:tcW w:w="410" w:type="pct"/>
            <w:tcBorders>
              <w:top w:val="nil"/>
              <w:left w:val="nil"/>
              <w:bottom w:val="single" w:sz="4" w:space="0" w:color="auto"/>
              <w:right w:val="single" w:sz="4" w:space="0" w:color="auto"/>
            </w:tcBorders>
            <w:shd w:val="clear" w:color="000000" w:fill="FFFFFF"/>
            <w:noWrap/>
            <w:vAlign w:val="center"/>
            <w:hideMark/>
          </w:tcPr>
          <w:p w14:paraId="4DFC4A0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10" w:type="pct"/>
            <w:tcBorders>
              <w:top w:val="nil"/>
              <w:left w:val="nil"/>
              <w:bottom w:val="single" w:sz="4" w:space="0" w:color="auto"/>
              <w:right w:val="single" w:sz="4" w:space="0" w:color="auto"/>
            </w:tcBorders>
            <w:shd w:val="clear" w:color="000000" w:fill="FFFFFF"/>
            <w:noWrap/>
            <w:vAlign w:val="center"/>
            <w:hideMark/>
          </w:tcPr>
          <w:p w14:paraId="62B15A4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86%</w:t>
            </w:r>
          </w:p>
        </w:tc>
        <w:tc>
          <w:tcPr>
            <w:tcW w:w="484" w:type="pct"/>
            <w:tcBorders>
              <w:top w:val="nil"/>
              <w:left w:val="nil"/>
              <w:bottom w:val="single" w:sz="4" w:space="0" w:color="auto"/>
              <w:right w:val="single" w:sz="4" w:space="0" w:color="auto"/>
            </w:tcBorders>
            <w:shd w:val="clear" w:color="000000" w:fill="FFFFFF"/>
            <w:noWrap/>
            <w:vAlign w:val="center"/>
            <w:hideMark/>
          </w:tcPr>
          <w:p w14:paraId="48E0CD7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84" w:type="pct"/>
            <w:tcBorders>
              <w:top w:val="nil"/>
              <w:left w:val="nil"/>
              <w:bottom w:val="single" w:sz="4" w:space="0" w:color="auto"/>
              <w:right w:val="single" w:sz="4" w:space="0" w:color="auto"/>
            </w:tcBorders>
            <w:shd w:val="clear" w:color="000000" w:fill="FFFFFF"/>
            <w:noWrap/>
            <w:vAlign w:val="center"/>
            <w:hideMark/>
          </w:tcPr>
          <w:p w14:paraId="733794F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84" w:type="pct"/>
            <w:tcBorders>
              <w:top w:val="nil"/>
              <w:left w:val="nil"/>
              <w:bottom w:val="single" w:sz="4" w:space="0" w:color="auto"/>
              <w:right w:val="single" w:sz="4" w:space="0" w:color="auto"/>
            </w:tcBorders>
            <w:shd w:val="clear" w:color="000000" w:fill="FFFFFF"/>
            <w:noWrap/>
            <w:vAlign w:val="center"/>
            <w:hideMark/>
          </w:tcPr>
          <w:p w14:paraId="3659B04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r>
      <w:tr w:rsidR="00AD27AF" w:rsidRPr="00216251" w14:paraId="05674D0A" w14:textId="77777777" w:rsidTr="00AD27AF">
        <w:trPr>
          <w:trHeight w:val="300"/>
        </w:trPr>
        <w:tc>
          <w:tcPr>
            <w:tcW w:w="1421" w:type="pct"/>
            <w:tcBorders>
              <w:top w:val="nil"/>
              <w:left w:val="single" w:sz="4" w:space="0" w:color="auto"/>
              <w:bottom w:val="single" w:sz="4" w:space="0" w:color="auto"/>
              <w:right w:val="single" w:sz="4" w:space="0" w:color="auto"/>
            </w:tcBorders>
            <w:shd w:val="clear" w:color="000000" w:fill="B4C6E7"/>
            <w:noWrap/>
            <w:vAlign w:val="center"/>
            <w:hideMark/>
          </w:tcPr>
          <w:p w14:paraId="448B2A71"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Peer Mentoring</w:t>
            </w:r>
          </w:p>
        </w:tc>
        <w:tc>
          <w:tcPr>
            <w:tcW w:w="449" w:type="pct"/>
            <w:tcBorders>
              <w:top w:val="nil"/>
              <w:left w:val="nil"/>
              <w:bottom w:val="single" w:sz="4" w:space="0" w:color="auto"/>
              <w:right w:val="single" w:sz="4" w:space="0" w:color="auto"/>
            </w:tcBorders>
            <w:shd w:val="clear" w:color="000000" w:fill="D9E1F2"/>
            <w:noWrap/>
            <w:vAlign w:val="center"/>
            <w:hideMark/>
          </w:tcPr>
          <w:p w14:paraId="29E8107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49" w:type="pct"/>
            <w:tcBorders>
              <w:top w:val="nil"/>
              <w:left w:val="nil"/>
              <w:bottom w:val="single" w:sz="4" w:space="0" w:color="auto"/>
              <w:right w:val="single" w:sz="4" w:space="0" w:color="auto"/>
            </w:tcBorders>
            <w:shd w:val="clear" w:color="000000" w:fill="D9E1F2"/>
            <w:noWrap/>
            <w:vAlign w:val="center"/>
            <w:hideMark/>
          </w:tcPr>
          <w:p w14:paraId="46CB54E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10" w:type="pct"/>
            <w:tcBorders>
              <w:top w:val="nil"/>
              <w:left w:val="nil"/>
              <w:bottom w:val="single" w:sz="4" w:space="0" w:color="auto"/>
              <w:right w:val="single" w:sz="4" w:space="0" w:color="auto"/>
            </w:tcBorders>
            <w:shd w:val="clear" w:color="000000" w:fill="D9E1F2"/>
            <w:noWrap/>
            <w:vAlign w:val="center"/>
            <w:hideMark/>
          </w:tcPr>
          <w:p w14:paraId="018609C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10" w:type="pct"/>
            <w:tcBorders>
              <w:top w:val="nil"/>
              <w:left w:val="nil"/>
              <w:bottom w:val="single" w:sz="4" w:space="0" w:color="auto"/>
              <w:right w:val="single" w:sz="4" w:space="0" w:color="auto"/>
            </w:tcBorders>
            <w:shd w:val="clear" w:color="000000" w:fill="D9E1F2"/>
            <w:noWrap/>
            <w:vAlign w:val="center"/>
            <w:hideMark/>
          </w:tcPr>
          <w:p w14:paraId="0E32C11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10" w:type="pct"/>
            <w:tcBorders>
              <w:top w:val="nil"/>
              <w:left w:val="nil"/>
              <w:bottom w:val="single" w:sz="4" w:space="0" w:color="auto"/>
              <w:right w:val="single" w:sz="4" w:space="0" w:color="auto"/>
            </w:tcBorders>
            <w:shd w:val="clear" w:color="000000" w:fill="D9E1F2"/>
            <w:noWrap/>
            <w:vAlign w:val="center"/>
            <w:hideMark/>
          </w:tcPr>
          <w:p w14:paraId="4C25302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80%</w:t>
            </w:r>
          </w:p>
        </w:tc>
        <w:tc>
          <w:tcPr>
            <w:tcW w:w="484" w:type="pct"/>
            <w:tcBorders>
              <w:top w:val="nil"/>
              <w:left w:val="nil"/>
              <w:bottom w:val="single" w:sz="4" w:space="0" w:color="auto"/>
              <w:right w:val="single" w:sz="4" w:space="0" w:color="auto"/>
            </w:tcBorders>
            <w:shd w:val="clear" w:color="000000" w:fill="D9E1F2"/>
            <w:noWrap/>
            <w:vAlign w:val="center"/>
            <w:hideMark/>
          </w:tcPr>
          <w:p w14:paraId="49B4DCA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84" w:type="pct"/>
            <w:tcBorders>
              <w:top w:val="nil"/>
              <w:left w:val="nil"/>
              <w:bottom w:val="single" w:sz="4" w:space="0" w:color="auto"/>
              <w:right w:val="single" w:sz="4" w:space="0" w:color="auto"/>
            </w:tcBorders>
            <w:shd w:val="clear" w:color="000000" w:fill="D9E1F2"/>
            <w:noWrap/>
            <w:vAlign w:val="center"/>
            <w:hideMark/>
          </w:tcPr>
          <w:p w14:paraId="3A82200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84" w:type="pct"/>
            <w:tcBorders>
              <w:top w:val="nil"/>
              <w:left w:val="nil"/>
              <w:bottom w:val="single" w:sz="4" w:space="0" w:color="auto"/>
              <w:right w:val="single" w:sz="4" w:space="0" w:color="auto"/>
            </w:tcBorders>
            <w:shd w:val="clear" w:color="000000" w:fill="D9E1F2"/>
            <w:noWrap/>
            <w:vAlign w:val="center"/>
            <w:hideMark/>
          </w:tcPr>
          <w:p w14:paraId="2D1478B4"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5C1EE9B7" w14:textId="77777777" w:rsidTr="00AD27AF">
        <w:trPr>
          <w:trHeight w:val="300"/>
        </w:trPr>
        <w:tc>
          <w:tcPr>
            <w:tcW w:w="1421" w:type="pct"/>
            <w:tcBorders>
              <w:top w:val="nil"/>
              <w:left w:val="nil"/>
              <w:bottom w:val="nil"/>
              <w:right w:val="nil"/>
            </w:tcBorders>
            <w:shd w:val="clear" w:color="auto" w:fill="auto"/>
            <w:noWrap/>
            <w:vAlign w:val="bottom"/>
            <w:hideMark/>
          </w:tcPr>
          <w:p w14:paraId="67031C39"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49" w:type="pct"/>
            <w:tcBorders>
              <w:top w:val="nil"/>
              <w:left w:val="nil"/>
              <w:bottom w:val="nil"/>
              <w:right w:val="nil"/>
            </w:tcBorders>
            <w:shd w:val="clear" w:color="auto" w:fill="auto"/>
            <w:noWrap/>
            <w:vAlign w:val="center"/>
            <w:hideMark/>
          </w:tcPr>
          <w:p w14:paraId="7D5E9B42"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49" w:type="pct"/>
            <w:tcBorders>
              <w:top w:val="nil"/>
              <w:left w:val="nil"/>
              <w:bottom w:val="nil"/>
              <w:right w:val="nil"/>
            </w:tcBorders>
            <w:shd w:val="clear" w:color="auto" w:fill="auto"/>
            <w:noWrap/>
            <w:vAlign w:val="center"/>
            <w:hideMark/>
          </w:tcPr>
          <w:p w14:paraId="31772A0A"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43948D3C"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34FB1B34"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204F5CA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84" w:type="pct"/>
            <w:tcBorders>
              <w:top w:val="nil"/>
              <w:left w:val="nil"/>
              <w:bottom w:val="nil"/>
              <w:right w:val="nil"/>
            </w:tcBorders>
            <w:shd w:val="clear" w:color="auto" w:fill="auto"/>
            <w:noWrap/>
            <w:vAlign w:val="center"/>
            <w:hideMark/>
          </w:tcPr>
          <w:p w14:paraId="1FA24671"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84" w:type="pct"/>
            <w:tcBorders>
              <w:top w:val="nil"/>
              <w:left w:val="nil"/>
              <w:bottom w:val="nil"/>
              <w:right w:val="nil"/>
            </w:tcBorders>
            <w:shd w:val="clear" w:color="auto" w:fill="auto"/>
            <w:noWrap/>
            <w:vAlign w:val="center"/>
            <w:hideMark/>
          </w:tcPr>
          <w:p w14:paraId="2F751360"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84" w:type="pct"/>
            <w:tcBorders>
              <w:top w:val="nil"/>
              <w:left w:val="nil"/>
              <w:bottom w:val="nil"/>
              <w:right w:val="nil"/>
            </w:tcBorders>
            <w:shd w:val="clear" w:color="auto" w:fill="auto"/>
            <w:noWrap/>
            <w:vAlign w:val="center"/>
            <w:hideMark/>
          </w:tcPr>
          <w:p w14:paraId="397517C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bl>
    <w:p w14:paraId="7D1C05CE" w14:textId="77777777" w:rsidR="00AD27AF" w:rsidRDefault="00AD27AF">
      <w:r>
        <w:br w:type="page"/>
      </w:r>
    </w:p>
    <w:tbl>
      <w:tblPr>
        <w:tblW w:w="4995" w:type="pct"/>
        <w:tblInd w:w="5" w:type="dxa"/>
        <w:tblLook w:val="04A0" w:firstRow="1" w:lastRow="0" w:firstColumn="1" w:lastColumn="0" w:noHBand="0" w:noVBand="1"/>
      </w:tblPr>
      <w:tblGrid>
        <w:gridCol w:w="2028"/>
        <w:gridCol w:w="920"/>
        <w:gridCol w:w="920"/>
        <w:gridCol w:w="836"/>
        <w:gridCol w:w="836"/>
        <w:gridCol w:w="836"/>
        <w:gridCol w:w="993"/>
        <w:gridCol w:w="993"/>
        <w:gridCol w:w="993"/>
      </w:tblGrid>
      <w:tr w:rsidR="00AD27AF" w:rsidRPr="00216251" w14:paraId="70CD15EF" w14:textId="77777777" w:rsidTr="00AD27AF">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28F8EDF2" w14:textId="1EE61E10"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lastRenderedPageBreak/>
              <w:t>Virginia General</w:t>
            </w:r>
          </w:p>
        </w:tc>
      </w:tr>
      <w:tr w:rsidR="00AD27AF" w:rsidRPr="00216251" w14:paraId="5385AA4E" w14:textId="77777777" w:rsidTr="00AD27AF">
        <w:trPr>
          <w:trHeight w:val="1305"/>
        </w:trPr>
        <w:tc>
          <w:tcPr>
            <w:tcW w:w="1421" w:type="pct"/>
            <w:tcBorders>
              <w:top w:val="nil"/>
              <w:left w:val="single" w:sz="4" w:space="0" w:color="auto"/>
              <w:bottom w:val="single" w:sz="4" w:space="0" w:color="auto"/>
              <w:right w:val="single" w:sz="4" w:space="0" w:color="auto"/>
            </w:tcBorders>
            <w:shd w:val="clear" w:color="000000" w:fill="B4C6E7"/>
            <w:vAlign w:val="bottom"/>
            <w:hideMark/>
          </w:tcPr>
          <w:p w14:paraId="06CF546F"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49" w:type="pct"/>
            <w:tcBorders>
              <w:top w:val="nil"/>
              <w:left w:val="nil"/>
              <w:bottom w:val="single" w:sz="4" w:space="0" w:color="auto"/>
              <w:right w:val="single" w:sz="4" w:space="0" w:color="auto"/>
            </w:tcBorders>
            <w:shd w:val="clear" w:color="000000" w:fill="B4C6E7"/>
            <w:vAlign w:val="bottom"/>
            <w:hideMark/>
          </w:tcPr>
          <w:p w14:paraId="5AE6DB4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49" w:type="pct"/>
            <w:tcBorders>
              <w:top w:val="nil"/>
              <w:left w:val="nil"/>
              <w:bottom w:val="single" w:sz="4" w:space="0" w:color="auto"/>
              <w:right w:val="single" w:sz="4" w:space="0" w:color="auto"/>
            </w:tcBorders>
            <w:shd w:val="clear" w:color="000000" w:fill="B4C6E7"/>
            <w:vAlign w:val="bottom"/>
            <w:hideMark/>
          </w:tcPr>
          <w:p w14:paraId="6577DC8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410" w:type="pct"/>
            <w:tcBorders>
              <w:top w:val="nil"/>
              <w:left w:val="nil"/>
              <w:bottom w:val="single" w:sz="4" w:space="0" w:color="auto"/>
              <w:right w:val="single" w:sz="4" w:space="0" w:color="auto"/>
            </w:tcBorders>
            <w:shd w:val="clear" w:color="000000" w:fill="B4C6E7"/>
            <w:vAlign w:val="bottom"/>
            <w:hideMark/>
          </w:tcPr>
          <w:p w14:paraId="42552DA5"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410" w:type="pct"/>
            <w:tcBorders>
              <w:top w:val="nil"/>
              <w:left w:val="nil"/>
              <w:bottom w:val="single" w:sz="4" w:space="0" w:color="auto"/>
              <w:right w:val="single" w:sz="4" w:space="0" w:color="auto"/>
            </w:tcBorders>
            <w:shd w:val="clear" w:color="000000" w:fill="B4C6E7"/>
            <w:vAlign w:val="bottom"/>
            <w:hideMark/>
          </w:tcPr>
          <w:p w14:paraId="58C4E8A8"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10" w:type="pct"/>
            <w:tcBorders>
              <w:top w:val="nil"/>
              <w:left w:val="nil"/>
              <w:bottom w:val="single" w:sz="4" w:space="0" w:color="auto"/>
              <w:right w:val="single" w:sz="4" w:space="0" w:color="auto"/>
            </w:tcBorders>
            <w:shd w:val="clear" w:color="000000" w:fill="B4C6E7"/>
            <w:vAlign w:val="bottom"/>
            <w:hideMark/>
          </w:tcPr>
          <w:p w14:paraId="151E6D72"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84" w:type="pct"/>
            <w:tcBorders>
              <w:top w:val="nil"/>
              <w:left w:val="nil"/>
              <w:bottom w:val="single" w:sz="4" w:space="0" w:color="auto"/>
              <w:right w:val="single" w:sz="4" w:space="0" w:color="auto"/>
            </w:tcBorders>
            <w:shd w:val="clear" w:color="000000" w:fill="B4C6E7"/>
            <w:vAlign w:val="bottom"/>
            <w:hideMark/>
          </w:tcPr>
          <w:p w14:paraId="4B595DEB"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84" w:type="pct"/>
            <w:tcBorders>
              <w:top w:val="nil"/>
              <w:left w:val="nil"/>
              <w:bottom w:val="single" w:sz="4" w:space="0" w:color="auto"/>
              <w:right w:val="single" w:sz="4" w:space="0" w:color="auto"/>
            </w:tcBorders>
            <w:shd w:val="clear" w:color="000000" w:fill="B4C6E7"/>
            <w:vAlign w:val="bottom"/>
            <w:hideMark/>
          </w:tcPr>
          <w:p w14:paraId="3E74E05B"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84" w:type="pct"/>
            <w:tcBorders>
              <w:top w:val="nil"/>
              <w:left w:val="nil"/>
              <w:bottom w:val="single" w:sz="4" w:space="0" w:color="auto"/>
              <w:right w:val="single" w:sz="4" w:space="0" w:color="auto"/>
            </w:tcBorders>
            <w:shd w:val="clear" w:color="000000" w:fill="B4C6E7"/>
            <w:vAlign w:val="bottom"/>
            <w:hideMark/>
          </w:tcPr>
          <w:p w14:paraId="24CFD0B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5F67642C" w14:textId="77777777" w:rsidTr="00AD27AF">
        <w:trPr>
          <w:trHeight w:val="300"/>
        </w:trPr>
        <w:tc>
          <w:tcPr>
            <w:tcW w:w="1421" w:type="pct"/>
            <w:tcBorders>
              <w:top w:val="nil"/>
              <w:left w:val="single" w:sz="4" w:space="0" w:color="auto"/>
              <w:bottom w:val="single" w:sz="4" w:space="0" w:color="auto"/>
              <w:right w:val="single" w:sz="4" w:space="0" w:color="auto"/>
            </w:tcBorders>
            <w:shd w:val="clear" w:color="000000" w:fill="B4C6E7"/>
            <w:noWrap/>
            <w:vAlign w:val="center"/>
            <w:hideMark/>
          </w:tcPr>
          <w:p w14:paraId="49E35F48"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Pre-ETS</w:t>
            </w:r>
          </w:p>
        </w:tc>
        <w:tc>
          <w:tcPr>
            <w:tcW w:w="449" w:type="pct"/>
            <w:tcBorders>
              <w:top w:val="nil"/>
              <w:left w:val="nil"/>
              <w:bottom w:val="single" w:sz="4" w:space="0" w:color="auto"/>
              <w:right w:val="single" w:sz="4" w:space="0" w:color="auto"/>
            </w:tcBorders>
            <w:shd w:val="clear" w:color="000000" w:fill="FFFFFF"/>
            <w:noWrap/>
            <w:vAlign w:val="center"/>
            <w:hideMark/>
          </w:tcPr>
          <w:p w14:paraId="32CB2B0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49" w:type="pct"/>
            <w:tcBorders>
              <w:top w:val="nil"/>
              <w:left w:val="nil"/>
              <w:bottom w:val="single" w:sz="4" w:space="0" w:color="auto"/>
              <w:right w:val="single" w:sz="4" w:space="0" w:color="auto"/>
            </w:tcBorders>
            <w:shd w:val="clear" w:color="000000" w:fill="FFFFFF"/>
            <w:noWrap/>
            <w:vAlign w:val="center"/>
            <w:hideMark/>
          </w:tcPr>
          <w:p w14:paraId="373F0F5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69%</w:t>
            </w:r>
          </w:p>
        </w:tc>
        <w:tc>
          <w:tcPr>
            <w:tcW w:w="410" w:type="pct"/>
            <w:tcBorders>
              <w:top w:val="nil"/>
              <w:left w:val="nil"/>
              <w:bottom w:val="single" w:sz="4" w:space="0" w:color="auto"/>
              <w:right w:val="single" w:sz="4" w:space="0" w:color="auto"/>
            </w:tcBorders>
            <w:shd w:val="clear" w:color="000000" w:fill="FFFFFF"/>
            <w:noWrap/>
            <w:vAlign w:val="center"/>
            <w:hideMark/>
          </w:tcPr>
          <w:p w14:paraId="093BC43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4</w:t>
            </w:r>
          </w:p>
        </w:tc>
        <w:tc>
          <w:tcPr>
            <w:tcW w:w="410" w:type="pct"/>
            <w:tcBorders>
              <w:top w:val="nil"/>
              <w:left w:val="nil"/>
              <w:bottom w:val="single" w:sz="4" w:space="0" w:color="auto"/>
              <w:right w:val="single" w:sz="4" w:space="0" w:color="auto"/>
            </w:tcBorders>
            <w:shd w:val="clear" w:color="000000" w:fill="FFFFFF"/>
            <w:noWrap/>
            <w:vAlign w:val="center"/>
            <w:hideMark/>
          </w:tcPr>
          <w:p w14:paraId="54E2218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2</w:t>
            </w:r>
          </w:p>
        </w:tc>
        <w:tc>
          <w:tcPr>
            <w:tcW w:w="410" w:type="pct"/>
            <w:tcBorders>
              <w:top w:val="nil"/>
              <w:left w:val="nil"/>
              <w:bottom w:val="single" w:sz="4" w:space="0" w:color="auto"/>
              <w:right w:val="single" w:sz="4" w:space="0" w:color="auto"/>
            </w:tcBorders>
            <w:shd w:val="clear" w:color="000000" w:fill="FFFFFF"/>
            <w:noWrap/>
            <w:vAlign w:val="center"/>
            <w:hideMark/>
          </w:tcPr>
          <w:p w14:paraId="022D2BD0"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484" w:type="pct"/>
            <w:tcBorders>
              <w:top w:val="nil"/>
              <w:left w:val="nil"/>
              <w:bottom w:val="single" w:sz="4" w:space="0" w:color="auto"/>
              <w:right w:val="single" w:sz="4" w:space="0" w:color="auto"/>
            </w:tcBorders>
            <w:shd w:val="clear" w:color="000000" w:fill="FFFFFF"/>
            <w:noWrap/>
            <w:vAlign w:val="center"/>
            <w:hideMark/>
          </w:tcPr>
          <w:p w14:paraId="19F6700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84" w:type="pct"/>
            <w:tcBorders>
              <w:top w:val="nil"/>
              <w:left w:val="nil"/>
              <w:bottom w:val="single" w:sz="4" w:space="0" w:color="auto"/>
              <w:right w:val="single" w:sz="4" w:space="0" w:color="auto"/>
            </w:tcBorders>
            <w:shd w:val="clear" w:color="000000" w:fill="FFFFFF"/>
            <w:noWrap/>
            <w:vAlign w:val="center"/>
            <w:hideMark/>
          </w:tcPr>
          <w:p w14:paraId="1E348F7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84" w:type="pct"/>
            <w:tcBorders>
              <w:top w:val="nil"/>
              <w:left w:val="nil"/>
              <w:bottom w:val="single" w:sz="4" w:space="0" w:color="auto"/>
              <w:right w:val="single" w:sz="4" w:space="0" w:color="auto"/>
            </w:tcBorders>
            <w:shd w:val="clear" w:color="000000" w:fill="FFFFFF"/>
            <w:noWrap/>
            <w:vAlign w:val="center"/>
            <w:hideMark/>
          </w:tcPr>
          <w:p w14:paraId="6171A22C"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2972AC74" w14:textId="77777777" w:rsidTr="00AD27AF">
        <w:trPr>
          <w:trHeight w:val="300"/>
        </w:trPr>
        <w:tc>
          <w:tcPr>
            <w:tcW w:w="1421" w:type="pct"/>
            <w:tcBorders>
              <w:top w:val="nil"/>
              <w:left w:val="single" w:sz="4" w:space="0" w:color="auto"/>
              <w:bottom w:val="single" w:sz="4" w:space="0" w:color="auto"/>
              <w:right w:val="single" w:sz="4" w:space="0" w:color="auto"/>
            </w:tcBorders>
            <w:shd w:val="clear" w:color="000000" w:fill="B4C6E7"/>
            <w:noWrap/>
            <w:vAlign w:val="center"/>
            <w:hideMark/>
          </w:tcPr>
          <w:p w14:paraId="1C7AE54C"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Peer Mentoring</w:t>
            </w:r>
          </w:p>
        </w:tc>
        <w:tc>
          <w:tcPr>
            <w:tcW w:w="449" w:type="pct"/>
            <w:tcBorders>
              <w:top w:val="nil"/>
              <w:left w:val="nil"/>
              <w:bottom w:val="single" w:sz="4" w:space="0" w:color="auto"/>
              <w:right w:val="single" w:sz="4" w:space="0" w:color="auto"/>
            </w:tcBorders>
            <w:shd w:val="clear" w:color="000000" w:fill="D9E1F2"/>
            <w:noWrap/>
            <w:vAlign w:val="center"/>
            <w:hideMark/>
          </w:tcPr>
          <w:p w14:paraId="31BB4B02"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49" w:type="pct"/>
            <w:tcBorders>
              <w:top w:val="nil"/>
              <w:left w:val="nil"/>
              <w:bottom w:val="single" w:sz="4" w:space="0" w:color="auto"/>
              <w:right w:val="single" w:sz="4" w:space="0" w:color="auto"/>
            </w:tcBorders>
            <w:shd w:val="clear" w:color="000000" w:fill="D9E1F2"/>
            <w:noWrap/>
            <w:vAlign w:val="center"/>
            <w:hideMark/>
          </w:tcPr>
          <w:p w14:paraId="7939609E"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10" w:type="pct"/>
            <w:tcBorders>
              <w:top w:val="nil"/>
              <w:left w:val="nil"/>
              <w:bottom w:val="single" w:sz="4" w:space="0" w:color="auto"/>
              <w:right w:val="single" w:sz="4" w:space="0" w:color="auto"/>
            </w:tcBorders>
            <w:shd w:val="clear" w:color="000000" w:fill="D9E1F2"/>
            <w:noWrap/>
            <w:vAlign w:val="center"/>
            <w:hideMark/>
          </w:tcPr>
          <w:p w14:paraId="293C85E3"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10" w:type="pct"/>
            <w:tcBorders>
              <w:top w:val="nil"/>
              <w:left w:val="nil"/>
              <w:bottom w:val="single" w:sz="4" w:space="0" w:color="auto"/>
              <w:right w:val="single" w:sz="4" w:space="0" w:color="auto"/>
            </w:tcBorders>
            <w:shd w:val="clear" w:color="000000" w:fill="D9E1F2"/>
            <w:noWrap/>
            <w:vAlign w:val="center"/>
            <w:hideMark/>
          </w:tcPr>
          <w:p w14:paraId="11E90BF1"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w:t>
            </w:r>
          </w:p>
        </w:tc>
        <w:tc>
          <w:tcPr>
            <w:tcW w:w="410" w:type="pct"/>
            <w:tcBorders>
              <w:top w:val="nil"/>
              <w:left w:val="nil"/>
              <w:bottom w:val="single" w:sz="4" w:space="0" w:color="auto"/>
              <w:right w:val="single" w:sz="4" w:space="0" w:color="auto"/>
            </w:tcBorders>
            <w:shd w:val="clear" w:color="000000" w:fill="D9E1F2"/>
            <w:noWrap/>
            <w:vAlign w:val="center"/>
            <w:hideMark/>
          </w:tcPr>
          <w:p w14:paraId="347BD20D"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100%</w:t>
            </w:r>
          </w:p>
        </w:tc>
        <w:tc>
          <w:tcPr>
            <w:tcW w:w="484" w:type="pct"/>
            <w:tcBorders>
              <w:top w:val="nil"/>
              <w:left w:val="nil"/>
              <w:bottom w:val="single" w:sz="4" w:space="0" w:color="auto"/>
              <w:right w:val="single" w:sz="4" w:space="0" w:color="auto"/>
            </w:tcBorders>
            <w:shd w:val="clear" w:color="000000" w:fill="D9E1F2"/>
            <w:noWrap/>
            <w:vAlign w:val="center"/>
            <w:hideMark/>
          </w:tcPr>
          <w:p w14:paraId="0D360AB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84" w:type="pct"/>
            <w:tcBorders>
              <w:top w:val="nil"/>
              <w:left w:val="nil"/>
              <w:bottom w:val="single" w:sz="4" w:space="0" w:color="auto"/>
              <w:right w:val="single" w:sz="4" w:space="0" w:color="auto"/>
            </w:tcBorders>
            <w:shd w:val="clear" w:color="000000" w:fill="D9E1F2"/>
            <w:noWrap/>
            <w:vAlign w:val="center"/>
            <w:hideMark/>
          </w:tcPr>
          <w:p w14:paraId="6D46386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84" w:type="pct"/>
            <w:tcBorders>
              <w:top w:val="nil"/>
              <w:left w:val="nil"/>
              <w:bottom w:val="single" w:sz="4" w:space="0" w:color="auto"/>
              <w:right w:val="single" w:sz="4" w:space="0" w:color="auto"/>
            </w:tcBorders>
            <w:shd w:val="clear" w:color="000000" w:fill="D9E1F2"/>
            <w:noWrap/>
            <w:vAlign w:val="center"/>
            <w:hideMark/>
          </w:tcPr>
          <w:p w14:paraId="39EF3936"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r w:rsidR="00AD27AF" w:rsidRPr="00216251" w14:paraId="3194B339" w14:textId="77777777" w:rsidTr="00AD27AF">
        <w:trPr>
          <w:trHeight w:val="300"/>
        </w:trPr>
        <w:tc>
          <w:tcPr>
            <w:tcW w:w="1421" w:type="pct"/>
            <w:tcBorders>
              <w:top w:val="nil"/>
              <w:left w:val="nil"/>
              <w:bottom w:val="nil"/>
              <w:right w:val="nil"/>
            </w:tcBorders>
            <w:shd w:val="clear" w:color="auto" w:fill="auto"/>
            <w:noWrap/>
            <w:vAlign w:val="bottom"/>
            <w:hideMark/>
          </w:tcPr>
          <w:p w14:paraId="2F4E9DD5" w14:textId="77777777" w:rsidR="00AD27AF" w:rsidRPr="00216251" w:rsidRDefault="00AD27AF" w:rsidP="00AD27AF">
            <w:pPr>
              <w:spacing w:after="0" w:line="240" w:lineRule="auto"/>
              <w:ind w:firstLine="0"/>
              <w:jc w:val="center"/>
              <w:rPr>
                <w:rFonts w:ascii="Calibri" w:eastAsia="Times New Roman" w:hAnsi="Calibri" w:cs="Calibri"/>
                <w:color w:val="000000"/>
              </w:rPr>
            </w:pPr>
          </w:p>
        </w:tc>
        <w:tc>
          <w:tcPr>
            <w:tcW w:w="449" w:type="pct"/>
            <w:tcBorders>
              <w:top w:val="nil"/>
              <w:left w:val="nil"/>
              <w:bottom w:val="nil"/>
              <w:right w:val="nil"/>
            </w:tcBorders>
            <w:shd w:val="clear" w:color="auto" w:fill="auto"/>
            <w:noWrap/>
            <w:vAlign w:val="center"/>
            <w:hideMark/>
          </w:tcPr>
          <w:p w14:paraId="7609B6FD" w14:textId="77777777" w:rsidR="00AD27AF" w:rsidRPr="00216251" w:rsidRDefault="00AD27AF" w:rsidP="00AD27AF">
            <w:pPr>
              <w:spacing w:after="0" w:line="240" w:lineRule="auto"/>
              <w:ind w:firstLine="0"/>
              <w:rPr>
                <w:rFonts w:ascii="Times New Roman" w:eastAsia="Times New Roman" w:hAnsi="Times New Roman" w:cs="Times New Roman"/>
                <w:sz w:val="20"/>
                <w:szCs w:val="20"/>
              </w:rPr>
            </w:pPr>
          </w:p>
        </w:tc>
        <w:tc>
          <w:tcPr>
            <w:tcW w:w="449" w:type="pct"/>
            <w:tcBorders>
              <w:top w:val="nil"/>
              <w:left w:val="nil"/>
              <w:bottom w:val="nil"/>
              <w:right w:val="nil"/>
            </w:tcBorders>
            <w:shd w:val="clear" w:color="auto" w:fill="auto"/>
            <w:noWrap/>
            <w:vAlign w:val="center"/>
            <w:hideMark/>
          </w:tcPr>
          <w:p w14:paraId="6DBDF41B"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2B4A94B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6738E3E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0C8C45E7"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84" w:type="pct"/>
            <w:tcBorders>
              <w:top w:val="nil"/>
              <w:left w:val="nil"/>
              <w:bottom w:val="nil"/>
              <w:right w:val="nil"/>
            </w:tcBorders>
            <w:shd w:val="clear" w:color="auto" w:fill="auto"/>
            <w:noWrap/>
            <w:vAlign w:val="center"/>
            <w:hideMark/>
          </w:tcPr>
          <w:p w14:paraId="7C6263BD"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84" w:type="pct"/>
            <w:tcBorders>
              <w:top w:val="nil"/>
              <w:left w:val="nil"/>
              <w:bottom w:val="nil"/>
              <w:right w:val="nil"/>
            </w:tcBorders>
            <w:shd w:val="clear" w:color="auto" w:fill="auto"/>
            <w:noWrap/>
            <w:vAlign w:val="center"/>
            <w:hideMark/>
          </w:tcPr>
          <w:p w14:paraId="65994C09"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c>
          <w:tcPr>
            <w:tcW w:w="484" w:type="pct"/>
            <w:tcBorders>
              <w:top w:val="nil"/>
              <w:left w:val="nil"/>
              <w:bottom w:val="nil"/>
              <w:right w:val="nil"/>
            </w:tcBorders>
            <w:shd w:val="clear" w:color="auto" w:fill="auto"/>
            <w:noWrap/>
            <w:vAlign w:val="center"/>
            <w:hideMark/>
          </w:tcPr>
          <w:p w14:paraId="4506D135" w14:textId="77777777" w:rsidR="00AD27AF" w:rsidRPr="00216251" w:rsidRDefault="00AD27AF" w:rsidP="00AD27AF">
            <w:pPr>
              <w:spacing w:after="0" w:line="240" w:lineRule="auto"/>
              <w:ind w:firstLine="0"/>
              <w:jc w:val="center"/>
              <w:rPr>
                <w:rFonts w:ascii="Times New Roman" w:eastAsia="Times New Roman" w:hAnsi="Times New Roman" w:cs="Times New Roman"/>
                <w:sz w:val="20"/>
                <w:szCs w:val="20"/>
              </w:rPr>
            </w:pPr>
          </w:p>
        </w:tc>
      </w:tr>
      <w:tr w:rsidR="00AD27AF" w:rsidRPr="00216251" w14:paraId="6189ECD3" w14:textId="77777777" w:rsidTr="00AD27AF">
        <w:trPr>
          <w:trHeight w:val="46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30AC6ACC" w14:textId="77777777" w:rsidR="00AD27AF" w:rsidRPr="00216251" w:rsidRDefault="00AD27AF" w:rsidP="00AD27AF">
            <w:pPr>
              <w:spacing w:after="0" w:line="240" w:lineRule="auto"/>
              <w:ind w:firstLine="0"/>
              <w:jc w:val="center"/>
              <w:rPr>
                <w:rFonts w:ascii="Calibri" w:eastAsia="Times New Roman" w:hAnsi="Calibri" w:cs="Calibri"/>
                <w:b/>
                <w:bCs/>
                <w:color w:val="000000"/>
                <w:sz w:val="36"/>
                <w:szCs w:val="36"/>
              </w:rPr>
            </w:pPr>
            <w:r w:rsidRPr="00216251">
              <w:rPr>
                <w:rFonts w:ascii="Calibri" w:eastAsia="Times New Roman" w:hAnsi="Calibri" w:cs="Calibri"/>
                <w:b/>
                <w:bCs/>
                <w:color w:val="000000"/>
                <w:sz w:val="36"/>
                <w:szCs w:val="36"/>
              </w:rPr>
              <w:t>Washington General</w:t>
            </w:r>
          </w:p>
        </w:tc>
      </w:tr>
      <w:tr w:rsidR="00AD27AF" w:rsidRPr="00216251" w14:paraId="163BC4D5" w14:textId="77777777" w:rsidTr="00AD27AF">
        <w:trPr>
          <w:trHeight w:val="1305"/>
        </w:trPr>
        <w:tc>
          <w:tcPr>
            <w:tcW w:w="1421" w:type="pct"/>
            <w:tcBorders>
              <w:top w:val="nil"/>
              <w:left w:val="single" w:sz="4" w:space="0" w:color="auto"/>
              <w:bottom w:val="single" w:sz="4" w:space="0" w:color="auto"/>
              <w:right w:val="single" w:sz="4" w:space="0" w:color="auto"/>
            </w:tcBorders>
            <w:shd w:val="clear" w:color="000000" w:fill="B4C6E7"/>
            <w:vAlign w:val="bottom"/>
            <w:hideMark/>
          </w:tcPr>
          <w:p w14:paraId="034F36E5" w14:textId="77777777" w:rsidR="00AD27AF" w:rsidRPr="00216251" w:rsidRDefault="00AD27AF" w:rsidP="00AD27AF">
            <w:pPr>
              <w:spacing w:after="0" w:line="240" w:lineRule="auto"/>
              <w:ind w:firstLine="0"/>
              <w:jc w:val="right"/>
              <w:rPr>
                <w:rFonts w:ascii="Calibri" w:eastAsia="Times New Roman" w:hAnsi="Calibri" w:cs="Calibri"/>
                <w:b/>
                <w:bCs/>
                <w:color w:val="000000"/>
                <w:szCs w:val="28"/>
              </w:rPr>
            </w:pPr>
            <w:r w:rsidRPr="00216251">
              <w:rPr>
                <w:rFonts w:ascii="Calibri" w:eastAsia="Times New Roman" w:hAnsi="Calibri" w:cs="Calibri"/>
                <w:b/>
                <w:bCs/>
                <w:color w:val="000000"/>
                <w:szCs w:val="28"/>
              </w:rPr>
              <w:t>Area</w:t>
            </w:r>
          </w:p>
        </w:tc>
        <w:tc>
          <w:tcPr>
            <w:tcW w:w="449" w:type="pct"/>
            <w:tcBorders>
              <w:top w:val="nil"/>
              <w:left w:val="nil"/>
              <w:bottom w:val="single" w:sz="4" w:space="0" w:color="auto"/>
              <w:right w:val="single" w:sz="4" w:space="0" w:color="auto"/>
            </w:tcBorders>
            <w:shd w:val="clear" w:color="000000" w:fill="B4C6E7"/>
            <w:vAlign w:val="bottom"/>
            <w:hideMark/>
          </w:tcPr>
          <w:p w14:paraId="10F9934F"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of Total Activities</w:t>
            </w:r>
          </w:p>
        </w:tc>
        <w:tc>
          <w:tcPr>
            <w:tcW w:w="449" w:type="pct"/>
            <w:tcBorders>
              <w:top w:val="nil"/>
              <w:left w:val="nil"/>
              <w:bottom w:val="single" w:sz="4" w:space="0" w:color="auto"/>
              <w:right w:val="single" w:sz="4" w:space="0" w:color="auto"/>
            </w:tcBorders>
            <w:shd w:val="clear" w:color="000000" w:fill="B4C6E7"/>
            <w:vAlign w:val="bottom"/>
            <w:hideMark/>
          </w:tcPr>
          <w:p w14:paraId="5195064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Average Progress on Activities (%)</w:t>
            </w:r>
          </w:p>
        </w:tc>
        <w:tc>
          <w:tcPr>
            <w:tcW w:w="410" w:type="pct"/>
            <w:tcBorders>
              <w:top w:val="nil"/>
              <w:left w:val="nil"/>
              <w:bottom w:val="single" w:sz="4" w:space="0" w:color="auto"/>
              <w:right w:val="single" w:sz="4" w:space="0" w:color="auto"/>
            </w:tcBorders>
            <w:shd w:val="clear" w:color="000000" w:fill="B4C6E7"/>
            <w:vAlign w:val="bottom"/>
            <w:hideMark/>
          </w:tcPr>
          <w:p w14:paraId="5D1FCF8D"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w:t>
            </w:r>
          </w:p>
        </w:tc>
        <w:tc>
          <w:tcPr>
            <w:tcW w:w="410" w:type="pct"/>
            <w:tcBorders>
              <w:top w:val="nil"/>
              <w:left w:val="nil"/>
              <w:bottom w:val="single" w:sz="4" w:space="0" w:color="auto"/>
              <w:right w:val="single" w:sz="4" w:space="0" w:color="auto"/>
            </w:tcBorders>
            <w:shd w:val="clear" w:color="000000" w:fill="B4C6E7"/>
            <w:vAlign w:val="bottom"/>
            <w:hideMark/>
          </w:tcPr>
          <w:p w14:paraId="286A3FAC"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10" w:type="pct"/>
            <w:tcBorders>
              <w:top w:val="nil"/>
              <w:left w:val="nil"/>
              <w:bottom w:val="single" w:sz="4" w:space="0" w:color="auto"/>
              <w:right w:val="single" w:sz="4" w:space="0" w:color="auto"/>
            </w:tcBorders>
            <w:shd w:val="clear" w:color="000000" w:fill="B4C6E7"/>
            <w:vAlign w:val="bottom"/>
            <w:hideMark/>
          </w:tcPr>
          <w:p w14:paraId="0F196F19"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Outputs Met</w:t>
            </w:r>
          </w:p>
        </w:tc>
        <w:tc>
          <w:tcPr>
            <w:tcW w:w="484" w:type="pct"/>
            <w:tcBorders>
              <w:top w:val="nil"/>
              <w:left w:val="nil"/>
              <w:bottom w:val="single" w:sz="4" w:space="0" w:color="auto"/>
              <w:right w:val="single" w:sz="4" w:space="0" w:color="auto"/>
            </w:tcBorders>
            <w:shd w:val="clear" w:color="000000" w:fill="B4C6E7"/>
            <w:vAlign w:val="bottom"/>
            <w:hideMark/>
          </w:tcPr>
          <w:p w14:paraId="5DC7BBBE"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w:t>
            </w:r>
          </w:p>
        </w:tc>
        <w:tc>
          <w:tcPr>
            <w:tcW w:w="484" w:type="pct"/>
            <w:tcBorders>
              <w:top w:val="nil"/>
              <w:left w:val="nil"/>
              <w:bottom w:val="single" w:sz="4" w:space="0" w:color="auto"/>
              <w:right w:val="single" w:sz="4" w:space="0" w:color="auto"/>
            </w:tcBorders>
            <w:shd w:val="clear" w:color="000000" w:fill="B4C6E7"/>
            <w:vAlign w:val="bottom"/>
            <w:hideMark/>
          </w:tcPr>
          <w:p w14:paraId="527A4190"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 Short-Term Outcomes Met</w:t>
            </w:r>
          </w:p>
        </w:tc>
        <w:tc>
          <w:tcPr>
            <w:tcW w:w="484" w:type="pct"/>
            <w:tcBorders>
              <w:top w:val="nil"/>
              <w:left w:val="nil"/>
              <w:bottom w:val="single" w:sz="4" w:space="0" w:color="auto"/>
              <w:right w:val="single" w:sz="4" w:space="0" w:color="auto"/>
            </w:tcBorders>
            <w:shd w:val="clear" w:color="000000" w:fill="B4C6E7"/>
            <w:vAlign w:val="bottom"/>
            <w:hideMark/>
          </w:tcPr>
          <w:p w14:paraId="37320D7A" w14:textId="77777777" w:rsidR="00AD27AF" w:rsidRPr="00216251" w:rsidRDefault="00AD27AF" w:rsidP="00AD27AF">
            <w:pPr>
              <w:spacing w:after="0" w:line="240" w:lineRule="auto"/>
              <w:ind w:firstLine="0"/>
              <w:jc w:val="center"/>
              <w:rPr>
                <w:rFonts w:ascii="Calibri" w:eastAsia="Times New Roman" w:hAnsi="Calibri" w:cs="Calibri"/>
                <w:b/>
                <w:bCs/>
                <w:color w:val="000000"/>
                <w:sz w:val="20"/>
                <w:szCs w:val="20"/>
              </w:rPr>
            </w:pPr>
            <w:r w:rsidRPr="00216251">
              <w:rPr>
                <w:rFonts w:ascii="Calibri" w:eastAsia="Times New Roman" w:hAnsi="Calibri" w:cs="Calibri"/>
                <w:b/>
                <w:bCs/>
                <w:color w:val="000000"/>
                <w:sz w:val="20"/>
                <w:szCs w:val="20"/>
              </w:rPr>
              <w:t>%Short-Term Outcomes Achieved</w:t>
            </w:r>
          </w:p>
        </w:tc>
      </w:tr>
      <w:tr w:rsidR="00AD27AF" w:rsidRPr="00216251" w14:paraId="2087BCD1" w14:textId="77777777" w:rsidTr="00AD27AF">
        <w:trPr>
          <w:trHeight w:val="300"/>
        </w:trPr>
        <w:tc>
          <w:tcPr>
            <w:tcW w:w="1421" w:type="pct"/>
            <w:tcBorders>
              <w:top w:val="nil"/>
              <w:left w:val="single" w:sz="4" w:space="0" w:color="auto"/>
              <w:bottom w:val="single" w:sz="4" w:space="0" w:color="auto"/>
              <w:right w:val="single" w:sz="4" w:space="0" w:color="auto"/>
            </w:tcBorders>
            <w:shd w:val="clear" w:color="000000" w:fill="B4C6E7"/>
            <w:noWrap/>
            <w:vAlign w:val="center"/>
            <w:hideMark/>
          </w:tcPr>
          <w:p w14:paraId="0DFAEC1C" w14:textId="77777777" w:rsidR="00AD27AF" w:rsidRPr="00216251" w:rsidRDefault="00AD27AF" w:rsidP="00AD27AF">
            <w:pPr>
              <w:spacing w:after="0" w:line="240" w:lineRule="auto"/>
              <w:ind w:firstLine="0"/>
              <w:jc w:val="right"/>
              <w:rPr>
                <w:rFonts w:ascii="Calibri" w:eastAsia="Times New Roman" w:hAnsi="Calibri" w:cs="Calibri"/>
                <w:b/>
                <w:bCs/>
                <w:color w:val="000000"/>
              </w:rPr>
            </w:pPr>
            <w:r w:rsidRPr="00216251">
              <w:rPr>
                <w:rFonts w:ascii="Calibri" w:eastAsia="Times New Roman" w:hAnsi="Calibri" w:cs="Calibri"/>
                <w:b/>
                <w:bCs/>
                <w:color w:val="000000"/>
              </w:rPr>
              <w:t>Business Engagement</w:t>
            </w:r>
          </w:p>
        </w:tc>
        <w:tc>
          <w:tcPr>
            <w:tcW w:w="449" w:type="pct"/>
            <w:tcBorders>
              <w:top w:val="nil"/>
              <w:left w:val="nil"/>
              <w:bottom w:val="single" w:sz="4" w:space="0" w:color="auto"/>
              <w:right w:val="single" w:sz="4" w:space="0" w:color="auto"/>
            </w:tcBorders>
            <w:shd w:val="clear" w:color="000000" w:fill="FFFFFF"/>
            <w:noWrap/>
            <w:vAlign w:val="center"/>
            <w:hideMark/>
          </w:tcPr>
          <w:p w14:paraId="6E40A1A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49" w:type="pct"/>
            <w:tcBorders>
              <w:top w:val="nil"/>
              <w:left w:val="nil"/>
              <w:bottom w:val="single" w:sz="4" w:space="0" w:color="auto"/>
              <w:right w:val="single" w:sz="4" w:space="0" w:color="auto"/>
            </w:tcBorders>
            <w:shd w:val="clear" w:color="000000" w:fill="FFFFFF"/>
            <w:noWrap/>
            <w:vAlign w:val="center"/>
            <w:hideMark/>
          </w:tcPr>
          <w:p w14:paraId="40862EFA"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54%</w:t>
            </w:r>
          </w:p>
        </w:tc>
        <w:tc>
          <w:tcPr>
            <w:tcW w:w="410" w:type="pct"/>
            <w:tcBorders>
              <w:top w:val="nil"/>
              <w:left w:val="nil"/>
              <w:bottom w:val="single" w:sz="4" w:space="0" w:color="auto"/>
              <w:right w:val="single" w:sz="4" w:space="0" w:color="auto"/>
            </w:tcBorders>
            <w:shd w:val="clear" w:color="000000" w:fill="FFFFFF"/>
            <w:noWrap/>
            <w:vAlign w:val="center"/>
            <w:hideMark/>
          </w:tcPr>
          <w:p w14:paraId="76C5065B"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6</w:t>
            </w:r>
          </w:p>
        </w:tc>
        <w:tc>
          <w:tcPr>
            <w:tcW w:w="410" w:type="pct"/>
            <w:tcBorders>
              <w:top w:val="nil"/>
              <w:left w:val="nil"/>
              <w:bottom w:val="single" w:sz="4" w:space="0" w:color="auto"/>
              <w:right w:val="single" w:sz="4" w:space="0" w:color="auto"/>
            </w:tcBorders>
            <w:shd w:val="clear" w:color="000000" w:fill="FFFFFF"/>
            <w:noWrap/>
            <w:vAlign w:val="center"/>
            <w:hideMark/>
          </w:tcPr>
          <w:p w14:paraId="7F91D395"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10" w:type="pct"/>
            <w:tcBorders>
              <w:top w:val="nil"/>
              <w:left w:val="nil"/>
              <w:bottom w:val="single" w:sz="4" w:space="0" w:color="auto"/>
              <w:right w:val="single" w:sz="4" w:space="0" w:color="auto"/>
            </w:tcBorders>
            <w:shd w:val="clear" w:color="000000" w:fill="FFFFFF"/>
            <w:noWrap/>
            <w:vAlign w:val="center"/>
            <w:hideMark/>
          </w:tcPr>
          <w:p w14:paraId="186EE52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50%</w:t>
            </w:r>
          </w:p>
        </w:tc>
        <w:tc>
          <w:tcPr>
            <w:tcW w:w="484" w:type="pct"/>
            <w:tcBorders>
              <w:top w:val="nil"/>
              <w:left w:val="nil"/>
              <w:bottom w:val="single" w:sz="4" w:space="0" w:color="auto"/>
              <w:right w:val="single" w:sz="4" w:space="0" w:color="auto"/>
            </w:tcBorders>
            <w:shd w:val="clear" w:color="000000" w:fill="FFFFFF"/>
            <w:noWrap/>
            <w:vAlign w:val="center"/>
            <w:hideMark/>
          </w:tcPr>
          <w:p w14:paraId="7159E3E7"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3</w:t>
            </w:r>
          </w:p>
        </w:tc>
        <w:tc>
          <w:tcPr>
            <w:tcW w:w="484" w:type="pct"/>
            <w:tcBorders>
              <w:top w:val="nil"/>
              <w:left w:val="nil"/>
              <w:bottom w:val="single" w:sz="4" w:space="0" w:color="auto"/>
              <w:right w:val="single" w:sz="4" w:space="0" w:color="auto"/>
            </w:tcBorders>
            <w:shd w:val="clear" w:color="000000" w:fill="FFFFFF"/>
            <w:noWrap/>
            <w:vAlign w:val="center"/>
            <w:hideMark/>
          </w:tcPr>
          <w:p w14:paraId="208913D9"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c>
          <w:tcPr>
            <w:tcW w:w="484" w:type="pct"/>
            <w:tcBorders>
              <w:top w:val="nil"/>
              <w:left w:val="nil"/>
              <w:bottom w:val="single" w:sz="4" w:space="0" w:color="auto"/>
              <w:right w:val="single" w:sz="4" w:space="0" w:color="auto"/>
            </w:tcBorders>
            <w:shd w:val="clear" w:color="000000" w:fill="FFFFFF"/>
            <w:noWrap/>
            <w:vAlign w:val="center"/>
            <w:hideMark/>
          </w:tcPr>
          <w:p w14:paraId="45CB3A48" w14:textId="77777777" w:rsidR="00AD27AF" w:rsidRPr="00216251" w:rsidRDefault="00AD27AF" w:rsidP="00AD27AF">
            <w:pPr>
              <w:spacing w:after="0" w:line="240" w:lineRule="auto"/>
              <w:ind w:firstLine="0"/>
              <w:jc w:val="center"/>
              <w:rPr>
                <w:rFonts w:ascii="Calibri" w:eastAsia="Times New Roman" w:hAnsi="Calibri" w:cs="Calibri"/>
                <w:color w:val="000000"/>
              </w:rPr>
            </w:pPr>
            <w:r w:rsidRPr="00216251">
              <w:rPr>
                <w:rFonts w:ascii="Calibri" w:eastAsia="Times New Roman" w:hAnsi="Calibri" w:cs="Calibri"/>
                <w:color w:val="000000"/>
              </w:rPr>
              <w:t>0%</w:t>
            </w:r>
          </w:p>
        </w:tc>
      </w:tr>
    </w:tbl>
    <w:p w14:paraId="12635D8B" w14:textId="77777777" w:rsidR="00AD27AF" w:rsidRDefault="00AD27AF" w:rsidP="00AD27AF">
      <w:pPr>
        <w:ind w:firstLine="0"/>
      </w:pPr>
    </w:p>
    <w:p w14:paraId="6300156E" w14:textId="2B94322B" w:rsidR="00F264A2" w:rsidRDefault="00F264A2" w:rsidP="00AD27AF">
      <w:pPr>
        <w:ind w:firstLine="0"/>
      </w:pPr>
    </w:p>
    <w:sectPr w:rsidR="00F264A2" w:rsidSect="00C97C03">
      <w:headerReference w:type="even" r:id="rId541"/>
      <w:headerReference w:type="default" r:id="rId542"/>
      <w:footerReference w:type="even" r:id="rId543"/>
      <w:footerReference w:type="default" r:id="rId544"/>
      <w:headerReference w:type="first" r:id="rId545"/>
      <w:footerReference w:type="first" r:id="rId546"/>
      <w:pgSz w:w="12240" w:h="15840"/>
      <w:pgMar w:top="1440" w:right="1440" w:bottom="1440" w:left="1440" w:header="720" w:footer="720"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1DE4AF" w14:textId="77777777" w:rsidR="0084664F" w:rsidRDefault="0084664F">
      <w:pPr>
        <w:spacing w:after="0" w:line="240" w:lineRule="auto"/>
      </w:pPr>
      <w:r>
        <w:separator/>
      </w:r>
    </w:p>
    <w:p w14:paraId="4DDAC219" w14:textId="77777777" w:rsidR="0084664F" w:rsidRDefault="0084664F"/>
  </w:endnote>
  <w:endnote w:type="continuationSeparator" w:id="0">
    <w:p w14:paraId="48A9838D" w14:textId="77777777" w:rsidR="0084664F" w:rsidRDefault="0084664F">
      <w:pPr>
        <w:spacing w:after="0" w:line="240" w:lineRule="auto"/>
      </w:pPr>
      <w:r>
        <w:continuationSeparator/>
      </w:r>
    </w:p>
    <w:p w14:paraId="2A288BB2" w14:textId="77777777" w:rsidR="0084664F" w:rsidRDefault="008466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F8EB69" w14:textId="77777777" w:rsidR="0048500F" w:rsidRDefault="0048500F">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94AA6E" w14:textId="77777777" w:rsidR="0048500F" w:rsidRDefault="0048500F">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D46A35" w14:textId="67E83C96" w:rsidR="0048500F" w:rsidRDefault="0084664F">
    <w:pPr>
      <w:pStyle w:val="Footer"/>
      <w:jc w:val="center"/>
    </w:pPr>
    <w:sdt>
      <w:sdtPr>
        <w:id w:val="-2127073999"/>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36</w:t>
        </w:r>
        <w:r w:rsidR="0048500F">
          <w:rPr>
            <w:noProof/>
          </w:rPr>
          <w:fldChar w:fldCharType="end"/>
        </w:r>
      </w:sdtContent>
    </w:sdt>
  </w:p>
  <w:p w14:paraId="49FB442D" w14:textId="77777777" w:rsidR="0048500F" w:rsidRDefault="0048500F">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921877" w14:textId="77777777" w:rsidR="0048500F" w:rsidRDefault="0048500F">
    <w:pPr>
      <w:pStyle w:val="Footer"/>
    </w:pPr>
  </w:p>
  <w:p w14:paraId="55C17D19" w14:textId="77777777" w:rsidR="0048500F" w:rsidRDefault="0048500F"/>
  <w:p w14:paraId="7AE90930" w14:textId="77777777" w:rsidR="0048500F" w:rsidRDefault="0048500F"/>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F46AA4" w14:textId="25A72010" w:rsidR="0048500F" w:rsidRDefault="0084664F" w:rsidP="00005E52">
    <w:pPr>
      <w:pStyle w:val="Footer"/>
      <w:jc w:val="center"/>
    </w:pPr>
    <w:sdt>
      <w:sdtPr>
        <w:id w:val="660043747"/>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39</w:t>
        </w:r>
        <w:r w:rsidR="0048500F">
          <w:rPr>
            <w:noProof/>
          </w:rPr>
          <w:fldChar w:fldCharType="end"/>
        </w:r>
      </w:sdtContent>
    </w:sdt>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3D9EA5" w14:textId="77777777" w:rsidR="0048500F" w:rsidRDefault="0048500F">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322BDD" w14:textId="77777777" w:rsidR="0048500F" w:rsidRDefault="0048500F">
    <w:pPr>
      <w:pStyle w:val="Footer"/>
    </w:pPr>
  </w:p>
  <w:p w14:paraId="21C9B120" w14:textId="77777777" w:rsidR="0048500F" w:rsidRDefault="0048500F"/>
  <w:p w14:paraId="519CEB6C" w14:textId="77777777" w:rsidR="0048500F" w:rsidRDefault="0048500F"/>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FEE597" w14:textId="49019DA9" w:rsidR="0048500F" w:rsidRDefault="0084664F" w:rsidP="00005E52">
    <w:pPr>
      <w:pStyle w:val="Footer"/>
      <w:jc w:val="center"/>
    </w:pPr>
    <w:sdt>
      <w:sdtPr>
        <w:id w:val="-1827284587"/>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46</w:t>
        </w:r>
        <w:r w:rsidR="0048500F">
          <w:rPr>
            <w:noProof/>
          </w:rPr>
          <w:fldChar w:fldCharType="end"/>
        </w:r>
      </w:sdtContent>
    </w:sdt>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5BD759" w14:textId="77777777" w:rsidR="0048500F" w:rsidRDefault="0048500F">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CF8582" w14:textId="0E783114" w:rsidR="0048500F" w:rsidRDefault="0084664F">
    <w:pPr>
      <w:pStyle w:val="Footer"/>
      <w:jc w:val="center"/>
    </w:pPr>
    <w:sdt>
      <w:sdtPr>
        <w:id w:val="-1955319137"/>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49</w:t>
        </w:r>
        <w:r w:rsidR="0048500F">
          <w:rPr>
            <w:noProof/>
          </w:rPr>
          <w:fldChar w:fldCharType="end"/>
        </w:r>
      </w:sdtContent>
    </w:sdt>
  </w:p>
  <w:p w14:paraId="2041B966" w14:textId="77777777" w:rsidR="0048500F" w:rsidRDefault="0048500F">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C9A779" w14:textId="77777777" w:rsidR="0048500F" w:rsidRDefault="0048500F">
    <w:pPr>
      <w:pStyle w:val="Footer"/>
    </w:pPr>
  </w:p>
  <w:p w14:paraId="1C2ABBDA" w14:textId="77777777" w:rsidR="0048500F" w:rsidRDefault="0048500F"/>
  <w:p w14:paraId="2E756D71" w14:textId="77777777" w:rsidR="0048500F" w:rsidRDefault="0048500F"/>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6DCD96" w14:textId="77777777" w:rsidR="0048500F" w:rsidRDefault="0048500F">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39E68F" w14:textId="412C2006" w:rsidR="0048500F" w:rsidRDefault="0084664F" w:rsidP="00005E52">
    <w:pPr>
      <w:pStyle w:val="Footer"/>
      <w:jc w:val="center"/>
    </w:pPr>
    <w:sdt>
      <w:sdtPr>
        <w:id w:val="1640460760"/>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63</w:t>
        </w:r>
        <w:r w:rsidR="0048500F">
          <w:rPr>
            <w:noProof/>
          </w:rPr>
          <w:fldChar w:fldCharType="end"/>
        </w:r>
      </w:sdtContent>
    </w:sdt>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207F67" w14:textId="77777777" w:rsidR="0048500F" w:rsidRDefault="0048500F">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0FA420" w14:textId="77777777" w:rsidR="0048500F" w:rsidRDefault="0048500F">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03853A" w14:textId="2EC7882F" w:rsidR="0048500F" w:rsidRDefault="0084664F" w:rsidP="00BF3652">
    <w:pPr>
      <w:pStyle w:val="Footer"/>
      <w:ind w:firstLine="0"/>
      <w:jc w:val="center"/>
    </w:pPr>
    <w:sdt>
      <w:sdtPr>
        <w:id w:val="-248202318"/>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67</w:t>
        </w:r>
        <w:r w:rsidR="0048500F">
          <w:rPr>
            <w:noProof/>
          </w:rPr>
          <w:fldChar w:fldCharType="end"/>
        </w:r>
      </w:sdtContent>
    </w:sdt>
  </w:p>
  <w:p w14:paraId="241AFE4E" w14:textId="77777777" w:rsidR="0048500F" w:rsidRDefault="0048500F">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BEBD4B" w14:textId="77777777" w:rsidR="0048500F" w:rsidRDefault="0048500F">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3FAD7" w14:textId="77777777" w:rsidR="0048500F" w:rsidRDefault="0048500F">
    <w:pPr>
      <w:pStyle w:val="Footer"/>
    </w:pPr>
  </w:p>
  <w:p w14:paraId="33BAB198" w14:textId="77777777" w:rsidR="0048500F" w:rsidRDefault="0048500F"/>
  <w:p w14:paraId="1C3BE37F" w14:textId="77777777" w:rsidR="0048500F" w:rsidRDefault="0048500F"/>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1E8F34" w14:textId="0F81ACDA" w:rsidR="0048500F" w:rsidRDefault="0084664F" w:rsidP="00005E52">
    <w:pPr>
      <w:pStyle w:val="Footer"/>
      <w:jc w:val="center"/>
    </w:pPr>
    <w:sdt>
      <w:sdtPr>
        <w:id w:val="-130483855"/>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95</w:t>
        </w:r>
        <w:r w:rsidR="0048500F">
          <w:rPr>
            <w:noProof/>
          </w:rPr>
          <w:fldChar w:fldCharType="end"/>
        </w:r>
      </w:sdtContent>
    </w:sdt>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D0026B" w14:textId="77777777" w:rsidR="0048500F" w:rsidRDefault="0048500F">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2EB381" w14:textId="464FA7F3" w:rsidR="0048500F" w:rsidRDefault="0084664F" w:rsidP="00B360F2">
    <w:pPr>
      <w:pStyle w:val="Footer"/>
      <w:ind w:firstLine="0"/>
      <w:jc w:val="center"/>
    </w:pPr>
    <w:sdt>
      <w:sdtPr>
        <w:id w:val="-2082364201"/>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100</w:t>
        </w:r>
        <w:r w:rsidR="0048500F">
          <w:rPr>
            <w:noProof/>
          </w:rPr>
          <w:fldChar w:fldCharType="end"/>
        </w:r>
      </w:sdtContent>
    </w:sdt>
  </w:p>
  <w:p w14:paraId="68A92165" w14:textId="77777777" w:rsidR="0048500F" w:rsidRDefault="0048500F">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02277E" w14:textId="77777777" w:rsidR="0048500F" w:rsidRDefault="0048500F">
    <w:pPr>
      <w:pStyle w:val="Footer"/>
    </w:pPr>
  </w:p>
  <w:p w14:paraId="74B1D899" w14:textId="77777777" w:rsidR="0048500F" w:rsidRDefault="0048500F"/>
  <w:p w14:paraId="65CF5EE4" w14:textId="77777777" w:rsidR="0048500F" w:rsidRDefault="0048500F"/>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24000D" w14:textId="77777777" w:rsidR="0048500F" w:rsidRDefault="0048500F">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7CAE9F" w14:textId="6EC40FE3" w:rsidR="0048500F" w:rsidRDefault="0084664F" w:rsidP="00005E52">
    <w:pPr>
      <w:pStyle w:val="Footer"/>
      <w:jc w:val="center"/>
    </w:pPr>
    <w:sdt>
      <w:sdtPr>
        <w:id w:val="954996825"/>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106</w:t>
        </w:r>
        <w:r w:rsidR="0048500F">
          <w:rPr>
            <w:noProof/>
          </w:rPr>
          <w:fldChar w:fldCharType="end"/>
        </w:r>
      </w:sdtContent>
    </w:sdt>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57D92" w14:textId="77777777" w:rsidR="0048500F" w:rsidRDefault="0048500F">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9B1AA2" w14:textId="77777777" w:rsidR="0048500F" w:rsidRDefault="0048500F">
    <w:pPr>
      <w:pStyle w:val="Footer"/>
    </w:pPr>
  </w:p>
  <w:p w14:paraId="18599F48" w14:textId="77777777" w:rsidR="0048500F" w:rsidRDefault="0048500F"/>
  <w:p w14:paraId="41404C3F" w14:textId="77777777" w:rsidR="0048500F" w:rsidRDefault="0048500F"/>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F0320" w14:textId="0B93DE20" w:rsidR="0048500F" w:rsidRDefault="0084664F" w:rsidP="00005E52">
    <w:pPr>
      <w:pStyle w:val="Footer"/>
      <w:jc w:val="center"/>
    </w:pPr>
    <w:sdt>
      <w:sdtPr>
        <w:id w:val="1842506537"/>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118</w:t>
        </w:r>
        <w:r w:rsidR="0048500F">
          <w:rPr>
            <w:noProof/>
          </w:rPr>
          <w:fldChar w:fldCharType="end"/>
        </w:r>
      </w:sdtContent>
    </w:sdt>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575001" w14:textId="77777777" w:rsidR="0048500F" w:rsidRDefault="0048500F">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583FF8" w14:textId="77777777" w:rsidR="0048500F" w:rsidRDefault="0048500F">
    <w:pPr>
      <w:pStyle w:val="Footer"/>
    </w:pPr>
  </w:p>
  <w:p w14:paraId="339AF997" w14:textId="77777777" w:rsidR="0048500F" w:rsidRDefault="0048500F"/>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C0504C" w14:textId="11B5164D" w:rsidR="0048500F" w:rsidRDefault="0084664F" w:rsidP="00005E52">
    <w:pPr>
      <w:pStyle w:val="Footer"/>
      <w:jc w:val="center"/>
    </w:pPr>
    <w:sdt>
      <w:sdtPr>
        <w:id w:val="638853416"/>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129</w:t>
        </w:r>
        <w:r w:rsidR="0048500F">
          <w:rPr>
            <w:noProof/>
          </w:rPr>
          <w:fldChar w:fldCharType="end"/>
        </w:r>
      </w:sdtContent>
    </w:sdt>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3615F0" w14:textId="77777777" w:rsidR="0048500F" w:rsidRDefault="0048500F">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0CC55" w14:textId="4F8CA0E1" w:rsidR="0048500F" w:rsidRDefault="0084664F">
    <w:pPr>
      <w:pStyle w:val="Footer"/>
      <w:jc w:val="center"/>
    </w:pPr>
    <w:sdt>
      <w:sdtPr>
        <w:id w:val="-615442233"/>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139</w:t>
        </w:r>
        <w:r w:rsidR="0048500F">
          <w:rPr>
            <w:noProof/>
          </w:rPr>
          <w:fldChar w:fldCharType="end"/>
        </w:r>
      </w:sdtContent>
    </w:sdt>
  </w:p>
  <w:p w14:paraId="1D2B98DF" w14:textId="77777777" w:rsidR="0048500F" w:rsidRDefault="0048500F">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17B9E5" w14:textId="77777777" w:rsidR="0048500F" w:rsidRDefault="0048500F">
    <w:pPr>
      <w:pStyle w:val="Footer"/>
    </w:pPr>
  </w:p>
  <w:p w14:paraId="3B434881" w14:textId="77777777" w:rsidR="0048500F" w:rsidRDefault="0048500F"/>
  <w:p w14:paraId="1F414D30" w14:textId="77777777" w:rsidR="0048500F" w:rsidRDefault="0048500F"/>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4365416"/>
      <w:docPartObj>
        <w:docPartGallery w:val="Page Numbers (Bottom of Page)"/>
        <w:docPartUnique/>
      </w:docPartObj>
    </w:sdtPr>
    <w:sdtEndPr>
      <w:rPr>
        <w:noProof/>
      </w:rPr>
    </w:sdtEndPr>
    <w:sdtContent>
      <w:p w14:paraId="19013566" w14:textId="43A74BBD" w:rsidR="0048500F" w:rsidRDefault="0048500F" w:rsidP="00364BDC">
        <w:pPr>
          <w:pStyle w:val="Footer"/>
          <w:ind w:firstLine="0"/>
          <w:jc w:val="center"/>
        </w:pPr>
        <w:r>
          <w:fldChar w:fldCharType="begin"/>
        </w:r>
        <w:r>
          <w:instrText xml:space="preserve"> PAGE   \* MERGEFORMAT </w:instrText>
        </w:r>
        <w:r>
          <w:fldChar w:fldCharType="separate"/>
        </w:r>
        <w:r w:rsidR="00A404F3">
          <w:rPr>
            <w:noProof/>
          </w:rPr>
          <w:t>14</w:t>
        </w:r>
        <w:r>
          <w:rPr>
            <w:noProof/>
          </w:rPr>
          <w:fldChar w:fldCharType="end"/>
        </w:r>
      </w:p>
    </w:sdtContent>
  </w:sdt>
  <w:p w14:paraId="76DC9126" w14:textId="77777777" w:rsidR="0048500F" w:rsidRDefault="0048500F">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81FC17" w14:textId="7259E4F1" w:rsidR="0048500F" w:rsidRDefault="0084664F" w:rsidP="00005E52">
    <w:pPr>
      <w:pStyle w:val="Footer"/>
      <w:jc w:val="center"/>
    </w:pPr>
    <w:sdt>
      <w:sdtPr>
        <w:id w:val="-685139262"/>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149</w:t>
        </w:r>
        <w:r w:rsidR="0048500F">
          <w:rPr>
            <w:noProof/>
          </w:rPr>
          <w:fldChar w:fldCharType="end"/>
        </w:r>
      </w:sdtContent>
    </w:sdt>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DF6C35" w14:textId="77777777" w:rsidR="0048500F" w:rsidRDefault="0048500F">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262D81" w14:textId="0748B586" w:rsidR="0048500F" w:rsidRDefault="0084664F">
    <w:pPr>
      <w:pStyle w:val="Footer"/>
      <w:jc w:val="center"/>
    </w:pPr>
    <w:sdt>
      <w:sdtPr>
        <w:id w:val="489212789"/>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150</w:t>
        </w:r>
        <w:r w:rsidR="0048500F">
          <w:rPr>
            <w:noProof/>
          </w:rPr>
          <w:fldChar w:fldCharType="end"/>
        </w:r>
      </w:sdtContent>
    </w:sdt>
  </w:p>
  <w:p w14:paraId="5CAC66CF" w14:textId="77777777" w:rsidR="0048500F" w:rsidRDefault="0048500F">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51EB61" w14:textId="77777777" w:rsidR="0048500F" w:rsidRDefault="0048500F">
    <w:pPr>
      <w:pStyle w:val="Footer"/>
    </w:pPr>
  </w:p>
  <w:p w14:paraId="10BFD2DD" w14:textId="77777777" w:rsidR="0048500F" w:rsidRDefault="0048500F"/>
  <w:p w14:paraId="2A092E0C" w14:textId="77777777" w:rsidR="0048500F" w:rsidRDefault="0048500F"/>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143D4D" w14:textId="74E65973" w:rsidR="0048500F" w:rsidRDefault="0084664F" w:rsidP="00005E52">
    <w:pPr>
      <w:pStyle w:val="Footer"/>
      <w:jc w:val="center"/>
    </w:pPr>
    <w:sdt>
      <w:sdtPr>
        <w:id w:val="-1634390943"/>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154</w:t>
        </w:r>
        <w:r w:rsidR="0048500F">
          <w:rPr>
            <w:noProof/>
          </w:rPr>
          <w:fldChar w:fldCharType="end"/>
        </w:r>
      </w:sdtContent>
    </w:sdt>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5E33D9" w14:textId="77777777" w:rsidR="0048500F" w:rsidRDefault="0048500F">
    <w:pPr>
      <w:pStyle w:val="Footer"/>
    </w:pP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ADAFFA" w14:textId="77777777" w:rsidR="0048500F" w:rsidRDefault="0048500F">
    <w:pPr>
      <w:pStyle w:val="Footer"/>
    </w:pPr>
  </w:p>
  <w:p w14:paraId="1544B222" w14:textId="77777777" w:rsidR="0048500F" w:rsidRDefault="0048500F"/>
  <w:p w14:paraId="0772918E" w14:textId="77777777" w:rsidR="0048500F" w:rsidRDefault="0048500F"/>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A19FE0" w14:textId="2226EEB3" w:rsidR="0048500F" w:rsidRDefault="0084664F" w:rsidP="00005E52">
    <w:pPr>
      <w:pStyle w:val="Footer"/>
      <w:jc w:val="center"/>
    </w:pPr>
    <w:sdt>
      <w:sdtPr>
        <w:id w:val="-1121688672"/>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158</w:t>
        </w:r>
        <w:r w:rsidR="0048500F">
          <w:rPr>
            <w:noProof/>
          </w:rPr>
          <w:fldChar w:fldCharType="end"/>
        </w:r>
      </w:sdtContent>
    </w:sdt>
  </w:p>
  <w:p w14:paraId="397F13C4" w14:textId="77777777" w:rsidR="0048500F" w:rsidRDefault="0048500F"/>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583159" w14:textId="77777777" w:rsidR="0048500F" w:rsidRDefault="0048500F">
    <w:pPr>
      <w:pStyle w:val="Footer"/>
    </w:pP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D701BC" w14:textId="77777777" w:rsidR="0048500F" w:rsidRDefault="0048500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2D906F" w14:textId="77777777" w:rsidR="0048500F" w:rsidRDefault="0048500F">
    <w:pPr>
      <w:pStyle w:val="Footer"/>
    </w:pPr>
  </w:p>
  <w:p w14:paraId="620A9B4F" w14:textId="77777777" w:rsidR="0048500F" w:rsidRDefault="0048500F"/>
  <w:p w14:paraId="4BF50D40" w14:textId="77777777" w:rsidR="0048500F" w:rsidRDefault="0048500F"/>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66FC01" w14:textId="0DA51540" w:rsidR="0048500F" w:rsidRDefault="0084664F">
    <w:pPr>
      <w:pStyle w:val="Footer"/>
      <w:jc w:val="center"/>
    </w:pPr>
    <w:sdt>
      <w:sdtPr>
        <w:id w:val="459083748"/>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161</w:t>
        </w:r>
        <w:r w:rsidR="0048500F">
          <w:rPr>
            <w:noProof/>
          </w:rPr>
          <w:fldChar w:fldCharType="end"/>
        </w:r>
      </w:sdtContent>
    </w:sdt>
  </w:p>
  <w:p w14:paraId="39DEA0BC" w14:textId="77777777" w:rsidR="0048500F" w:rsidRDefault="0048500F">
    <w:pPr>
      <w:pStyle w:val="Footer"/>
    </w:pP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608476" w14:textId="77777777" w:rsidR="0048500F" w:rsidRDefault="0048500F">
    <w:pPr>
      <w:pStyle w:val="Footer"/>
    </w:pP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CEC55F" w14:textId="77777777" w:rsidR="0048500F" w:rsidRDefault="0048500F">
    <w:pPr>
      <w:pStyle w:val="Footer"/>
    </w:pPr>
  </w:p>
  <w:p w14:paraId="0F76B5E4" w14:textId="77777777" w:rsidR="0048500F" w:rsidRDefault="0048500F"/>
  <w:p w14:paraId="582CA047" w14:textId="77777777" w:rsidR="0048500F" w:rsidRDefault="0048500F"/>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3F97B1" w14:textId="4BCF5A64" w:rsidR="0048500F" w:rsidRDefault="0084664F" w:rsidP="00623C47">
    <w:pPr>
      <w:pStyle w:val="Footer"/>
      <w:ind w:firstLine="0"/>
      <w:jc w:val="center"/>
    </w:pPr>
    <w:sdt>
      <w:sdtPr>
        <w:id w:val="-466052101"/>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173</w:t>
        </w:r>
        <w:r w:rsidR="0048500F">
          <w:rPr>
            <w:noProof/>
          </w:rPr>
          <w:fldChar w:fldCharType="end"/>
        </w:r>
      </w:sdtContent>
    </w:sdt>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7822C3" w14:textId="77777777" w:rsidR="0048500F" w:rsidRDefault="0048500F">
    <w:pPr>
      <w:pStyle w:val="Footer"/>
    </w:pP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58A726" w14:textId="3299D307" w:rsidR="0048500F" w:rsidRDefault="0084664F">
    <w:pPr>
      <w:pStyle w:val="Footer"/>
      <w:jc w:val="center"/>
    </w:pPr>
    <w:sdt>
      <w:sdtPr>
        <w:id w:val="-396133501"/>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177</w:t>
        </w:r>
        <w:r w:rsidR="0048500F">
          <w:rPr>
            <w:noProof/>
          </w:rPr>
          <w:fldChar w:fldCharType="end"/>
        </w:r>
      </w:sdtContent>
    </w:sdt>
  </w:p>
  <w:p w14:paraId="50113A9D" w14:textId="77777777" w:rsidR="0048500F" w:rsidRDefault="0048500F">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2AC0D7" w14:textId="77777777" w:rsidR="0048500F" w:rsidRDefault="0048500F">
    <w:pPr>
      <w:pStyle w:val="Footer"/>
    </w:pPr>
  </w:p>
  <w:p w14:paraId="3C34BE2A" w14:textId="77777777" w:rsidR="0048500F" w:rsidRDefault="0048500F"/>
  <w:p w14:paraId="4E7024BA" w14:textId="77777777" w:rsidR="0048500F" w:rsidRDefault="0048500F"/>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FDAFCC" w14:textId="0D7432A7" w:rsidR="0048500F" w:rsidRDefault="0084664F" w:rsidP="00005E52">
    <w:pPr>
      <w:pStyle w:val="Footer"/>
      <w:jc w:val="center"/>
    </w:pPr>
    <w:sdt>
      <w:sdtPr>
        <w:id w:val="1992137727"/>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183</w:t>
        </w:r>
        <w:r w:rsidR="0048500F">
          <w:rPr>
            <w:noProof/>
          </w:rPr>
          <w:fldChar w:fldCharType="end"/>
        </w:r>
      </w:sdtContent>
    </w:sdt>
  </w:p>
  <w:p w14:paraId="194DF9DB" w14:textId="77777777" w:rsidR="0048500F" w:rsidRDefault="0048500F"/>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BC02FF" w14:textId="77777777" w:rsidR="0048500F" w:rsidRDefault="0048500F">
    <w:pPr>
      <w:pStyle w:val="Footer"/>
    </w:pP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EE67C3" w14:textId="77777777" w:rsidR="0048500F" w:rsidRDefault="0048500F">
    <w:pPr>
      <w:pStyle w:val="Footer"/>
    </w:pPr>
  </w:p>
  <w:p w14:paraId="160F64CE" w14:textId="77777777" w:rsidR="0048500F" w:rsidRDefault="0048500F"/>
  <w:p w14:paraId="679AF8D1" w14:textId="77777777" w:rsidR="0048500F" w:rsidRDefault="0048500F"/>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25C438" w14:textId="6E47323E" w:rsidR="0048500F" w:rsidRDefault="0084664F" w:rsidP="00364BDC">
    <w:pPr>
      <w:pStyle w:val="Footer"/>
      <w:ind w:firstLine="0"/>
      <w:jc w:val="center"/>
    </w:pPr>
    <w:sdt>
      <w:sdtPr>
        <w:id w:val="1521822085"/>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16</w:t>
        </w:r>
        <w:r w:rsidR="0048500F">
          <w:rPr>
            <w:noProof/>
          </w:rPr>
          <w:fldChar w:fldCharType="end"/>
        </w:r>
      </w:sdtContent>
    </w:sdt>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1C9CAE" w14:textId="1BCDE68A" w:rsidR="0048500F" w:rsidRDefault="0084664F" w:rsidP="00005E52">
    <w:pPr>
      <w:pStyle w:val="Footer"/>
      <w:jc w:val="center"/>
    </w:pPr>
    <w:sdt>
      <w:sdtPr>
        <w:id w:val="-1266147267"/>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197</w:t>
        </w:r>
        <w:r w:rsidR="0048500F">
          <w:rPr>
            <w:noProof/>
          </w:rPr>
          <w:fldChar w:fldCharType="end"/>
        </w:r>
      </w:sdtContent>
    </w:sdt>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A9EC35" w14:textId="77777777" w:rsidR="0048500F" w:rsidRDefault="0048500F">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778FD" w14:textId="77777777" w:rsidR="0048500F" w:rsidRDefault="0048500F">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A97F13" w14:textId="77777777" w:rsidR="0048500F" w:rsidRDefault="0048500F">
    <w:pPr>
      <w:pStyle w:val="Footer"/>
    </w:pPr>
  </w:p>
  <w:p w14:paraId="367CC329" w14:textId="77777777" w:rsidR="0048500F" w:rsidRDefault="0048500F"/>
  <w:p w14:paraId="6B57CBC4" w14:textId="77777777" w:rsidR="0048500F" w:rsidRDefault="0048500F"/>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462619" w14:textId="56CF6E26" w:rsidR="0048500F" w:rsidRDefault="0084664F" w:rsidP="00364BDC">
    <w:pPr>
      <w:pStyle w:val="Footer"/>
      <w:ind w:firstLine="0"/>
      <w:jc w:val="center"/>
    </w:pPr>
    <w:sdt>
      <w:sdtPr>
        <w:id w:val="388232644"/>
        <w:docPartObj>
          <w:docPartGallery w:val="Page Numbers (Bottom of Page)"/>
          <w:docPartUnique/>
        </w:docPartObj>
      </w:sdtPr>
      <w:sdtEndPr>
        <w:rPr>
          <w:noProof/>
        </w:rPr>
      </w:sdtEndPr>
      <w:sdtContent>
        <w:r w:rsidR="0048500F">
          <w:fldChar w:fldCharType="begin"/>
        </w:r>
        <w:r w:rsidR="0048500F">
          <w:instrText xml:space="preserve"> PAGE   \* MERGEFORMAT </w:instrText>
        </w:r>
        <w:r w:rsidR="0048500F">
          <w:fldChar w:fldCharType="separate"/>
        </w:r>
        <w:r w:rsidR="00A404F3">
          <w:rPr>
            <w:noProof/>
          </w:rPr>
          <w:t>33</w:t>
        </w:r>
        <w:r w:rsidR="0048500F">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1AF49A" w14:textId="77777777" w:rsidR="0084664F" w:rsidRDefault="0084664F">
      <w:pPr>
        <w:spacing w:after="0" w:line="240" w:lineRule="auto"/>
      </w:pPr>
      <w:r>
        <w:separator/>
      </w:r>
    </w:p>
    <w:p w14:paraId="0A2673D1" w14:textId="77777777" w:rsidR="0084664F" w:rsidRDefault="0084664F"/>
  </w:footnote>
  <w:footnote w:type="continuationSeparator" w:id="0">
    <w:p w14:paraId="2BAFF46D" w14:textId="77777777" w:rsidR="0084664F" w:rsidRDefault="0084664F">
      <w:pPr>
        <w:spacing w:after="0" w:line="240" w:lineRule="auto"/>
      </w:pPr>
      <w:r>
        <w:continuationSeparator/>
      </w:r>
    </w:p>
    <w:p w14:paraId="1840CB6C" w14:textId="77777777" w:rsidR="0084664F" w:rsidRDefault="0084664F"/>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EE14BE" w14:textId="77777777" w:rsidR="0048500F" w:rsidRDefault="0048500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3B93BB" w14:textId="77777777" w:rsidR="0048500F" w:rsidRDefault="0048500F">
    <w:pPr>
      <w:pStyle w:val="Header"/>
    </w:pPr>
  </w:p>
  <w:p w14:paraId="3E9F34F1" w14:textId="77777777" w:rsidR="0048500F" w:rsidRDefault="0048500F"/>
  <w:p w14:paraId="7CBECA61" w14:textId="77777777" w:rsidR="0048500F" w:rsidRDefault="0048500F"/>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D3BD4A" w14:textId="77777777" w:rsidR="0048500F" w:rsidRDefault="0048500F"/>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0CD90D" w14:textId="77777777" w:rsidR="0048500F" w:rsidRDefault="0048500F">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46083B" w14:textId="77777777" w:rsidR="0048500F" w:rsidRDefault="0048500F">
    <w:pPr>
      <w:pStyle w:val="Header"/>
    </w:pPr>
  </w:p>
  <w:p w14:paraId="36B69215" w14:textId="77777777" w:rsidR="0048500F" w:rsidRDefault="0048500F"/>
  <w:p w14:paraId="150EF085" w14:textId="77777777" w:rsidR="0048500F" w:rsidRDefault="0048500F"/>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90D680" w14:textId="77777777" w:rsidR="0048500F" w:rsidRDefault="0048500F"/>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550E2B" w14:textId="77777777" w:rsidR="0048500F" w:rsidRDefault="0048500F">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A03502" w14:textId="77777777" w:rsidR="0048500F" w:rsidRDefault="0048500F">
    <w:pPr>
      <w:pStyle w:val="Header"/>
    </w:pPr>
  </w:p>
  <w:p w14:paraId="401E963F" w14:textId="77777777" w:rsidR="0048500F" w:rsidRDefault="0048500F"/>
  <w:p w14:paraId="7076C6ED" w14:textId="77777777" w:rsidR="0048500F" w:rsidRDefault="0048500F"/>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758BAF" w14:textId="77777777" w:rsidR="0048500F" w:rsidRDefault="0048500F"/>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3DA092" w14:textId="77777777" w:rsidR="0048500F" w:rsidRDefault="0048500F">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3E6C5A" w14:textId="77777777" w:rsidR="0048500F" w:rsidRDefault="0048500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94D9FD" w14:textId="77777777" w:rsidR="0048500F" w:rsidRDefault="0048500F">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A552F7" w14:textId="77777777" w:rsidR="0048500F" w:rsidRDefault="0048500F">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5D17A1" w14:textId="77777777" w:rsidR="0048500F" w:rsidRDefault="0048500F">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6158E6" w14:textId="77777777" w:rsidR="0048500F" w:rsidRDefault="0048500F">
    <w:pPr>
      <w:pStyle w:val="Header"/>
    </w:pPr>
  </w:p>
  <w:p w14:paraId="749C2A38" w14:textId="77777777" w:rsidR="0048500F" w:rsidRDefault="0048500F"/>
  <w:p w14:paraId="260CAF2A" w14:textId="77777777" w:rsidR="0048500F" w:rsidRDefault="0048500F"/>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D3FDF7" w14:textId="77777777" w:rsidR="0048500F" w:rsidRDefault="0048500F"/>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545042" w14:textId="77777777" w:rsidR="0048500F" w:rsidRDefault="0048500F">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1782D5" w14:textId="77777777" w:rsidR="0048500F" w:rsidRDefault="0048500F">
    <w:pPr>
      <w:pStyle w:val="Header"/>
    </w:pPr>
  </w:p>
  <w:p w14:paraId="4903012A" w14:textId="77777777" w:rsidR="0048500F" w:rsidRDefault="0048500F"/>
  <w:p w14:paraId="135095A8" w14:textId="77777777" w:rsidR="0048500F" w:rsidRDefault="0048500F"/>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881CF7" w14:textId="77777777" w:rsidR="0048500F" w:rsidRDefault="0048500F"/>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B9310D" w14:textId="77777777" w:rsidR="0048500F" w:rsidRDefault="0048500F">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11A531" w14:textId="77777777" w:rsidR="0048500F" w:rsidRDefault="0048500F">
    <w:pPr>
      <w:pStyle w:val="Header"/>
    </w:pPr>
  </w:p>
  <w:p w14:paraId="47FB0438" w14:textId="77777777" w:rsidR="0048500F" w:rsidRDefault="0048500F"/>
  <w:p w14:paraId="03DDB3C3" w14:textId="77777777" w:rsidR="0048500F" w:rsidRDefault="0048500F"/>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49D67A" w14:textId="77777777" w:rsidR="0048500F" w:rsidRDefault="0048500F"/>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6A32F2" w14:textId="77777777" w:rsidR="0048500F" w:rsidRDefault="0048500F">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6CA726" w14:textId="77777777" w:rsidR="0048500F" w:rsidRDefault="0048500F">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59CAB9" w14:textId="77777777" w:rsidR="0048500F" w:rsidRDefault="0048500F">
    <w:pPr>
      <w:pStyle w:val="Header"/>
    </w:pPr>
  </w:p>
  <w:p w14:paraId="25C2D308" w14:textId="77777777" w:rsidR="0048500F" w:rsidRDefault="0048500F"/>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E504EF" w14:textId="77777777" w:rsidR="0048500F" w:rsidRDefault="0048500F"/>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67BC6" w14:textId="77777777" w:rsidR="0048500F" w:rsidRDefault="0048500F">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90310" w14:textId="77777777" w:rsidR="0048500F" w:rsidRDefault="0048500F">
    <w:pPr>
      <w:pStyle w:val="Header"/>
    </w:pPr>
  </w:p>
  <w:p w14:paraId="0777633E" w14:textId="77777777" w:rsidR="0048500F" w:rsidRDefault="0048500F"/>
  <w:p w14:paraId="0A27009E" w14:textId="77777777" w:rsidR="0048500F" w:rsidRDefault="0048500F"/>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EE06EE" w14:textId="77777777" w:rsidR="0048500F" w:rsidRDefault="0048500F"/>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43ABCA" w14:textId="77777777" w:rsidR="0048500F" w:rsidRDefault="0048500F">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076734" w14:textId="77777777" w:rsidR="0048500F" w:rsidRDefault="0048500F">
    <w:pPr>
      <w:pStyle w:val="Header"/>
    </w:pPr>
  </w:p>
  <w:p w14:paraId="110EF91B" w14:textId="77777777" w:rsidR="0048500F" w:rsidRDefault="0048500F"/>
  <w:p w14:paraId="067731AA" w14:textId="77777777" w:rsidR="0048500F" w:rsidRDefault="0048500F"/>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DD0504" w14:textId="77777777" w:rsidR="0048500F" w:rsidRDefault="0048500F"/>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1CB3EF" w14:textId="77777777" w:rsidR="0048500F" w:rsidRDefault="0048500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35BB8" w14:textId="77777777" w:rsidR="0048500F" w:rsidRDefault="0048500F">
    <w:pPr>
      <w:pStyle w:val="Header"/>
    </w:pPr>
  </w:p>
  <w:p w14:paraId="7B124D39" w14:textId="77777777" w:rsidR="0048500F" w:rsidRDefault="0048500F"/>
  <w:p w14:paraId="08298A6F" w14:textId="77777777" w:rsidR="0048500F" w:rsidRDefault="0048500F"/>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D418F0" w14:textId="77777777" w:rsidR="0048500F" w:rsidRDefault="0048500F">
    <w:pPr>
      <w:pStyle w:val="Header"/>
    </w:pPr>
  </w:p>
  <w:p w14:paraId="3FCD6643" w14:textId="77777777" w:rsidR="0048500F" w:rsidRDefault="0048500F"/>
  <w:p w14:paraId="45D8DF39" w14:textId="77777777" w:rsidR="0048500F" w:rsidRDefault="0048500F"/>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B202A7" w14:textId="77777777" w:rsidR="0048500F" w:rsidRDefault="0048500F"/>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BF6DA7" w14:textId="77777777" w:rsidR="0048500F" w:rsidRDefault="0048500F">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6BD50E" w14:textId="77777777" w:rsidR="0048500F" w:rsidRDefault="0048500F">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BB5338" w14:textId="77777777" w:rsidR="0048500F" w:rsidRDefault="0048500F">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3F3B9D" w14:textId="77777777" w:rsidR="0048500F" w:rsidRDefault="0048500F">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18E68C" w14:textId="77777777" w:rsidR="0048500F" w:rsidRDefault="0048500F">
    <w:pPr>
      <w:pStyle w:val="Header"/>
    </w:pPr>
  </w:p>
  <w:p w14:paraId="06518EC3" w14:textId="77777777" w:rsidR="0048500F" w:rsidRDefault="0048500F"/>
  <w:p w14:paraId="01DE72BC" w14:textId="77777777" w:rsidR="0048500F" w:rsidRDefault="0048500F"/>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F7A237" w14:textId="77777777" w:rsidR="0048500F" w:rsidRDefault="0048500F"/>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5AF40" w14:textId="77777777" w:rsidR="0048500F" w:rsidRDefault="0048500F">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AE4F6" w14:textId="77777777" w:rsidR="0048500F" w:rsidRDefault="0048500F">
    <w:pPr>
      <w:pStyle w:val="Header"/>
    </w:pPr>
  </w:p>
  <w:p w14:paraId="27BE91CD" w14:textId="77777777" w:rsidR="0048500F" w:rsidRDefault="0048500F"/>
  <w:p w14:paraId="54EC368B" w14:textId="77777777" w:rsidR="0048500F" w:rsidRDefault="0048500F"/>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9AE00B" w14:textId="77777777" w:rsidR="0048500F" w:rsidRDefault="0048500F"/>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91ED7A" w14:textId="77777777" w:rsidR="0048500F" w:rsidRDefault="0048500F"/>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E40019" w14:textId="77777777" w:rsidR="0048500F" w:rsidRDefault="0048500F">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DE086C" w14:textId="77777777" w:rsidR="0048500F" w:rsidRDefault="0048500F">
    <w:pPr>
      <w:pStyle w:val="Header"/>
    </w:pPr>
  </w:p>
  <w:p w14:paraId="0EF5C34C" w14:textId="77777777" w:rsidR="0048500F" w:rsidRDefault="0048500F"/>
  <w:p w14:paraId="0551E699" w14:textId="77777777" w:rsidR="0048500F" w:rsidRDefault="0048500F"/>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D75D14" w14:textId="77777777" w:rsidR="0048500F" w:rsidRDefault="0048500F"/>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A45227" w14:textId="77777777" w:rsidR="0048500F" w:rsidRDefault="0048500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6368E4" w14:textId="77777777" w:rsidR="0048500F" w:rsidRDefault="0048500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90634E" w14:textId="77777777" w:rsidR="0048500F" w:rsidRDefault="0048500F">
    <w:pPr>
      <w:pStyle w:val="Header"/>
    </w:pPr>
  </w:p>
  <w:p w14:paraId="773E69B8" w14:textId="77777777" w:rsidR="0048500F" w:rsidRDefault="0048500F"/>
  <w:p w14:paraId="306AB580" w14:textId="77777777" w:rsidR="0048500F" w:rsidRDefault="0048500F"/>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F11A26" w14:textId="77777777" w:rsidR="0048500F" w:rsidRDefault="0048500F"/>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3EF6FF" w14:textId="77777777" w:rsidR="0048500F" w:rsidRDefault="0048500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http://www.wintac.org/sites/default/files/img/Witac-logo_bullet.png" style="width:20.25pt;height:20.25pt;visibility:visible" o:bullet="t">
        <v:imagedata r:id="rId1" o:title="Witac-logo_bullet"/>
      </v:shape>
    </w:pict>
  </w:numPicBullet>
  <w:numPicBullet w:numPicBulletId="1">
    <w:pict>
      <v:shape id="_x0000_i1031" type="#_x0000_t75" style="width:11.25pt;height:11.25pt" o:bullet="t">
        <v:imagedata r:id="rId2" o:title="msoBCFC"/>
      </v:shape>
    </w:pict>
  </w:numPicBullet>
  <w:abstractNum w:abstractNumId="0" w15:restartNumberingAfterBreak="0">
    <w:nsid w:val="004925EF"/>
    <w:multiLevelType w:val="multilevel"/>
    <w:tmpl w:val="E2FEBBDE"/>
    <w:lvl w:ilvl="0">
      <w:start w:val="1"/>
      <w:numFmt w:val="bullet"/>
      <w:lvlText w:val=""/>
      <w:lvlJc w:val="left"/>
      <w:pPr>
        <w:tabs>
          <w:tab w:val="num" w:pos="1440"/>
        </w:tabs>
        <w:ind w:left="1440" w:hanging="360"/>
      </w:pPr>
      <w:rPr>
        <w:rFonts w:ascii="Wingdings" w:hAnsi="Wingdings" w:hint="default"/>
      </w:r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1" w15:restartNumberingAfterBreak="0">
    <w:nsid w:val="014F6329"/>
    <w:multiLevelType w:val="hybridMultilevel"/>
    <w:tmpl w:val="C5865D8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B">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C64260"/>
    <w:multiLevelType w:val="hybridMultilevel"/>
    <w:tmpl w:val="EED647D4"/>
    <w:lvl w:ilvl="0" w:tplc="F3F250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980A3B"/>
    <w:multiLevelType w:val="hybridMultilevel"/>
    <w:tmpl w:val="5A9CB04A"/>
    <w:lvl w:ilvl="0" w:tplc="C0621ECC">
      <w:start w:val="1"/>
      <w:numFmt w:val="bullet"/>
      <w:lvlText w:val=""/>
      <w:lvlPicBulletId w:val="0"/>
      <w:lvlJc w:val="left"/>
      <w:pPr>
        <w:ind w:left="720" w:hanging="360"/>
      </w:pPr>
      <w:rPr>
        <w:rFonts w:ascii="Symbol" w:hAnsi="Symbol" w:hint="default"/>
      </w:rPr>
    </w:lvl>
    <w:lvl w:ilvl="1" w:tplc="04090007">
      <w:start w:val="1"/>
      <w:numFmt w:val="bullet"/>
      <w:lvlText w:val=""/>
      <w:lvlPicBulletId w:val="1"/>
      <w:lvlJc w:val="left"/>
      <w:pPr>
        <w:ind w:left="1440" w:hanging="360"/>
      </w:pPr>
      <w:rPr>
        <w:rFonts w:ascii="Symbol" w:hAnsi="Symbol" w:hint="default"/>
      </w:rPr>
    </w:lvl>
    <w:lvl w:ilvl="2" w:tplc="04090007">
      <w:start w:val="1"/>
      <w:numFmt w:val="bullet"/>
      <w:lvlText w:val=""/>
      <w:lvlPicBulletId w:val="1"/>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1F18F0"/>
    <w:multiLevelType w:val="hybridMultilevel"/>
    <w:tmpl w:val="C792DDDE"/>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811814"/>
    <w:multiLevelType w:val="hybridMultilevel"/>
    <w:tmpl w:val="C9AA1E3E"/>
    <w:lvl w:ilvl="0" w:tplc="04090007">
      <w:start w:val="1"/>
      <w:numFmt w:val="bullet"/>
      <w:lvlText w:val=""/>
      <w:lvlPicBulletId w:val="1"/>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8387C99"/>
    <w:multiLevelType w:val="hybridMultilevel"/>
    <w:tmpl w:val="DCF05C26"/>
    <w:lvl w:ilvl="0" w:tplc="C0621ECC">
      <w:start w:val="1"/>
      <w:numFmt w:val="bullet"/>
      <w:lvlText w:val=""/>
      <w:lvlPicBulletId w:val="0"/>
      <w:lvlJc w:val="left"/>
      <w:pPr>
        <w:ind w:left="360" w:hanging="360"/>
      </w:pPr>
      <w:rPr>
        <w:rFonts w:ascii="Symbol" w:hAnsi="Symbol" w:hint="default"/>
      </w:rPr>
    </w:lvl>
    <w:lvl w:ilvl="1" w:tplc="C0621ECC">
      <w:start w:val="1"/>
      <w:numFmt w:val="bullet"/>
      <w:lvlText w:val=""/>
      <w:lvlPicBulletId w:val="0"/>
      <w:lvlJc w:val="left"/>
      <w:pPr>
        <w:ind w:left="1080" w:hanging="360"/>
      </w:pPr>
      <w:rPr>
        <w:rFonts w:ascii="Symbol" w:hAnsi="Symbol" w:hint="default"/>
      </w:rPr>
    </w:lvl>
    <w:lvl w:ilvl="2" w:tplc="04090007">
      <w:start w:val="1"/>
      <w:numFmt w:val="bullet"/>
      <w:lvlText w:val=""/>
      <w:lvlPicBulletId w:val="1"/>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862391F"/>
    <w:multiLevelType w:val="hybridMultilevel"/>
    <w:tmpl w:val="357A106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AA10BE"/>
    <w:multiLevelType w:val="hybridMultilevel"/>
    <w:tmpl w:val="F2F2B256"/>
    <w:lvl w:ilvl="0" w:tplc="C0621ECC">
      <w:start w:val="1"/>
      <w:numFmt w:val="bullet"/>
      <w:lvlText w:val=""/>
      <w:lvlPicBulletId w:val="0"/>
      <w:lvlJc w:val="left"/>
      <w:pPr>
        <w:ind w:left="720" w:hanging="360"/>
      </w:pPr>
      <w:rPr>
        <w:rFonts w:ascii="Symbol" w:hAnsi="Symbol" w:hint="default"/>
      </w:rPr>
    </w:lvl>
    <w:lvl w:ilvl="1" w:tplc="04090007">
      <w:start w:val="1"/>
      <w:numFmt w:val="bullet"/>
      <w:lvlText w:val=""/>
      <w:lvlPicBulletId w:val="1"/>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95F3DC3"/>
    <w:multiLevelType w:val="hybridMultilevel"/>
    <w:tmpl w:val="5814710E"/>
    <w:lvl w:ilvl="0" w:tplc="C0621ECC">
      <w:start w:val="1"/>
      <w:numFmt w:val="bullet"/>
      <w:lvlText w:val=""/>
      <w:lvlPicBulletId w:val="0"/>
      <w:lvlJc w:val="left"/>
      <w:pPr>
        <w:ind w:left="360" w:hanging="360"/>
      </w:pPr>
      <w:rPr>
        <w:rFonts w:ascii="Symbol" w:hAnsi="Symbol" w:hint="default"/>
      </w:rPr>
    </w:lvl>
    <w:lvl w:ilvl="1" w:tplc="C0621ECC">
      <w:start w:val="1"/>
      <w:numFmt w:val="bullet"/>
      <w:lvlText w:val=""/>
      <w:lvlPicBulletId w:val="0"/>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AAB6F4A"/>
    <w:multiLevelType w:val="hybridMultilevel"/>
    <w:tmpl w:val="7062D06A"/>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B6D16F8"/>
    <w:multiLevelType w:val="hybridMultilevel"/>
    <w:tmpl w:val="94E47BA4"/>
    <w:lvl w:ilvl="0" w:tplc="04090015">
      <w:start w:val="1"/>
      <w:numFmt w:val="upperLetter"/>
      <w:lvlText w:val="%1."/>
      <w:lvlJc w:val="lef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DF5320A"/>
    <w:multiLevelType w:val="hybridMultilevel"/>
    <w:tmpl w:val="089EF526"/>
    <w:lvl w:ilvl="0" w:tplc="C0621ECC">
      <w:start w:val="1"/>
      <w:numFmt w:val="bullet"/>
      <w:lvlText w:val=""/>
      <w:lvlPicBulletId w:val="0"/>
      <w:lvlJc w:val="left"/>
      <w:pPr>
        <w:ind w:left="720" w:hanging="360"/>
      </w:pPr>
      <w:rPr>
        <w:rFonts w:ascii="Symbol" w:hAnsi="Symbol" w:hint="default"/>
      </w:rPr>
    </w:lvl>
    <w:lvl w:ilvl="1" w:tplc="C0621ECC">
      <w:start w:val="1"/>
      <w:numFmt w:val="bullet"/>
      <w:lvlText w:val=""/>
      <w:lvlPicBulletId w:val="0"/>
      <w:lvlJc w:val="left"/>
      <w:pPr>
        <w:ind w:left="1440" w:hanging="360"/>
      </w:pPr>
      <w:rPr>
        <w:rFonts w:ascii="Symbol" w:hAnsi="Symbol" w:hint="default"/>
      </w:rPr>
    </w:lvl>
    <w:lvl w:ilvl="2" w:tplc="04090007">
      <w:start w:val="1"/>
      <w:numFmt w:val="bullet"/>
      <w:lvlText w:val=""/>
      <w:lvlPicBulletId w:val="1"/>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F864D9A"/>
    <w:multiLevelType w:val="hybridMultilevel"/>
    <w:tmpl w:val="D584DB1C"/>
    <w:lvl w:ilvl="0" w:tplc="C0621ECC">
      <w:start w:val="1"/>
      <w:numFmt w:val="bullet"/>
      <w:lvlText w:val=""/>
      <w:lvlPicBulletId w:val="0"/>
      <w:lvlJc w:val="left"/>
      <w:pPr>
        <w:ind w:left="720" w:hanging="360"/>
      </w:pPr>
      <w:rPr>
        <w:rFonts w:ascii="Symbol" w:hAnsi="Symbol" w:hint="default"/>
      </w:rPr>
    </w:lvl>
    <w:lvl w:ilvl="1" w:tplc="04090007">
      <w:start w:val="1"/>
      <w:numFmt w:val="bullet"/>
      <w:lvlText w:val=""/>
      <w:lvlPicBulletId w:val="1"/>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3FF3F40"/>
    <w:multiLevelType w:val="hybridMultilevel"/>
    <w:tmpl w:val="67E2B3EA"/>
    <w:lvl w:ilvl="0" w:tplc="C0621ECC">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5B247B"/>
    <w:multiLevelType w:val="hybridMultilevel"/>
    <w:tmpl w:val="5A363A4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6334A72"/>
    <w:multiLevelType w:val="hybridMultilevel"/>
    <w:tmpl w:val="5210B60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6AD15E3"/>
    <w:multiLevelType w:val="multilevel"/>
    <w:tmpl w:val="7F4E37A2"/>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7391AF0"/>
    <w:multiLevelType w:val="hybridMultilevel"/>
    <w:tmpl w:val="4E78E4B8"/>
    <w:lvl w:ilvl="0" w:tplc="C0621ECC">
      <w:start w:val="1"/>
      <w:numFmt w:val="bullet"/>
      <w:lvlText w:val=""/>
      <w:lvlPicBulletId w:val="0"/>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1">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191B5C39"/>
    <w:multiLevelType w:val="hybridMultilevel"/>
    <w:tmpl w:val="72825BBE"/>
    <w:lvl w:ilvl="0" w:tplc="C0621ECC">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1B8F60F6"/>
    <w:multiLevelType w:val="hybridMultilevel"/>
    <w:tmpl w:val="2A0087BE"/>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1D782993"/>
    <w:multiLevelType w:val="hybridMultilevel"/>
    <w:tmpl w:val="16785E2A"/>
    <w:lvl w:ilvl="0" w:tplc="C0621ECC">
      <w:start w:val="1"/>
      <w:numFmt w:val="bullet"/>
      <w:lvlText w:val=""/>
      <w:lvlPicBulletId w:val="0"/>
      <w:lvlJc w:val="left"/>
      <w:pPr>
        <w:ind w:left="720" w:hanging="360"/>
      </w:pPr>
      <w:rPr>
        <w:rFonts w:ascii="Symbol" w:hAnsi="Symbol" w:hint="default"/>
      </w:rPr>
    </w:lvl>
    <w:lvl w:ilvl="1" w:tplc="C0621ECC">
      <w:start w:val="1"/>
      <w:numFmt w:val="bullet"/>
      <w:lvlText w:val=""/>
      <w:lvlPicBulletId w:val="0"/>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E391808"/>
    <w:multiLevelType w:val="hybridMultilevel"/>
    <w:tmpl w:val="7846A5B4"/>
    <w:lvl w:ilvl="0" w:tplc="C0621ECC">
      <w:start w:val="1"/>
      <w:numFmt w:val="bullet"/>
      <w:lvlText w:val=""/>
      <w:lvlPicBulletId w:val="0"/>
      <w:lvlJc w:val="left"/>
      <w:pPr>
        <w:ind w:left="1440" w:hanging="360"/>
      </w:pPr>
      <w:rPr>
        <w:rFonts w:ascii="Symbol" w:hAnsi="Symbol" w:hint="default"/>
      </w:rPr>
    </w:lvl>
    <w:lvl w:ilvl="1" w:tplc="C0621ECC">
      <w:start w:val="1"/>
      <w:numFmt w:val="bullet"/>
      <w:lvlText w:val=""/>
      <w:lvlPicBulletId w:val="0"/>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1F0B1CE5"/>
    <w:multiLevelType w:val="multilevel"/>
    <w:tmpl w:val="52526A24"/>
    <w:lvl w:ilvl="0">
      <w:start w:val="1"/>
      <w:numFmt w:val="bullet"/>
      <w:lvlText w:val=""/>
      <w:lvlJc w:val="left"/>
      <w:pPr>
        <w:tabs>
          <w:tab w:val="num" w:pos="1440"/>
        </w:tabs>
        <w:ind w:left="1440" w:hanging="360"/>
      </w:pPr>
      <w:rPr>
        <w:rFonts w:ascii="Wingdings" w:hAnsi="Wingdings" w:hint="default"/>
      </w:r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24" w15:restartNumberingAfterBreak="0">
    <w:nsid w:val="20BC10C6"/>
    <w:multiLevelType w:val="hybridMultilevel"/>
    <w:tmpl w:val="CCBAB5D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5" w15:restartNumberingAfterBreak="0">
    <w:nsid w:val="21DB0F04"/>
    <w:multiLevelType w:val="hybridMultilevel"/>
    <w:tmpl w:val="64D83E24"/>
    <w:lvl w:ilvl="0" w:tplc="F1A28608">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22FF45DD"/>
    <w:multiLevelType w:val="hybridMultilevel"/>
    <w:tmpl w:val="E3AE3870"/>
    <w:lvl w:ilvl="0" w:tplc="EBC221A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35F1BEA"/>
    <w:multiLevelType w:val="multilevel"/>
    <w:tmpl w:val="5748F1B0"/>
    <w:lvl w:ilvl="0">
      <w:start w:val="1"/>
      <w:numFmt w:val="bullet"/>
      <w:lvlText w:val=""/>
      <w:lvlPicBulletId w:val="1"/>
      <w:lvlJc w:val="left"/>
      <w:pPr>
        <w:tabs>
          <w:tab w:val="num" w:pos="1080"/>
        </w:tabs>
        <w:ind w:left="1080" w:hanging="360"/>
      </w:pPr>
      <w:rPr>
        <w:rFonts w:ascii="Symbol" w:hAnsi="Symbol" w:hint="default"/>
      </w:rPr>
    </w:lvl>
    <w:lvl w:ilvl="1">
      <w:start w:val="1"/>
      <w:numFmt w:val="bullet"/>
      <w:lvlText w:val=""/>
      <w:lvlJc w:val="left"/>
      <w:pPr>
        <w:tabs>
          <w:tab w:val="num" w:pos="1800"/>
        </w:tabs>
        <w:ind w:left="1800" w:hanging="360"/>
      </w:pPr>
      <w:rPr>
        <w:rFonts w:ascii="Symbol" w:hAnsi="Symbol" w:hint="default"/>
        <w:sz w:val="20"/>
      </w:rPr>
    </w:lvl>
    <w:lvl w:ilvl="2">
      <w:start w:val="1"/>
      <w:numFmt w:val="bullet"/>
      <w:lvlText w:val=""/>
      <w:lvlJc w:val="left"/>
      <w:pPr>
        <w:tabs>
          <w:tab w:val="num" w:pos="2520"/>
        </w:tabs>
        <w:ind w:left="2520" w:hanging="360"/>
      </w:pPr>
      <w:rPr>
        <w:rFonts w:ascii="Wingdings" w:hAnsi="Wingdings" w:hint="default"/>
        <w:sz w:val="20"/>
      </w:r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28" w15:restartNumberingAfterBreak="0">
    <w:nsid w:val="28946FC7"/>
    <w:multiLevelType w:val="hybridMultilevel"/>
    <w:tmpl w:val="E858246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8AB55B8"/>
    <w:multiLevelType w:val="hybridMultilevel"/>
    <w:tmpl w:val="6EECE10C"/>
    <w:lvl w:ilvl="0" w:tplc="8166AE3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92D5679"/>
    <w:multiLevelType w:val="hybridMultilevel"/>
    <w:tmpl w:val="5B764BEE"/>
    <w:lvl w:ilvl="0" w:tplc="7A162D6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9A843BC"/>
    <w:multiLevelType w:val="hybridMultilevel"/>
    <w:tmpl w:val="7EDC5C0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2B516B50"/>
    <w:multiLevelType w:val="hybridMultilevel"/>
    <w:tmpl w:val="51EADBFC"/>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D0F5FE9"/>
    <w:multiLevelType w:val="hybridMultilevel"/>
    <w:tmpl w:val="8B60706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D30488E"/>
    <w:multiLevelType w:val="hybridMultilevel"/>
    <w:tmpl w:val="746609CC"/>
    <w:lvl w:ilvl="0" w:tplc="F3F250F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DFE1DC0"/>
    <w:multiLevelType w:val="hybridMultilevel"/>
    <w:tmpl w:val="0F1ABCD4"/>
    <w:lvl w:ilvl="0" w:tplc="C0621ECC">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E3F5119"/>
    <w:multiLevelType w:val="hybridMultilevel"/>
    <w:tmpl w:val="0AC2056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14D1DF4"/>
    <w:multiLevelType w:val="hybridMultilevel"/>
    <w:tmpl w:val="C792DDDE"/>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1AC57CA"/>
    <w:multiLevelType w:val="hybridMultilevel"/>
    <w:tmpl w:val="615A4692"/>
    <w:lvl w:ilvl="0" w:tplc="C0621ECC">
      <w:start w:val="1"/>
      <w:numFmt w:val="bullet"/>
      <w:lvlText w:val=""/>
      <w:lvlPicBulletId w:val="0"/>
      <w:lvlJc w:val="left"/>
      <w:pPr>
        <w:ind w:left="720" w:hanging="360"/>
      </w:pPr>
      <w:rPr>
        <w:rFonts w:ascii="Symbol" w:hAnsi="Symbol" w:hint="default"/>
      </w:rPr>
    </w:lvl>
    <w:lvl w:ilvl="1" w:tplc="C0621ECC">
      <w:start w:val="1"/>
      <w:numFmt w:val="bullet"/>
      <w:lvlText w:val=""/>
      <w:lvlPicBulletId w:val="0"/>
      <w:lvlJc w:val="left"/>
      <w:pPr>
        <w:ind w:left="1440" w:hanging="360"/>
      </w:pPr>
      <w:rPr>
        <w:rFonts w:ascii="Symbol" w:hAnsi="Symbol" w:hint="default"/>
      </w:rPr>
    </w:lvl>
    <w:lvl w:ilvl="2" w:tplc="04090007">
      <w:start w:val="1"/>
      <w:numFmt w:val="bullet"/>
      <w:lvlText w:val=""/>
      <w:lvlPicBulletId w:val="1"/>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3B3217A"/>
    <w:multiLevelType w:val="hybridMultilevel"/>
    <w:tmpl w:val="FD9E1F6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4706E93"/>
    <w:multiLevelType w:val="hybridMultilevel"/>
    <w:tmpl w:val="8E2477C2"/>
    <w:lvl w:ilvl="0" w:tplc="D30E3E5A">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35652FD1"/>
    <w:multiLevelType w:val="hybridMultilevel"/>
    <w:tmpl w:val="DA8E3D42"/>
    <w:lvl w:ilvl="0" w:tplc="C0621ECC">
      <w:start w:val="1"/>
      <w:numFmt w:val="bullet"/>
      <w:lvlText w:val=""/>
      <w:lvlPicBulletId w:val="0"/>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C0621ECC">
      <w:start w:val="1"/>
      <w:numFmt w:val="bullet"/>
      <w:lvlText w:val=""/>
      <w:lvlPicBulletId w:val="0"/>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366A4846"/>
    <w:multiLevelType w:val="hybridMultilevel"/>
    <w:tmpl w:val="E180AF58"/>
    <w:lvl w:ilvl="0" w:tplc="C0621ECC">
      <w:start w:val="1"/>
      <w:numFmt w:val="bullet"/>
      <w:lvlText w:val=""/>
      <w:lvlPicBulletId w:val="0"/>
      <w:lvlJc w:val="left"/>
      <w:pPr>
        <w:ind w:left="360" w:hanging="360"/>
      </w:pPr>
      <w:rPr>
        <w:rFonts w:ascii="Symbol" w:hAnsi="Symbol" w:hint="default"/>
      </w:rPr>
    </w:lvl>
    <w:lvl w:ilvl="1" w:tplc="C0621ECC">
      <w:start w:val="1"/>
      <w:numFmt w:val="bullet"/>
      <w:lvlText w:val=""/>
      <w:lvlPicBulletId w:val="0"/>
      <w:lvlJc w:val="left"/>
      <w:pPr>
        <w:ind w:left="1080" w:hanging="360"/>
      </w:pPr>
      <w:rPr>
        <w:rFonts w:ascii="Symbol" w:hAnsi="Symbol" w:hint="default"/>
      </w:rPr>
    </w:lvl>
    <w:lvl w:ilvl="2" w:tplc="04090007">
      <w:start w:val="1"/>
      <w:numFmt w:val="bullet"/>
      <w:lvlText w:val=""/>
      <w:lvlPicBulletId w:val="1"/>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36965F05"/>
    <w:multiLevelType w:val="hybridMultilevel"/>
    <w:tmpl w:val="C2BE96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36C30B2E"/>
    <w:multiLevelType w:val="hybridMultilevel"/>
    <w:tmpl w:val="07B85700"/>
    <w:lvl w:ilvl="0" w:tplc="04090007">
      <w:start w:val="1"/>
      <w:numFmt w:val="bullet"/>
      <w:lvlText w:val=""/>
      <w:lvlPicBulletId w:val="1"/>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3D8444A0"/>
    <w:multiLevelType w:val="hybridMultilevel"/>
    <w:tmpl w:val="D6F05F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E2148CC"/>
    <w:multiLevelType w:val="hybridMultilevel"/>
    <w:tmpl w:val="DDDE0B26"/>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B">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F154CCF"/>
    <w:multiLevelType w:val="hybridMultilevel"/>
    <w:tmpl w:val="EF8C71AC"/>
    <w:lvl w:ilvl="0" w:tplc="C0621ECC">
      <w:start w:val="1"/>
      <w:numFmt w:val="bullet"/>
      <w:lvlText w:val=""/>
      <w:lvlPicBulletId w:val="0"/>
      <w:lvlJc w:val="left"/>
      <w:pPr>
        <w:ind w:left="360" w:hanging="360"/>
      </w:pPr>
      <w:rPr>
        <w:rFonts w:ascii="Symbol" w:hAnsi="Symbol" w:hint="default"/>
      </w:rPr>
    </w:lvl>
    <w:lvl w:ilvl="1" w:tplc="C0621ECC">
      <w:start w:val="1"/>
      <w:numFmt w:val="bullet"/>
      <w:lvlText w:val=""/>
      <w:lvlPicBulletId w:val="0"/>
      <w:lvlJc w:val="left"/>
      <w:pPr>
        <w:ind w:left="1080" w:hanging="360"/>
      </w:pPr>
      <w:rPr>
        <w:rFonts w:ascii="Symbol" w:hAnsi="Symbol" w:hint="default"/>
      </w:rPr>
    </w:lvl>
    <w:lvl w:ilvl="2" w:tplc="04090007">
      <w:start w:val="1"/>
      <w:numFmt w:val="bullet"/>
      <w:lvlText w:val=""/>
      <w:lvlPicBulletId w:val="1"/>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42050637"/>
    <w:multiLevelType w:val="hybridMultilevel"/>
    <w:tmpl w:val="142E70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3816E63"/>
    <w:multiLevelType w:val="hybridMultilevel"/>
    <w:tmpl w:val="645A6FBA"/>
    <w:lvl w:ilvl="0" w:tplc="04090007">
      <w:start w:val="1"/>
      <w:numFmt w:val="bullet"/>
      <w:lvlText w:val=""/>
      <w:lvlPicBulletId w:val="1"/>
      <w:lvlJc w:val="left"/>
      <w:pPr>
        <w:ind w:left="720" w:hanging="360"/>
      </w:pPr>
      <w:rPr>
        <w:rFonts w:ascii="Symbol" w:hAnsi="Symbol" w:hint="default"/>
      </w:rPr>
    </w:lvl>
    <w:lvl w:ilvl="1" w:tplc="04090009">
      <w:start w:val="1"/>
      <w:numFmt w:val="bullet"/>
      <w:lvlText w:val=""/>
      <w:lvlJc w:val="left"/>
      <w:pPr>
        <w:ind w:left="1440" w:hanging="360"/>
      </w:pPr>
      <w:rPr>
        <w:rFonts w:ascii="Wingdings" w:hAnsi="Wingdings"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4884720"/>
    <w:multiLevelType w:val="hybridMultilevel"/>
    <w:tmpl w:val="8CB0A352"/>
    <w:lvl w:ilvl="0" w:tplc="C0621ECC">
      <w:start w:val="1"/>
      <w:numFmt w:val="bullet"/>
      <w:lvlText w:val=""/>
      <w:lvlPicBulletId w:val="0"/>
      <w:lvlJc w:val="left"/>
      <w:pPr>
        <w:ind w:left="360" w:hanging="360"/>
      </w:pPr>
      <w:rPr>
        <w:rFonts w:ascii="Symbol" w:hAnsi="Symbol" w:hint="default"/>
      </w:rPr>
    </w:lvl>
    <w:lvl w:ilvl="1" w:tplc="C0621ECC">
      <w:start w:val="1"/>
      <w:numFmt w:val="bullet"/>
      <w:lvlText w:val=""/>
      <w:lvlPicBulletId w:val="0"/>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1" w15:restartNumberingAfterBreak="0">
    <w:nsid w:val="4BC209C0"/>
    <w:multiLevelType w:val="multilevel"/>
    <w:tmpl w:val="885A5A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F84329B"/>
    <w:multiLevelType w:val="hybridMultilevel"/>
    <w:tmpl w:val="91248D6C"/>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FA06AEA"/>
    <w:multiLevelType w:val="hybridMultilevel"/>
    <w:tmpl w:val="E5B27C9A"/>
    <w:lvl w:ilvl="0" w:tplc="1B3890A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FAC4D4A"/>
    <w:multiLevelType w:val="hybridMultilevel"/>
    <w:tmpl w:val="8BE65F64"/>
    <w:lvl w:ilvl="0" w:tplc="04090007">
      <w:start w:val="1"/>
      <w:numFmt w:val="bullet"/>
      <w:lvlText w:val=""/>
      <w:lvlPicBulletId w:val="1"/>
      <w:lvlJc w:val="left"/>
      <w:pPr>
        <w:ind w:left="720" w:hanging="360"/>
      </w:pPr>
      <w:rPr>
        <w:rFonts w:ascii="Symbol" w:hAnsi="Symbol" w:hint="default"/>
      </w:rPr>
    </w:lvl>
    <w:lvl w:ilvl="1" w:tplc="04090007">
      <w:start w:val="1"/>
      <w:numFmt w:val="bullet"/>
      <w:lvlText w:val=""/>
      <w:lvlPicBulletId w:val="1"/>
      <w:lvlJc w:val="left"/>
      <w:pPr>
        <w:ind w:left="1440" w:hanging="360"/>
      </w:pPr>
      <w:rPr>
        <w:rFonts w:ascii="Symbol" w:hAnsi="Symbol" w:hint="default"/>
      </w:rPr>
    </w:lvl>
    <w:lvl w:ilvl="2" w:tplc="04090007">
      <w:start w:val="1"/>
      <w:numFmt w:val="bullet"/>
      <w:lvlText w:val=""/>
      <w:lvlPicBulletId w:val="1"/>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12C3BD2"/>
    <w:multiLevelType w:val="hybridMultilevel"/>
    <w:tmpl w:val="3722A17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15:restartNumberingAfterBreak="0">
    <w:nsid w:val="51F91295"/>
    <w:multiLevelType w:val="hybridMultilevel"/>
    <w:tmpl w:val="FE80418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3E06E2C"/>
    <w:multiLevelType w:val="hybridMultilevel"/>
    <w:tmpl w:val="DCBCACA4"/>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6EA0B34"/>
    <w:multiLevelType w:val="hybridMultilevel"/>
    <w:tmpl w:val="0722160A"/>
    <w:lvl w:ilvl="0" w:tplc="87147C68">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80E4960"/>
    <w:multiLevelType w:val="hybridMultilevel"/>
    <w:tmpl w:val="6A2E08AC"/>
    <w:lvl w:ilvl="0" w:tplc="C0621ECC">
      <w:start w:val="1"/>
      <w:numFmt w:val="bullet"/>
      <w:lvlText w:val=""/>
      <w:lvlPicBulletId w:val="0"/>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83700AD"/>
    <w:multiLevelType w:val="hybridMultilevel"/>
    <w:tmpl w:val="242AD3D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8FA2603"/>
    <w:multiLevelType w:val="hybridMultilevel"/>
    <w:tmpl w:val="957C422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5B8F33F8"/>
    <w:multiLevelType w:val="hybridMultilevel"/>
    <w:tmpl w:val="4830EC58"/>
    <w:lvl w:ilvl="0" w:tplc="DC7C1A78">
      <w:start w:val="1"/>
      <w:numFmt w:val="decimal"/>
      <w:lvlText w:val="%1."/>
      <w:lvlJc w:val="left"/>
      <w:pPr>
        <w:ind w:left="360" w:hanging="360"/>
      </w:pPr>
    </w:lvl>
    <w:lvl w:ilvl="1" w:tplc="20D28D0A">
      <w:start w:val="1"/>
      <w:numFmt w:val="lowerLetter"/>
      <w:pStyle w:val="Heading4"/>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5BC025E7"/>
    <w:multiLevelType w:val="hybridMultilevel"/>
    <w:tmpl w:val="B5C00028"/>
    <w:lvl w:ilvl="0" w:tplc="37F646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BC72FC6"/>
    <w:multiLevelType w:val="multilevel"/>
    <w:tmpl w:val="B92A2E7C"/>
    <w:lvl w:ilvl="0">
      <w:start w:val="1"/>
      <w:numFmt w:val="bullet"/>
      <w:lvlText w:val=""/>
      <w:lvlPicBulletId w:val="0"/>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5" w15:restartNumberingAfterBreak="0">
    <w:nsid w:val="5C591D63"/>
    <w:multiLevelType w:val="hybridMultilevel"/>
    <w:tmpl w:val="2EBA0D96"/>
    <w:lvl w:ilvl="0" w:tplc="19E251B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C9F0222"/>
    <w:multiLevelType w:val="hybridMultilevel"/>
    <w:tmpl w:val="AB5441C8"/>
    <w:lvl w:ilvl="0" w:tplc="C0621ECC">
      <w:start w:val="1"/>
      <w:numFmt w:val="bullet"/>
      <w:lvlText w:val=""/>
      <w:lvlPicBulletId w:val="0"/>
      <w:lvlJc w:val="left"/>
      <w:pPr>
        <w:ind w:left="720" w:hanging="360"/>
      </w:pPr>
      <w:rPr>
        <w:rFonts w:ascii="Symbol" w:hAnsi="Symbol" w:hint="default"/>
      </w:rPr>
    </w:lvl>
    <w:lvl w:ilvl="1" w:tplc="C0621ECC">
      <w:start w:val="1"/>
      <w:numFmt w:val="bullet"/>
      <w:lvlText w:val=""/>
      <w:lvlPicBulletId w:val="0"/>
      <w:lvlJc w:val="left"/>
      <w:pPr>
        <w:ind w:left="1440" w:hanging="360"/>
      </w:pPr>
      <w:rPr>
        <w:rFonts w:ascii="Symbol" w:hAnsi="Symbol" w:hint="default"/>
      </w:rPr>
    </w:lvl>
    <w:lvl w:ilvl="2" w:tplc="C0621ECC">
      <w:start w:val="1"/>
      <w:numFmt w:val="bullet"/>
      <w:lvlText w:val=""/>
      <w:lvlPicBulletId w:val="0"/>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CD93EB1"/>
    <w:multiLevelType w:val="hybridMultilevel"/>
    <w:tmpl w:val="D4740886"/>
    <w:lvl w:ilvl="0" w:tplc="C0621ECC">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E1359DD"/>
    <w:multiLevelType w:val="hybridMultilevel"/>
    <w:tmpl w:val="870E8716"/>
    <w:lvl w:ilvl="0" w:tplc="0409000F">
      <w:start w:val="1"/>
      <w:numFmt w:val="decimal"/>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635B6BED"/>
    <w:multiLevelType w:val="hybridMultilevel"/>
    <w:tmpl w:val="69626BDE"/>
    <w:lvl w:ilvl="0" w:tplc="C0621ECC">
      <w:start w:val="1"/>
      <w:numFmt w:val="bullet"/>
      <w:lvlText w:val=""/>
      <w:lvlPicBulletId w:val="0"/>
      <w:lvlJc w:val="left"/>
      <w:pPr>
        <w:ind w:left="360" w:hanging="360"/>
      </w:pPr>
      <w:rPr>
        <w:rFonts w:ascii="Symbol" w:hAnsi="Symbol" w:hint="default"/>
      </w:rPr>
    </w:lvl>
    <w:lvl w:ilvl="1" w:tplc="C0621ECC">
      <w:start w:val="1"/>
      <w:numFmt w:val="bullet"/>
      <w:lvlText w:val=""/>
      <w:lvlPicBulletId w:val="0"/>
      <w:lvlJc w:val="left"/>
      <w:pPr>
        <w:ind w:left="1080" w:hanging="360"/>
      </w:pPr>
      <w:rPr>
        <w:rFonts w:ascii="Symbol" w:hAnsi="Symbol" w:hint="default"/>
      </w:rPr>
    </w:lvl>
    <w:lvl w:ilvl="2" w:tplc="04090007">
      <w:start w:val="1"/>
      <w:numFmt w:val="bullet"/>
      <w:lvlText w:val=""/>
      <w:lvlPicBulletId w:val="1"/>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63E10D99"/>
    <w:multiLevelType w:val="hybridMultilevel"/>
    <w:tmpl w:val="D03E802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4293C2A"/>
    <w:multiLevelType w:val="hybridMultilevel"/>
    <w:tmpl w:val="0CCC532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655D6568"/>
    <w:multiLevelType w:val="hybridMultilevel"/>
    <w:tmpl w:val="DD70D3CC"/>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B">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592649F"/>
    <w:multiLevelType w:val="hybridMultilevel"/>
    <w:tmpl w:val="B7748404"/>
    <w:lvl w:ilvl="0" w:tplc="C0621ECC">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67212538"/>
    <w:multiLevelType w:val="hybridMultilevel"/>
    <w:tmpl w:val="DA56CBF8"/>
    <w:lvl w:ilvl="0" w:tplc="04090009">
      <w:start w:val="1"/>
      <w:numFmt w:val="bullet"/>
      <w:lvlText w:val=""/>
      <w:lvlJc w:val="left"/>
      <w:pPr>
        <w:ind w:left="1440" w:hanging="360"/>
      </w:pPr>
      <w:rPr>
        <w:rFonts w:ascii="Wingdings" w:hAnsi="Wingdings"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15:restartNumberingAfterBreak="0">
    <w:nsid w:val="68B82FE9"/>
    <w:multiLevelType w:val="hybridMultilevel"/>
    <w:tmpl w:val="67E42E14"/>
    <w:lvl w:ilvl="0" w:tplc="C0621ECC">
      <w:start w:val="1"/>
      <w:numFmt w:val="bullet"/>
      <w:lvlText w:val=""/>
      <w:lvlPicBulletId w:val="0"/>
      <w:lvlJc w:val="left"/>
      <w:pPr>
        <w:ind w:left="360" w:hanging="360"/>
      </w:pPr>
      <w:rPr>
        <w:rFonts w:ascii="Symbol" w:hAnsi="Symbol" w:hint="default"/>
      </w:rPr>
    </w:lvl>
    <w:lvl w:ilvl="1" w:tplc="C0621ECC">
      <w:start w:val="1"/>
      <w:numFmt w:val="bullet"/>
      <w:lvlText w:val=""/>
      <w:lvlPicBulletId w:val="0"/>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6A4B0472"/>
    <w:multiLevelType w:val="hybridMultilevel"/>
    <w:tmpl w:val="786A14BC"/>
    <w:lvl w:ilvl="0" w:tplc="C0621ECC">
      <w:start w:val="1"/>
      <w:numFmt w:val="bullet"/>
      <w:lvlText w:val=""/>
      <w:lvlPicBulletId w:val="0"/>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1">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6A9D583C"/>
    <w:multiLevelType w:val="hybridMultilevel"/>
    <w:tmpl w:val="92823148"/>
    <w:lvl w:ilvl="0" w:tplc="C0621ECC">
      <w:start w:val="1"/>
      <w:numFmt w:val="bullet"/>
      <w:lvlText w:val=""/>
      <w:lvlPicBulletId w:val="0"/>
      <w:lvlJc w:val="left"/>
      <w:pPr>
        <w:ind w:left="360" w:hanging="360"/>
      </w:pPr>
      <w:rPr>
        <w:rFonts w:ascii="Symbol" w:hAnsi="Symbol" w:hint="default"/>
      </w:rPr>
    </w:lvl>
    <w:lvl w:ilvl="1" w:tplc="C0621ECC">
      <w:start w:val="1"/>
      <w:numFmt w:val="bullet"/>
      <w:lvlText w:val=""/>
      <w:lvlPicBulletId w:val="0"/>
      <w:lvlJc w:val="left"/>
      <w:pPr>
        <w:ind w:left="1080" w:hanging="360"/>
      </w:pPr>
      <w:rPr>
        <w:rFonts w:ascii="Symbol" w:hAnsi="Symbol" w:hint="default"/>
      </w:rPr>
    </w:lvl>
    <w:lvl w:ilvl="2" w:tplc="04090007">
      <w:start w:val="1"/>
      <w:numFmt w:val="bullet"/>
      <w:lvlText w:val=""/>
      <w:lvlPicBulletId w:val="1"/>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6CB11221"/>
    <w:multiLevelType w:val="hybridMultilevel"/>
    <w:tmpl w:val="437C455A"/>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9" w15:restartNumberingAfterBreak="0">
    <w:nsid w:val="6DD54FB2"/>
    <w:multiLevelType w:val="multilevel"/>
    <w:tmpl w:val="86E475A6"/>
    <w:lvl w:ilvl="0">
      <w:start w:val="1"/>
      <w:numFmt w:val="bullet"/>
      <w:lvlText w:val=""/>
      <w:lvlPicBulletId w:val="1"/>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6F782F57"/>
    <w:multiLevelType w:val="hybridMultilevel"/>
    <w:tmpl w:val="CCBAB5D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81" w15:restartNumberingAfterBreak="0">
    <w:nsid w:val="6FEC11CA"/>
    <w:multiLevelType w:val="hybridMultilevel"/>
    <w:tmpl w:val="97D65376"/>
    <w:lvl w:ilvl="0" w:tplc="C0621ECC">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FFE38B4"/>
    <w:multiLevelType w:val="multilevel"/>
    <w:tmpl w:val="36B66DFC"/>
    <w:lvl w:ilvl="0">
      <w:start w:val="1"/>
      <w:numFmt w:val="bullet"/>
      <w:lvlText w:val=""/>
      <w:lvlPicBulletId w:val="1"/>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7028748A"/>
    <w:multiLevelType w:val="hybridMultilevel"/>
    <w:tmpl w:val="382AFCB8"/>
    <w:lvl w:ilvl="0" w:tplc="C0621ECC">
      <w:start w:val="1"/>
      <w:numFmt w:val="bullet"/>
      <w:lvlText w:val=""/>
      <w:lvlPicBulletId w:val="0"/>
      <w:lvlJc w:val="left"/>
      <w:pPr>
        <w:ind w:left="360" w:hanging="360"/>
      </w:pPr>
      <w:rPr>
        <w:rFonts w:ascii="Symbol" w:hAnsi="Symbol" w:hint="default"/>
      </w:rPr>
    </w:lvl>
    <w:lvl w:ilvl="1" w:tplc="C0621ECC">
      <w:start w:val="1"/>
      <w:numFmt w:val="bullet"/>
      <w:lvlText w:val=""/>
      <w:lvlPicBulletId w:val="0"/>
      <w:lvlJc w:val="left"/>
      <w:pPr>
        <w:ind w:left="1080" w:hanging="360"/>
      </w:pPr>
      <w:rPr>
        <w:rFonts w:ascii="Symbol" w:hAnsi="Symbol" w:hint="default"/>
      </w:rPr>
    </w:lvl>
    <w:lvl w:ilvl="2" w:tplc="C0621ECC">
      <w:start w:val="1"/>
      <w:numFmt w:val="bullet"/>
      <w:lvlText w:val=""/>
      <w:lvlPicBulletId w:val="0"/>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71813FD1"/>
    <w:multiLevelType w:val="hybridMultilevel"/>
    <w:tmpl w:val="0208427C"/>
    <w:lvl w:ilvl="0" w:tplc="04090007">
      <w:start w:val="1"/>
      <w:numFmt w:val="bullet"/>
      <w:lvlText w:val=""/>
      <w:lvlPicBulletId w:val="1"/>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5" w15:restartNumberingAfterBreak="0">
    <w:nsid w:val="72B4385E"/>
    <w:multiLevelType w:val="hybridMultilevel"/>
    <w:tmpl w:val="796ECE3E"/>
    <w:lvl w:ilvl="0" w:tplc="C0621ECC">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56E3E3A"/>
    <w:multiLevelType w:val="hybridMultilevel"/>
    <w:tmpl w:val="15C47B20"/>
    <w:lvl w:ilvl="0" w:tplc="C0621ECC">
      <w:start w:val="1"/>
      <w:numFmt w:val="bullet"/>
      <w:lvlText w:val=""/>
      <w:lvlPicBulletId w:val="0"/>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1">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787B4D42"/>
    <w:multiLevelType w:val="hybridMultilevel"/>
    <w:tmpl w:val="FD1E01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92C5DFD"/>
    <w:multiLevelType w:val="hybridMultilevel"/>
    <w:tmpl w:val="E8FA593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AFB4597"/>
    <w:multiLevelType w:val="multilevel"/>
    <w:tmpl w:val="927E6790"/>
    <w:lvl w:ilvl="0">
      <w:start w:val="1"/>
      <w:numFmt w:val="bullet"/>
      <w:lvlText w:val=""/>
      <w:lvlPicBulletId w:val="0"/>
      <w:lvlJc w:val="left"/>
      <w:pPr>
        <w:tabs>
          <w:tab w:val="num" w:pos="0"/>
        </w:tabs>
        <w:ind w:left="0" w:hanging="360"/>
      </w:pPr>
      <w:rPr>
        <w:rFonts w:ascii="Symbol" w:hAnsi="Symbol" w:hint="default"/>
      </w:rPr>
    </w:lvl>
    <w:lvl w:ilvl="1">
      <w:start w:val="1"/>
      <w:numFmt w:val="bullet"/>
      <w:lvlText w:val="o"/>
      <w:lvlJc w:val="left"/>
      <w:pPr>
        <w:tabs>
          <w:tab w:val="num" w:pos="720"/>
        </w:tabs>
        <w:ind w:left="720" w:hanging="360"/>
      </w:pPr>
      <w:rPr>
        <w:rFonts w:ascii="Courier New" w:hAnsi="Courier New" w:hint="default"/>
        <w:sz w:val="20"/>
      </w:rPr>
    </w:lvl>
    <w:lvl w:ilvl="2" w:tentative="1">
      <w:start w:val="1"/>
      <w:numFmt w:val="decimal"/>
      <w:lvlText w:val="%3."/>
      <w:lvlJc w:val="left"/>
      <w:pPr>
        <w:tabs>
          <w:tab w:val="num" w:pos="1440"/>
        </w:tabs>
        <w:ind w:left="1440" w:hanging="360"/>
      </w:p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90" w15:restartNumberingAfterBreak="0">
    <w:nsid w:val="7B872B83"/>
    <w:multiLevelType w:val="hybridMultilevel"/>
    <w:tmpl w:val="C9B22A56"/>
    <w:lvl w:ilvl="0" w:tplc="04090015">
      <w:start w:val="1"/>
      <w:numFmt w:val="upperLetter"/>
      <w:lvlText w:val="%1."/>
      <w:lvlJc w:val="lef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2"/>
  </w:num>
  <w:num w:numId="2">
    <w:abstractNumId w:val="88"/>
  </w:num>
  <w:num w:numId="3">
    <w:abstractNumId w:val="80"/>
  </w:num>
  <w:num w:numId="4">
    <w:abstractNumId w:val="60"/>
  </w:num>
  <w:num w:numId="5">
    <w:abstractNumId w:val="89"/>
  </w:num>
  <w:num w:numId="6">
    <w:abstractNumId w:val="27"/>
  </w:num>
  <w:num w:numId="7">
    <w:abstractNumId w:val="79"/>
  </w:num>
  <w:num w:numId="8">
    <w:abstractNumId w:val="64"/>
  </w:num>
  <w:num w:numId="9">
    <w:abstractNumId w:val="73"/>
  </w:num>
  <w:num w:numId="10">
    <w:abstractNumId w:val="49"/>
  </w:num>
  <w:num w:numId="11">
    <w:abstractNumId w:val="5"/>
  </w:num>
  <w:num w:numId="12">
    <w:abstractNumId w:val="0"/>
  </w:num>
  <w:num w:numId="13">
    <w:abstractNumId w:val="23"/>
  </w:num>
  <w:num w:numId="14">
    <w:abstractNumId w:val="84"/>
  </w:num>
  <w:num w:numId="15">
    <w:abstractNumId w:val="74"/>
  </w:num>
  <w:num w:numId="16">
    <w:abstractNumId w:val="44"/>
  </w:num>
  <w:num w:numId="17">
    <w:abstractNumId w:val="82"/>
  </w:num>
  <w:num w:numId="18">
    <w:abstractNumId w:val="85"/>
  </w:num>
  <w:num w:numId="19">
    <w:abstractNumId w:val="51"/>
  </w:num>
  <w:num w:numId="20">
    <w:abstractNumId w:val="17"/>
  </w:num>
  <w:num w:numId="21">
    <w:abstractNumId w:val="34"/>
  </w:num>
  <w:num w:numId="22">
    <w:abstractNumId w:val="53"/>
  </w:num>
  <w:num w:numId="23">
    <w:abstractNumId w:val="38"/>
  </w:num>
  <w:num w:numId="24">
    <w:abstractNumId w:val="3"/>
  </w:num>
  <w:num w:numId="25">
    <w:abstractNumId w:val="54"/>
  </w:num>
  <w:num w:numId="26">
    <w:abstractNumId w:val="42"/>
  </w:num>
  <w:num w:numId="27">
    <w:abstractNumId w:val="77"/>
  </w:num>
  <w:num w:numId="28">
    <w:abstractNumId w:val="47"/>
  </w:num>
  <w:num w:numId="29">
    <w:abstractNumId w:val="69"/>
  </w:num>
  <w:num w:numId="30">
    <w:abstractNumId w:val="6"/>
  </w:num>
  <w:num w:numId="31">
    <w:abstractNumId w:val="19"/>
  </w:num>
  <w:num w:numId="32">
    <w:abstractNumId w:val="81"/>
  </w:num>
  <w:num w:numId="33">
    <w:abstractNumId w:val="66"/>
  </w:num>
  <w:num w:numId="34">
    <w:abstractNumId w:val="65"/>
  </w:num>
  <w:num w:numId="35">
    <w:abstractNumId w:val="2"/>
  </w:num>
  <w:num w:numId="36">
    <w:abstractNumId w:val="22"/>
  </w:num>
  <w:num w:numId="37">
    <w:abstractNumId w:val="50"/>
  </w:num>
  <w:num w:numId="38">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8"/>
  </w:num>
  <w:num w:numId="40">
    <w:abstractNumId w:val="63"/>
  </w:num>
  <w:num w:numId="41">
    <w:abstractNumId w:val="31"/>
  </w:num>
  <w:num w:numId="42">
    <w:abstractNumId w:val="28"/>
  </w:num>
  <w:num w:numId="43">
    <w:abstractNumId w:val="90"/>
  </w:num>
  <w:num w:numId="44">
    <w:abstractNumId w:val="11"/>
  </w:num>
  <w:num w:numId="45">
    <w:abstractNumId w:val="72"/>
  </w:num>
  <w:num w:numId="46">
    <w:abstractNumId w:val="57"/>
  </w:num>
  <w:num w:numId="47">
    <w:abstractNumId w:val="1"/>
  </w:num>
  <w:num w:numId="48">
    <w:abstractNumId w:val="32"/>
  </w:num>
  <w:num w:numId="49">
    <w:abstractNumId w:val="46"/>
  </w:num>
  <w:num w:numId="50">
    <w:abstractNumId w:val="10"/>
  </w:num>
  <w:num w:numId="51">
    <w:abstractNumId w:val="16"/>
  </w:num>
  <w:num w:numId="52">
    <w:abstractNumId w:val="39"/>
  </w:num>
  <w:num w:numId="53">
    <w:abstractNumId w:val="33"/>
  </w:num>
  <w:num w:numId="54">
    <w:abstractNumId w:val="15"/>
  </w:num>
  <w:num w:numId="55">
    <w:abstractNumId w:val="58"/>
  </w:num>
  <w:num w:numId="56">
    <w:abstractNumId w:val="7"/>
  </w:num>
  <w:num w:numId="57">
    <w:abstractNumId w:val="56"/>
  </w:num>
  <w:num w:numId="58">
    <w:abstractNumId w:val="36"/>
  </w:num>
  <w:num w:numId="59">
    <w:abstractNumId w:val="70"/>
  </w:num>
  <w:num w:numId="60">
    <w:abstractNumId w:val="41"/>
  </w:num>
  <w:num w:numId="61">
    <w:abstractNumId w:val="9"/>
  </w:num>
  <w:num w:numId="62">
    <w:abstractNumId w:val="68"/>
  </w:num>
  <w:num w:numId="63">
    <w:abstractNumId w:val="76"/>
  </w:num>
  <w:num w:numId="64">
    <w:abstractNumId w:val="18"/>
  </w:num>
  <w:num w:numId="65">
    <w:abstractNumId w:val="86"/>
  </w:num>
  <w:num w:numId="66">
    <w:abstractNumId w:val="37"/>
  </w:num>
  <w:num w:numId="67">
    <w:abstractNumId w:val="20"/>
  </w:num>
  <w:num w:numId="68">
    <w:abstractNumId w:val="71"/>
  </w:num>
  <w:num w:numId="69">
    <w:abstractNumId w:val="67"/>
  </w:num>
  <w:num w:numId="70">
    <w:abstractNumId w:val="40"/>
  </w:num>
  <w:num w:numId="71">
    <w:abstractNumId w:val="21"/>
  </w:num>
  <w:num w:numId="72">
    <w:abstractNumId w:val="59"/>
  </w:num>
  <w:num w:numId="73">
    <w:abstractNumId w:val="35"/>
  </w:num>
  <w:num w:numId="74">
    <w:abstractNumId w:val="14"/>
  </w:num>
  <w:num w:numId="75">
    <w:abstractNumId w:val="24"/>
  </w:num>
  <w:num w:numId="76">
    <w:abstractNumId w:val="29"/>
  </w:num>
  <w:num w:numId="77">
    <w:abstractNumId w:val="83"/>
  </w:num>
  <w:num w:numId="78">
    <w:abstractNumId w:val="75"/>
  </w:num>
  <w:num w:numId="79">
    <w:abstractNumId w:val="43"/>
  </w:num>
  <w:num w:numId="80">
    <w:abstractNumId w:val="87"/>
  </w:num>
  <w:num w:numId="81">
    <w:abstractNumId w:val="45"/>
  </w:num>
  <w:num w:numId="82">
    <w:abstractNumId w:val="55"/>
  </w:num>
  <w:num w:numId="83">
    <w:abstractNumId w:val="25"/>
  </w:num>
  <w:num w:numId="84">
    <w:abstractNumId w:val="13"/>
  </w:num>
  <w:num w:numId="85">
    <w:abstractNumId w:val="30"/>
  </w:num>
  <w:num w:numId="86">
    <w:abstractNumId w:val="26"/>
  </w:num>
  <w:num w:numId="87">
    <w:abstractNumId w:val="48"/>
  </w:num>
  <w:num w:numId="88">
    <w:abstractNumId w:val="52"/>
  </w:num>
  <w:num w:numId="89">
    <w:abstractNumId w:val="61"/>
  </w:num>
  <w:num w:numId="90">
    <w:abstractNumId w:val="4"/>
  </w:num>
  <w:num w:numId="91">
    <w:abstractNumId w:val="12"/>
  </w:num>
  <w:num w:numId="92">
    <w:abstractNumId w:val="8"/>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0780"/>
    <w:rsid w:val="00000FDA"/>
    <w:rsid w:val="00003FA7"/>
    <w:rsid w:val="0000465C"/>
    <w:rsid w:val="00005E52"/>
    <w:rsid w:val="00005F61"/>
    <w:rsid w:val="00012E29"/>
    <w:rsid w:val="00017AD6"/>
    <w:rsid w:val="0002451B"/>
    <w:rsid w:val="000279AE"/>
    <w:rsid w:val="00035CD7"/>
    <w:rsid w:val="00040C0F"/>
    <w:rsid w:val="000456A1"/>
    <w:rsid w:val="000511C8"/>
    <w:rsid w:val="0005282F"/>
    <w:rsid w:val="00056D27"/>
    <w:rsid w:val="00070117"/>
    <w:rsid w:val="00073538"/>
    <w:rsid w:val="00073B3B"/>
    <w:rsid w:val="00074EAF"/>
    <w:rsid w:val="00077320"/>
    <w:rsid w:val="0008173C"/>
    <w:rsid w:val="00081CAE"/>
    <w:rsid w:val="00087821"/>
    <w:rsid w:val="0009480B"/>
    <w:rsid w:val="000970CC"/>
    <w:rsid w:val="00097263"/>
    <w:rsid w:val="000979B0"/>
    <w:rsid w:val="000A0F47"/>
    <w:rsid w:val="000A47EA"/>
    <w:rsid w:val="000B0F57"/>
    <w:rsid w:val="000B1991"/>
    <w:rsid w:val="000B2324"/>
    <w:rsid w:val="000B47C1"/>
    <w:rsid w:val="000B6F13"/>
    <w:rsid w:val="000C22F0"/>
    <w:rsid w:val="000C3282"/>
    <w:rsid w:val="000C3E8A"/>
    <w:rsid w:val="000C5373"/>
    <w:rsid w:val="000D1A25"/>
    <w:rsid w:val="000D29B0"/>
    <w:rsid w:val="000D37EC"/>
    <w:rsid w:val="000D6E88"/>
    <w:rsid w:val="000D7526"/>
    <w:rsid w:val="000E064B"/>
    <w:rsid w:val="000E1392"/>
    <w:rsid w:val="000E1D45"/>
    <w:rsid w:val="000F38E2"/>
    <w:rsid w:val="000F3E9A"/>
    <w:rsid w:val="000F414E"/>
    <w:rsid w:val="000F6BF5"/>
    <w:rsid w:val="00100780"/>
    <w:rsid w:val="00103914"/>
    <w:rsid w:val="00111224"/>
    <w:rsid w:val="00117644"/>
    <w:rsid w:val="001206A2"/>
    <w:rsid w:val="00123746"/>
    <w:rsid w:val="00125AC7"/>
    <w:rsid w:val="00132AD1"/>
    <w:rsid w:val="00133DFA"/>
    <w:rsid w:val="00145345"/>
    <w:rsid w:val="00145BA9"/>
    <w:rsid w:val="001509DE"/>
    <w:rsid w:val="00150A95"/>
    <w:rsid w:val="0015483C"/>
    <w:rsid w:val="001550A2"/>
    <w:rsid w:val="0015656A"/>
    <w:rsid w:val="00157B1B"/>
    <w:rsid w:val="00162B5E"/>
    <w:rsid w:val="00163D37"/>
    <w:rsid w:val="001661BD"/>
    <w:rsid w:val="0016627B"/>
    <w:rsid w:val="00166646"/>
    <w:rsid w:val="00167597"/>
    <w:rsid w:val="00171284"/>
    <w:rsid w:val="0017511B"/>
    <w:rsid w:val="00182601"/>
    <w:rsid w:val="001834AC"/>
    <w:rsid w:val="0018397E"/>
    <w:rsid w:val="00183FDE"/>
    <w:rsid w:val="00187C02"/>
    <w:rsid w:val="00190E48"/>
    <w:rsid w:val="00197ADD"/>
    <w:rsid w:val="001A33FF"/>
    <w:rsid w:val="001A507D"/>
    <w:rsid w:val="001A5E19"/>
    <w:rsid w:val="001A6191"/>
    <w:rsid w:val="001B1951"/>
    <w:rsid w:val="001B26BB"/>
    <w:rsid w:val="001B7A8A"/>
    <w:rsid w:val="001C034F"/>
    <w:rsid w:val="001C0486"/>
    <w:rsid w:val="001C0DE9"/>
    <w:rsid w:val="001C2D7C"/>
    <w:rsid w:val="001C5B56"/>
    <w:rsid w:val="001D1C52"/>
    <w:rsid w:val="001D2FE4"/>
    <w:rsid w:val="001D6B8A"/>
    <w:rsid w:val="001F60AD"/>
    <w:rsid w:val="00205C3D"/>
    <w:rsid w:val="00212372"/>
    <w:rsid w:val="0021264C"/>
    <w:rsid w:val="00214B59"/>
    <w:rsid w:val="00220867"/>
    <w:rsid w:val="00220B66"/>
    <w:rsid w:val="00223D74"/>
    <w:rsid w:val="00224D4E"/>
    <w:rsid w:val="002265D7"/>
    <w:rsid w:val="00226C26"/>
    <w:rsid w:val="002331E4"/>
    <w:rsid w:val="002359B1"/>
    <w:rsid w:val="00243527"/>
    <w:rsid w:val="00244273"/>
    <w:rsid w:val="00245DF0"/>
    <w:rsid w:val="00245E59"/>
    <w:rsid w:val="00247DF7"/>
    <w:rsid w:val="0025090D"/>
    <w:rsid w:val="0025186D"/>
    <w:rsid w:val="00251C04"/>
    <w:rsid w:val="002540B0"/>
    <w:rsid w:val="00254844"/>
    <w:rsid w:val="00254928"/>
    <w:rsid w:val="00255CE7"/>
    <w:rsid w:val="00257E45"/>
    <w:rsid w:val="002669F6"/>
    <w:rsid w:val="002723AD"/>
    <w:rsid w:val="00273042"/>
    <w:rsid w:val="00275169"/>
    <w:rsid w:val="002766A7"/>
    <w:rsid w:val="00276CC7"/>
    <w:rsid w:val="0027749E"/>
    <w:rsid w:val="002806E0"/>
    <w:rsid w:val="00281AEA"/>
    <w:rsid w:val="0028676B"/>
    <w:rsid w:val="0028738B"/>
    <w:rsid w:val="00290F40"/>
    <w:rsid w:val="002913F3"/>
    <w:rsid w:val="002A23A3"/>
    <w:rsid w:val="002B52FB"/>
    <w:rsid w:val="002B5408"/>
    <w:rsid w:val="002D0424"/>
    <w:rsid w:val="002D0D93"/>
    <w:rsid w:val="002E0C7A"/>
    <w:rsid w:val="002E351A"/>
    <w:rsid w:val="002E4AEF"/>
    <w:rsid w:val="002E6134"/>
    <w:rsid w:val="002E6C3C"/>
    <w:rsid w:val="002F222D"/>
    <w:rsid w:val="002F2A8D"/>
    <w:rsid w:val="002F301E"/>
    <w:rsid w:val="002F3FDF"/>
    <w:rsid w:val="002F670A"/>
    <w:rsid w:val="00302CF9"/>
    <w:rsid w:val="00303019"/>
    <w:rsid w:val="003067CF"/>
    <w:rsid w:val="003118FE"/>
    <w:rsid w:val="0031241E"/>
    <w:rsid w:val="00317511"/>
    <w:rsid w:val="003178B9"/>
    <w:rsid w:val="00317A0C"/>
    <w:rsid w:val="00335ACC"/>
    <w:rsid w:val="00337D92"/>
    <w:rsid w:val="003424BE"/>
    <w:rsid w:val="00344FD7"/>
    <w:rsid w:val="00346777"/>
    <w:rsid w:val="00354788"/>
    <w:rsid w:val="00360338"/>
    <w:rsid w:val="003616E2"/>
    <w:rsid w:val="00364BDC"/>
    <w:rsid w:val="003650FA"/>
    <w:rsid w:val="003724B2"/>
    <w:rsid w:val="003745B2"/>
    <w:rsid w:val="00374804"/>
    <w:rsid w:val="003750FD"/>
    <w:rsid w:val="003836D4"/>
    <w:rsid w:val="00394634"/>
    <w:rsid w:val="0039495D"/>
    <w:rsid w:val="00396ED6"/>
    <w:rsid w:val="003972D1"/>
    <w:rsid w:val="003A2899"/>
    <w:rsid w:val="003A3DD4"/>
    <w:rsid w:val="003A4099"/>
    <w:rsid w:val="003A74F4"/>
    <w:rsid w:val="003A79E4"/>
    <w:rsid w:val="003B0687"/>
    <w:rsid w:val="003B0E9B"/>
    <w:rsid w:val="003B22A2"/>
    <w:rsid w:val="003B5456"/>
    <w:rsid w:val="003B6B2B"/>
    <w:rsid w:val="003B6DE1"/>
    <w:rsid w:val="003B7F7B"/>
    <w:rsid w:val="003C258F"/>
    <w:rsid w:val="003C2BFF"/>
    <w:rsid w:val="003C5E35"/>
    <w:rsid w:val="003D3097"/>
    <w:rsid w:val="003D491B"/>
    <w:rsid w:val="003D66AE"/>
    <w:rsid w:val="003E0AD5"/>
    <w:rsid w:val="003F4803"/>
    <w:rsid w:val="00404E01"/>
    <w:rsid w:val="0042036E"/>
    <w:rsid w:val="004219E9"/>
    <w:rsid w:val="00421ACC"/>
    <w:rsid w:val="00424DFA"/>
    <w:rsid w:val="0042504C"/>
    <w:rsid w:val="00433758"/>
    <w:rsid w:val="004441DF"/>
    <w:rsid w:val="004448F9"/>
    <w:rsid w:val="00445388"/>
    <w:rsid w:val="00455E5B"/>
    <w:rsid w:val="00456C66"/>
    <w:rsid w:val="00457923"/>
    <w:rsid w:val="00461D93"/>
    <w:rsid w:val="004718B2"/>
    <w:rsid w:val="00472CC0"/>
    <w:rsid w:val="00474067"/>
    <w:rsid w:val="00480C29"/>
    <w:rsid w:val="004815CE"/>
    <w:rsid w:val="00483A2C"/>
    <w:rsid w:val="00483B7A"/>
    <w:rsid w:val="00483D85"/>
    <w:rsid w:val="00484880"/>
    <w:rsid w:val="0048500F"/>
    <w:rsid w:val="00491CE5"/>
    <w:rsid w:val="00492FB8"/>
    <w:rsid w:val="00494A8B"/>
    <w:rsid w:val="00497198"/>
    <w:rsid w:val="004A1D0F"/>
    <w:rsid w:val="004B110E"/>
    <w:rsid w:val="004B327C"/>
    <w:rsid w:val="004B3331"/>
    <w:rsid w:val="004B3B15"/>
    <w:rsid w:val="004B45F8"/>
    <w:rsid w:val="004B5A08"/>
    <w:rsid w:val="004B6277"/>
    <w:rsid w:val="004C20A1"/>
    <w:rsid w:val="004C6E7E"/>
    <w:rsid w:val="004D0F62"/>
    <w:rsid w:val="004D1232"/>
    <w:rsid w:val="004D5701"/>
    <w:rsid w:val="004D7900"/>
    <w:rsid w:val="004E113D"/>
    <w:rsid w:val="004E3475"/>
    <w:rsid w:val="004E4615"/>
    <w:rsid w:val="004E5D90"/>
    <w:rsid w:val="00500450"/>
    <w:rsid w:val="00502B0D"/>
    <w:rsid w:val="00505D46"/>
    <w:rsid w:val="00512792"/>
    <w:rsid w:val="0051522B"/>
    <w:rsid w:val="00522172"/>
    <w:rsid w:val="00523733"/>
    <w:rsid w:val="00523AFF"/>
    <w:rsid w:val="00526FED"/>
    <w:rsid w:val="005315D0"/>
    <w:rsid w:val="005325DD"/>
    <w:rsid w:val="00533653"/>
    <w:rsid w:val="00535112"/>
    <w:rsid w:val="00541331"/>
    <w:rsid w:val="00541587"/>
    <w:rsid w:val="0054391C"/>
    <w:rsid w:val="005466F3"/>
    <w:rsid w:val="005500C4"/>
    <w:rsid w:val="00551433"/>
    <w:rsid w:val="00554786"/>
    <w:rsid w:val="00555E85"/>
    <w:rsid w:val="00556CCC"/>
    <w:rsid w:val="005575A0"/>
    <w:rsid w:val="00561DCC"/>
    <w:rsid w:val="005621BD"/>
    <w:rsid w:val="00562BE2"/>
    <w:rsid w:val="00566B9B"/>
    <w:rsid w:val="00567259"/>
    <w:rsid w:val="00567352"/>
    <w:rsid w:val="00570179"/>
    <w:rsid w:val="00570B49"/>
    <w:rsid w:val="00577B38"/>
    <w:rsid w:val="00581F18"/>
    <w:rsid w:val="005827DA"/>
    <w:rsid w:val="00582C38"/>
    <w:rsid w:val="00583382"/>
    <w:rsid w:val="0058493D"/>
    <w:rsid w:val="00591144"/>
    <w:rsid w:val="00592759"/>
    <w:rsid w:val="00593D57"/>
    <w:rsid w:val="005A1C11"/>
    <w:rsid w:val="005A4674"/>
    <w:rsid w:val="005A640F"/>
    <w:rsid w:val="005A7764"/>
    <w:rsid w:val="005B39D4"/>
    <w:rsid w:val="005B43D5"/>
    <w:rsid w:val="005B7C10"/>
    <w:rsid w:val="005C4D1C"/>
    <w:rsid w:val="005D2CE7"/>
    <w:rsid w:val="005D2EBA"/>
    <w:rsid w:val="005E2DBB"/>
    <w:rsid w:val="005F01B5"/>
    <w:rsid w:val="005F5695"/>
    <w:rsid w:val="006006EF"/>
    <w:rsid w:val="00600A09"/>
    <w:rsid w:val="0060442C"/>
    <w:rsid w:val="006069EB"/>
    <w:rsid w:val="00611D28"/>
    <w:rsid w:val="006169BB"/>
    <w:rsid w:val="00623A8A"/>
    <w:rsid w:val="00623C47"/>
    <w:rsid w:val="00626551"/>
    <w:rsid w:val="006275D5"/>
    <w:rsid w:val="00631ACD"/>
    <w:rsid w:val="006406A5"/>
    <w:rsid w:val="00641D42"/>
    <w:rsid w:val="0064550B"/>
    <w:rsid w:val="0064697E"/>
    <w:rsid w:val="006506A4"/>
    <w:rsid w:val="00651EA6"/>
    <w:rsid w:val="00654A28"/>
    <w:rsid w:val="00662F12"/>
    <w:rsid w:val="0066345D"/>
    <w:rsid w:val="0067196C"/>
    <w:rsid w:val="0067202A"/>
    <w:rsid w:val="00672071"/>
    <w:rsid w:val="00672799"/>
    <w:rsid w:val="0067337A"/>
    <w:rsid w:val="00674A62"/>
    <w:rsid w:val="00680B17"/>
    <w:rsid w:val="006830A8"/>
    <w:rsid w:val="00685ABD"/>
    <w:rsid w:val="0069397A"/>
    <w:rsid w:val="0069510B"/>
    <w:rsid w:val="006A0DF8"/>
    <w:rsid w:val="006A268E"/>
    <w:rsid w:val="006A3EC4"/>
    <w:rsid w:val="006A4F27"/>
    <w:rsid w:val="006A6CB2"/>
    <w:rsid w:val="006B3C2C"/>
    <w:rsid w:val="006B4BF1"/>
    <w:rsid w:val="006B4C51"/>
    <w:rsid w:val="006B4DC4"/>
    <w:rsid w:val="006B5C72"/>
    <w:rsid w:val="006B6542"/>
    <w:rsid w:val="006B6F3F"/>
    <w:rsid w:val="006C22C2"/>
    <w:rsid w:val="006C421A"/>
    <w:rsid w:val="006C492C"/>
    <w:rsid w:val="006C7B75"/>
    <w:rsid w:val="006D3BDE"/>
    <w:rsid w:val="006D6E5D"/>
    <w:rsid w:val="006E2A93"/>
    <w:rsid w:val="006E52D2"/>
    <w:rsid w:val="006F17BD"/>
    <w:rsid w:val="006F5E22"/>
    <w:rsid w:val="006F7277"/>
    <w:rsid w:val="006F7D66"/>
    <w:rsid w:val="0070160F"/>
    <w:rsid w:val="00707B58"/>
    <w:rsid w:val="00710D33"/>
    <w:rsid w:val="007127EC"/>
    <w:rsid w:val="00717E3D"/>
    <w:rsid w:val="007217CF"/>
    <w:rsid w:val="0072305A"/>
    <w:rsid w:val="00725DE6"/>
    <w:rsid w:val="0072670F"/>
    <w:rsid w:val="00727EC3"/>
    <w:rsid w:val="007318BB"/>
    <w:rsid w:val="007404E7"/>
    <w:rsid w:val="00740F0F"/>
    <w:rsid w:val="00743A56"/>
    <w:rsid w:val="0074683F"/>
    <w:rsid w:val="00751CB7"/>
    <w:rsid w:val="007533DE"/>
    <w:rsid w:val="00757D4D"/>
    <w:rsid w:val="00761D02"/>
    <w:rsid w:val="007645F4"/>
    <w:rsid w:val="00765556"/>
    <w:rsid w:val="00766423"/>
    <w:rsid w:val="00776033"/>
    <w:rsid w:val="00781E17"/>
    <w:rsid w:val="00786B00"/>
    <w:rsid w:val="00791F38"/>
    <w:rsid w:val="007A1BCF"/>
    <w:rsid w:val="007A1C41"/>
    <w:rsid w:val="007A5568"/>
    <w:rsid w:val="007B3F81"/>
    <w:rsid w:val="007B3FF2"/>
    <w:rsid w:val="007B60CB"/>
    <w:rsid w:val="007B6D08"/>
    <w:rsid w:val="007B71A1"/>
    <w:rsid w:val="007C0E86"/>
    <w:rsid w:val="007C4A11"/>
    <w:rsid w:val="007D33C7"/>
    <w:rsid w:val="007D6854"/>
    <w:rsid w:val="007D6B3B"/>
    <w:rsid w:val="007D6D80"/>
    <w:rsid w:val="007E65A3"/>
    <w:rsid w:val="007F2D05"/>
    <w:rsid w:val="007F517C"/>
    <w:rsid w:val="007F756C"/>
    <w:rsid w:val="00806AC1"/>
    <w:rsid w:val="00807D04"/>
    <w:rsid w:val="008100A0"/>
    <w:rsid w:val="00810938"/>
    <w:rsid w:val="00812AFA"/>
    <w:rsid w:val="008142E3"/>
    <w:rsid w:val="0081466F"/>
    <w:rsid w:val="00820363"/>
    <w:rsid w:val="00820B9F"/>
    <w:rsid w:val="00825B9D"/>
    <w:rsid w:val="008330F4"/>
    <w:rsid w:val="00833CA6"/>
    <w:rsid w:val="00841DB2"/>
    <w:rsid w:val="00844214"/>
    <w:rsid w:val="00844B18"/>
    <w:rsid w:val="0084664F"/>
    <w:rsid w:val="00846DA6"/>
    <w:rsid w:val="00847FF6"/>
    <w:rsid w:val="008500DB"/>
    <w:rsid w:val="008512DC"/>
    <w:rsid w:val="0085177D"/>
    <w:rsid w:val="00852743"/>
    <w:rsid w:val="00855746"/>
    <w:rsid w:val="00864479"/>
    <w:rsid w:val="00864764"/>
    <w:rsid w:val="008716B1"/>
    <w:rsid w:val="00871FC8"/>
    <w:rsid w:val="00872DD1"/>
    <w:rsid w:val="00873A4F"/>
    <w:rsid w:val="00875E43"/>
    <w:rsid w:val="00876D8B"/>
    <w:rsid w:val="00877C3D"/>
    <w:rsid w:val="008825E5"/>
    <w:rsid w:val="00886D21"/>
    <w:rsid w:val="00887B00"/>
    <w:rsid w:val="008915B6"/>
    <w:rsid w:val="008950FE"/>
    <w:rsid w:val="008954C8"/>
    <w:rsid w:val="00896269"/>
    <w:rsid w:val="00896BAF"/>
    <w:rsid w:val="008A190D"/>
    <w:rsid w:val="008A2209"/>
    <w:rsid w:val="008A5518"/>
    <w:rsid w:val="008B5A32"/>
    <w:rsid w:val="008B7300"/>
    <w:rsid w:val="008C4552"/>
    <w:rsid w:val="008D28FF"/>
    <w:rsid w:val="008D3666"/>
    <w:rsid w:val="008E1DDA"/>
    <w:rsid w:val="008E4A0E"/>
    <w:rsid w:val="008E6FC6"/>
    <w:rsid w:val="008F1FCA"/>
    <w:rsid w:val="008F580F"/>
    <w:rsid w:val="00900F40"/>
    <w:rsid w:val="00910D21"/>
    <w:rsid w:val="00912523"/>
    <w:rsid w:val="00912EC0"/>
    <w:rsid w:val="00915205"/>
    <w:rsid w:val="00922287"/>
    <w:rsid w:val="00923030"/>
    <w:rsid w:val="00924C0C"/>
    <w:rsid w:val="009309E8"/>
    <w:rsid w:val="0093102D"/>
    <w:rsid w:val="009353F1"/>
    <w:rsid w:val="009358EC"/>
    <w:rsid w:val="00940872"/>
    <w:rsid w:val="009437AF"/>
    <w:rsid w:val="0094648D"/>
    <w:rsid w:val="0095149E"/>
    <w:rsid w:val="00952869"/>
    <w:rsid w:val="00955BFE"/>
    <w:rsid w:val="00980759"/>
    <w:rsid w:val="00981679"/>
    <w:rsid w:val="009856A7"/>
    <w:rsid w:val="00990CDB"/>
    <w:rsid w:val="009910EC"/>
    <w:rsid w:val="00993F74"/>
    <w:rsid w:val="009964E1"/>
    <w:rsid w:val="009A04D4"/>
    <w:rsid w:val="009A09C7"/>
    <w:rsid w:val="009A2749"/>
    <w:rsid w:val="009B46C1"/>
    <w:rsid w:val="009D1D02"/>
    <w:rsid w:val="009D61F2"/>
    <w:rsid w:val="009D64BB"/>
    <w:rsid w:val="009D681E"/>
    <w:rsid w:val="009E44F6"/>
    <w:rsid w:val="009E64D6"/>
    <w:rsid w:val="009E7E04"/>
    <w:rsid w:val="009F2608"/>
    <w:rsid w:val="009F3483"/>
    <w:rsid w:val="009F55DC"/>
    <w:rsid w:val="00A06F63"/>
    <w:rsid w:val="00A125C6"/>
    <w:rsid w:val="00A1287A"/>
    <w:rsid w:val="00A131F3"/>
    <w:rsid w:val="00A14DFD"/>
    <w:rsid w:val="00A153C7"/>
    <w:rsid w:val="00A16868"/>
    <w:rsid w:val="00A16BF4"/>
    <w:rsid w:val="00A210CC"/>
    <w:rsid w:val="00A21765"/>
    <w:rsid w:val="00A21CC1"/>
    <w:rsid w:val="00A24AF5"/>
    <w:rsid w:val="00A26AAF"/>
    <w:rsid w:val="00A3202E"/>
    <w:rsid w:val="00A32846"/>
    <w:rsid w:val="00A3360A"/>
    <w:rsid w:val="00A37CF2"/>
    <w:rsid w:val="00A40280"/>
    <w:rsid w:val="00A404F3"/>
    <w:rsid w:val="00A42055"/>
    <w:rsid w:val="00A46AF5"/>
    <w:rsid w:val="00A5218E"/>
    <w:rsid w:val="00A52221"/>
    <w:rsid w:val="00A53340"/>
    <w:rsid w:val="00A56251"/>
    <w:rsid w:val="00A56481"/>
    <w:rsid w:val="00A62950"/>
    <w:rsid w:val="00A653DA"/>
    <w:rsid w:val="00A67040"/>
    <w:rsid w:val="00A6765C"/>
    <w:rsid w:val="00A67C73"/>
    <w:rsid w:val="00A7035D"/>
    <w:rsid w:val="00A72C39"/>
    <w:rsid w:val="00A76C6A"/>
    <w:rsid w:val="00A80200"/>
    <w:rsid w:val="00A803A2"/>
    <w:rsid w:val="00A82F04"/>
    <w:rsid w:val="00A84805"/>
    <w:rsid w:val="00A84DD2"/>
    <w:rsid w:val="00A96940"/>
    <w:rsid w:val="00A97E46"/>
    <w:rsid w:val="00AA1568"/>
    <w:rsid w:val="00AA45AC"/>
    <w:rsid w:val="00AB02E6"/>
    <w:rsid w:val="00AB0688"/>
    <w:rsid w:val="00AB1CF7"/>
    <w:rsid w:val="00AB4478"/>
    <w:rsid w:val="00AB62C8"/>
    <w:rsid w:val="00AB7489"/>
    <w:rsid w:val="00AB7541"/>
    <w:rsid w:val="00AB7E05"/>
    <w:rsid w:val="00AC5E92"/>
    <w:rsid w:val="00AC638E"/>
    <w:rsid w:val="00AC7064"/>
    <w:rsid w:val="00AC727A"/>
    <w:rsid w:val="00AC7821"/>
    <w:rsid w:val="00AD27AF"/>
    <w:rsid w:val="00AD2F4E"/>
    <w:rsid w:val="00AD7B12"/>
    <w:rsid w:val="00AE1DEE"/>
    <w:rsid w:val="00AE4A28"/>
    <w:rsid w:val="00AE5851"/>
    <w:rsid w:val="00AF4C35"/>
    <w:rsid w:val="00B001B9"/>
    <w:rsid w:val="00B0648F"/>
    <w:rsid w:val="00B10BE6"/>
    <w:rsid w:val="00B10F23"/>
    <w:rsid w:val="00B13E8A"/>
    <w:rsid w:val="00B15351"/>
    <w:rsid w:val="00B270D7"/>
    <w:rsid w:val="00B30162"/>
    <w:rsid w:val="00B360F2"/>
    <w:rsid w:val="00B46263"/>
    <w:rsid w:val="00B46AD2"/>
    <w:rsid w:val="00B508AE"/>
    <w:rsid w:val="00B52859"/>
    <w:rsid w:val="00B52FAF"/>
    <w:rsid w:val="00B5372E"/>
    <w:rsid w:val="00B53ED7"/>
    <w:rsid w:val="00B55890"/>
    <w:rsid w:val="00B5628D"/>
    <w:rsid w:val="00B5657B"/>
    <w:rsid w:val="00B56EC8"/>
    <w:rsid w:val="00B61995"/>
    <w:rsid w:val="00B6472D"/>
    <w:rsid w:val="00B65A2D"/>
    <w:rsid w:val="00B65FD5"/>
    <w:rsid w:val="00B67107"/>
    <w:rsid w:val="00B7393E"/>
    <w:rsid w:val="00B75789"/>
    <w:rsid w:val="00B76E1E"/>
    <w:rsid w:val="00B80104"/>
    <w:rsid w:val="00B8224A"/>
    <w:rsid w:val="00B86C50"/>
    <w:rsid w:val="00B87F0E"/>
    <w:rsid w:val="00BB20E5"/>
    <w:rsid w:val="00BC1725"/>
    <w:rsid w:val="00BC1F6E"/>
    <w:rsid w:val="00BC6DC1"/>
    <w:rsid w:val="00BD1896"/>
    <w:rsid w:val="00BD301D"/>
    <w:rsid w:val="00BE3828"/>
    <w:rsid w:val="00BE6E21"/>
    <w:rsid w:val="00BF3652"/>
    <w:rsid w:val="00BF511B"/>
    <w:rsid w:val="00C0332A"/>
    <w:rsid w:val="00C03E72"/>
    <w:rsid w:val="00C0518E"/>
    <w:rsid w:val="00C052E7"/>
    <w:rsid w:val="00C10ECB"/>
    <w:rsid w:val="00C11CDA"/>
    <w:rsid w:val="00C123B5"/>
    <w:rsid w:val="00C1546B"/>
    <w:rsid w:val="00C1586C"/>
    <w:rsid w:val="00C15A93"/>
    <w:rsid w:val="00C16212"/>
    <w:rsid w:val="00C21B58"/>
    <w:rsid w:val="00C22AF5"/>
    <w:rsid w:val="00C30913"/>
    <w:rsid w:val="00C352ED"/>
    <w:rsid w:val="00C42A91"/>
    <w:rsid w:val="00C45078"/>
    <w:rsid w:val="00C5212B"/>
    <w:rsid w:val="00C53FBD"/>
    <w:rsid w:val="00C575C8"/>
    <w:rsid w:val="00C71DBA"/>
    <w:rsid w:val="00C751F2"/>
    <w:rsid w:val="00C75707"/>
    <w:rsid w:val="00C7654F"/>
    <w:rsid w:val="00C85A72"/>
    <w:rsid w:val="00C87855"/>
    <w:rsid w:val="00C90675"/>
    <w:rsid w:val="00C947E0"/>
    <w:rsid w:val="00C94BA6"/>
    <w:rsid w:val="00C964A1"/>
    <w:rsid w:val="00C97C03"/>
    <w:rsid w:val="00CA2818"/>
    <w:rsid w:val="00CA3DB3"/>
    <w:rsid w:val="00CA48B3"/>
    <w:rsid w:val="00CA720F"/>
    <w:rsid w:val="00CA774E"/>
    <w:rsid w:val="00CB0271"/>
    <w:rsid w:val="00CB0F0F"/>
    <w:rsid w:val="00CB69A5"/>
    <w:rsid w:val="00CB7556"/>
    <w:rsid w:val="00CB7606"/>
    <w:rsid w:val="00CC2F86"/>
    <w:rsid w:val="00CC3D2E"/>
    <w:rsid w:val="00CC56BB"/>
    <w:rsid w:val="00CC702B"/>
    <w:rsid w:val="00CD32F1"/>
    <w:rsid w:val="00CD42D3"/>
    <w:rsid w:val="00CD473C"/>
    <w:rsid w:val="00CD49F8"/>
    <w:rsid w:val="00CD6608"/>
    <w:rsid w:val="00CD7343"/>
    <w:rsid w:val="00CE0EB2"/>
    <w:rsid w:val="00CE276C"/>
    <w:rsid w:val="00CE51F0"/>
    <w:rsid w:val="00CE7E48"/>
    <w:rsid w:val="00CF0800"/>
    <w:rsid w:val="00D12661"/>
    <w:rsid w:val="00D17892"/>
    <w:rsid w:val="00D17BEC"/>
    <w:rsid w:val="00D20870"/>
    <w:rsid w:val="00D21E57"/>
    <w:rsid w:val="00D25390"/>
    <w:rsid w:val="00D27F6E"/>
    <w:rsid w:val="00D3064B"/>
    <w:rsid w:val="00D31636"/>
    <w:rsid w:val="00D349A3"/>
    <w:rsid w:val="00D37687"/>
    <w:rsid w:val="00D403E9"/>
    <w:rsid w:val="00D42576"/>
    <w:rsid w:val="00D43BC9"/>
    <w:rsid w:val="00D43F44"/>
    <w:rsid w:val="00D4662C"/>
    <w:rsid w:val="00D476C1"/>
    <w:rsid w:val="00D47DF5"/>
    <w:rsid w:val="00D53242"/>
    <w:rsid w:val="00D542A9"/>
    <w:rsid w:val="00D61C4C"/>
    <w:rsid w:val="00D63398"/>
    <w:rsid w:val="00D65714"/>
    <w:rsid w:val="00D67AB1"/>
    <w:rsid w:val="00D67F97"/>
    <w:rsid w:val="00D725F7"/>
    <w:rsid w:val="00D76CA0"/>
    <w:rsid w:val="00D820C4"/>
    <w:rsid w:val="00D96BF6"/>
    <w:rsid w:val="00DA20BE"/>
    <w:rsid w:val="00DB1264"/>
    <w:rsid w:val="00DB1A43"/>
    <w:rsid w:val="00DB1CB7"/>
    <w:rsid w:val="00DB3CA9"/>
    <w:rsid w:val="00DB446C"/>
    <w:rsid w:val="00DC1B9D"/>
    <w:rsid w:val="00DC30A7"/>
    <w:rsid w:val="00DC5962"/>
    <w:rsid w:val="00DE385E"/>
    <w:rsid w:val="00DE5A2C"/>
    <w:rsid w:val="00DF3D7D"/>
    <w:rsid w:val="00DF583F"/>
    <w:rsid w:val="00DF59CB"/>
    <w:rsid w:val="00E04C72"/>
    <w:rsid w:val="00E04EFF"/>
    <w:rsid w:val="00E10600"/>
    <w:rsid w:val="00E12A25"/>
    <w:rsid w:val="00E13FC9"/>
    <w:rsid w:val="00E14B0F"/>
    <w:rsid w:val="00E15DCB"/>
    <w:rsid w:val="00E15E96"/>
    <w:rsid w:val="00E175C4"/>
    <w:rsid w:val="00E228A7"/>
    <w:rsid w:val="00E24F66"/>
    <w:rsid w:val="00E25203"/>
    <w:rsid w:val="00E261B5"/>
    <w:rsid w:val="00E30489"/>
    <w:rsid w:val="00E34D7D"/>
    <w:rsid w:val="00E35CDE"/>
    <w:rsid w:val="00E4447E"/>
    <w:rsid w:val="00E47117"/>
    <w:rsid w:val="00E52271"/>
    <w:rsid w:val="00E53049"/>
    <w:rsid w:val="00E56016"/>
    <w:rsid w:val="00E604D6"/>
    <w:rsid w:val="00E62F66"/>
    <w:rsid w:val="00E63491"/>
    <w:rsid w:val="00E649F1"/>
    <w:rsid w:val="00E67C52"/>
    <w:rsid w:val="00E72455"/>
    <w:rsid w:val="00E73F33"/>
    <w:rsid w:val="00E742F9"/>
    <w:rsid w:val="00E77086"/>
    <w:rsid w:val="00E85D00"/>
    <w:rsid w:val="00E8795C"/>
    <w:rsid w:val="00E87B76"/>
    <w:rsid w:val="00E94B50"/>
    <w:rsid w:val="00E94F29"/>
    <w:rsid w:val="00E950E3"/>
    <w:rsid w:val="00EA371A"/>
    <w:rsid w:val="00EA57DA"/>
    <w:rsid w:val="00EB4DF3"/>
    <w:rsid w:val="00EC11D5"/>
    <w:rsid w:val="00EC24EB"/>
    <w:rsid w:val="00EC4712"/>
    <w:rsid w:val="00ED392F"/>
    <w:rsid w:val="00EE6510"/>
    <w:rsid w:val="00EE7217"/>
    <w:rsid w:val="00EE74CF"/>
    <w:rsid w:val="00EF23F5"/>
    <w:rsid w:val="00EF4069"/>
    <w:rsid w:val="00F04411"/>
    <w:rsid w:val="00F07AB6"/>
    <w:rsid w:val="00F12BE7"/>
    <w:rsid w:val="00F16704"/>
    <w:rsid w:val="00F20FA6"/>
    <w:rsid w:val="00F21352"/>
    <w:rsid w:val="00F22274"/>
    <w:rsid w:val="00F246FB"/>
    <w:rsid w:val="00F264A2"/>
    <w:rsid w:val="00F265E7"/>
    <w:rsid w:val="00F30B94"/>
    <w:rsid w:val="00F319A1"/>
    <w:rsid w:val="00F32A84"/>
    <w:rsid w:val="00F36AE3"/>
    <w:rsid w:val="00F3715E"/>
    <w:rsid w:val="00F401B1"/>
    <w:rsid w:val="00F404FB"/>
    <w:rsid w:val="00F41913"/>
    <w:rsid w:val="00F47624"/>
    <w:rsid w:val="00F5058C"/>
    <w:rsid w:val="00F50DAC"/>
    <w:rsid w:val="00F51D40"/>
    <w:rsid w:val="00F51D59"/>
    <w:rsid w:val="00F5307A"/>
    <w:rsid w:val="00F5567B"/>
    <w:rsid w:val="00F5768D"/>
    <w:rsid w:val="00F63164"/>
    <w:rsid w:val="00F72379"/>
    <w:rsid w:val="00F72A9E"/>
    <w:rsid w:val="00F73D1A"/>
    <w:rsid w:val="00F74132"/>
    <w:rsid w:val="00F742DA"/>
    <w:rsid w:val="00F74B91"/>
    <w:rsid w:val="00F7585E"/>
    <w:rsid w:val="00F75B02"/>
    <w:rsid w:val="00F77A83"/>
    <w:rsid w:val="00F80700"/>
    <w:rsid w:val="00F824EF"/>
    <w:rsid w:val="00F875C4"/>
    <w:rsid w:val="00F90DBF"/>
    <w:rsid w:val="00F9146A"/>
    <w:rsid w:val="00F915B0"/>
    <w:rsid w:val="00F93039"/>
    <w:rsid w:val="00F95D9C"/>
    <w:rsid w:val="00FA0193"/>
    <w:rsid w:val="00FA0379"/>
    <w:rsid w:val="00FA3F30"/>
    <w:rsid w:val="00FA65C8"/>
    <w:rsid w:val="00FB094A"/>
    <w:rsid w:val="00FB68CB"/>
    <w:rsid w:val="00FB6E32"/>
    <w:rsid w:val="00FC3CB3"/>
    <w:rsid w:val="00FC51B7"/>
    <w:rsid w:val="00FC6E47"/>
    <w:rsid w:val="00FE6AF7"/>
    <w:rsid w:val="00FE6B08"/>
    <w:rsid w:val="00FE7BEA"/>
    <w:rsid w:val="00FF09B0"/>
    <w:rsid w:val="00FF7DD1"/>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189D4C"/>
  <w15:chartTrackingRefBased/>
  <w15:docId w15:val="{56B3852E-54DA-4BFE-84A2-86E0316CEC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C51B7"/>
    <w:pPr>
      <w:ind w:firstLine="720"/>
    </w:pPr>
  </w:style>
  <w:style w:type="paragraph" w:styleId="Heading1">
    <w:name w:val="heading 1"/>
    <w:basedOn w:val="Normal"/>
    <w:next w:val="Normal"/>
    <w:link w:val="Heading1Char"/>
    <w:uiPriority w:val="9"/>
    <w:qFormat/>
    <w:rsid w:val="00220867"/>
    <w:pPr>
      <w:pBdr>
        <w:bottom w:val="single" w:sz="24" w:space="1" w:color="auto"/>
      </w:pBdr>
      <w:shd w:val="clear" w:color="auto" w:fill="FFFFFF" w:themeFill="background1"/>
      <w:spacing w:after="0" w:line="240" w:lineRule="auto"/>
      <w:jc w:val="center"/>
      <w:outlineLvl w:val="0"/>
    </w:pPr>
    <w:rPr>
      <w:rFonts w:cstheme="minorHAnsi"/>
      <w:b/>
      <w:sz w:val="52"/>
      <w:szCs w:val="24"/>
    </w:rPr>
  </w:style>
  <w:style w:type="paragraph" w:styleId="Heading2">
    <w:name w:val="heading 2"/>
    <w:basedOn w:val="ListParagraph"/>
    <w:next w:val="Normal"/>
    <w:link w:val="Heading2Char"/>
    <w:uiPriority w:val="9"/>
    <w:unhideWhenUsed/>
    <w:qFormat/>
    <w:rsid w:val="00BF3652"/>
    <w:pPr>
      <w:pBdr>
        <w:bottom w:val="single" w:sz="12" w:space="1" w:color="auto"/>
      </w:pBdr>
      <w:spacing w:after="0" w:line="240" w:lineRule="auto"/>
      <w:ind w:left="0" w:firstLine="0"/>
      <w:jc w:val="center"/>
      <w:outlineLvl w:val="1"/>
    </w:pPr>
    <w:rPr>
      <w:rFonts w:cstheme="minorHAnsi"/>
      <w:b/>
      <w:sz w:val="36"/>
    </w:rPr>
  </w:style>
  <w:style w:type="paragraph" w:styleId="Heading3">
    <w:name w:val="heading 3"/>
    <w:basedOn w:val="ListParagraph"/>
    <w:next w:val="Normal"/>
    <w:link w:val="Heading3Char"/>
    <w:autoRedefine/>
    <w:uiPriority w:val="9"/>
    <w:unhideWhenUsed/>
    <w:qFormat/>
    <w:rsid w:val="00910D21"/>
    <w:pPr>
      <w:shd w:val="clear" w:color="auto" w:fill="D9E2F3" w:themeFill="accent1" w:themeFillTint="33"/>
      <w:spacing w:before="120" w:after="120" w:line="240" w:lineRule="auto"/>
      <w:ind w:left="810" w:hanging="1080"/>
      <w:contextualSpacing w:val="0"/>
      <w:jc w:val="center"/>
      <w:outlineLvl w:val="2"/>
    </w:pPr>
    <w:rPr>
      <w:rFonts w:cstheme="minorHAnsi"/>
      <w:b/>
      <w:sz w:val="28"/>
      <w:szCs w:val="28"/>
    </w:rPr>
  </w:style>
  <w:style w:type="paragraph" w:styleId="Heading4">
    <w:name w:val="heading 4"/>
    <w:basedOn w:val="ListParagraph"/>
    <w:next w:val="Normal"/>
    <w:link w:val="Heading4Char"/>
    <w:uiPriority w:val="9"/>
    <w:unhideWhenUsed/>
    <w:qFormat/>
    <w:rsid w:val="00CD473C"/>
    <w:pPr>
      <w:numPr>
        <w:ilvl w:val="1"/>
        <w:numId w:val="1"/>
      </w:numPr>
      <w:shd w:val="clear" w:color="auto" w:fill="E2EFD9" w:themeFill="accent6" w:themeFillTint="33"/>
      <w:spacing w:after="0" w:line="240" w:lineRule="auto"/>
      <w:outlineLvl w:val="3"/>
    </w:pPr>
    <w:rPr>
      <w:rFonts w:cstheme="minorHAns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20867"/>
    <w:rPr>
      <w:rFonts w:cstheme="minorHAnsi"/>
      <w:b/>
      <w:sz w:val="52"/>
      <w:szCs w:val="24"/>
      <w:shd w:val="clear" w:color="auto" w:fill="FFFFFF" w:themeFill="background1"/>
    </w:rPr>
  </w:style>
  <w:style w:type="paragraph" w:styleId="ListParagraph">
    <w:name w:val="List Paragraph"/>
    <w:basedOn w:val="Normal"/>
    <w:uiPriority w:val="34"/>
    <w:qFormat/>
    <w:rsid w:val="00CD473C"/>
    <w:pPr>
      <w:ind w:left="720"/>
      <w:contextualSpacing/>
    </w:pPr>
  </w:style>
  <w:style w:type="character" w:customStyle="1" w:styleId="Heading2Char">
    <w:name w:val="Heading 2 Char"/>
    <w:basedOn w:val="DefaultParagraphFont"/>
    <w:link w:val="Heading2"/>
    <w:uiPriority w:val="9"/>
    <w:rsid w:val="00BF3652"/>
    <w:rPr>
      <w:rFonts w:cstheme="minorHAnsi"/>
      <w:b/>
      <w:sz w:val="36"/>
    </w:rPr>
  </w:style>
  <w:style w:type="character" w:customStyle="1" w:styleId="Heading3Char">
    <w:name w:val="Heading 3 Char"/>
    <w:basedOn w:val="DefaultParagraphFont"/>
    <w:link w:val="Heading3"/>
    <w:uiPriority w:val="9"/>
    <w:rsid w:val="00910D21"/>
    <w:rPr>
      <w:rFonts w:cstheme="minorHAnsi"/>
      <w:b/>
      <w:sz w:val="28"/>
      <w:szCs w:val="28"/>
      <w:shd w:val="clear" w:color="auto" w:fill="D9E2F3" w:themeFill="accent1" w:themeFillTint="33"/>
    </w:rPr>
  </w:style>
  <w:style w:type="character" w:customStyle="1" w:styleId="Heading4Char">
    <w:name w:val="Heading 4 Char"/>
    <w:basedOn w:val="DefaultParagraphFont"/>
    <w:link w:val="Heading4"/>
    <w:uiPriority w:val="9"/>
    <w:rsid w:val="00CD473C"/>
    <w:rPr>
      <w:rFonts w:cstheme="minorHAnsi"/>
      <w:b/>
      <w:shd w:val="clear" w:color="auto" w:fill="E2EFD9" w:themeFill="accent6" w:themeFillTint="33"/>
    </w:rPr>
  </w:style>
  <w:style w:type="paragraph" w:styleId="BalloonText">
    <w:name w:val="Balloon Text"/>
    <w:basedOn w:val="Normal"/>
    <w:link w:val="BalloonTextChar"/>
    <w:uiPriority w:val="99"/>
    <w:semiHidden/>
    <w:unhideWhenUsed/>
    <w:rsid w:val="00B86C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6C50"/>
    <w:rPr>
      <w:rFonts w:ascii="Segoe UI" w:hAnsi="Segoe UI" w:cs="Segoe UI"/>
      <w:sz w:val="18"/>
      <w:szCs w:val="18"/>
    </w:rPr>
  </w:style>
  <w:style w:type="table" w:styleId="TableGrid">
    <w:name w:val="Table Grid"/>
    <w:basedOn w:val="TableNormal"/>
    <w:uiPriority w:val="39"/>
    <w:rsid w:val="00CD47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D47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D473C"/>
  </w:style>
  <w:style w:type="paragraph" w:styleId="Footer">
    <w:name w:val="footer"/>
    <w:basedOn w:val="Normal"/>
    <w:link w:val="FooterChar"/>
    <w:uiPriority w:val="99"/>
    <w:unhideWhenUsed/>
    <w:rsid w:val="00CD473C"/>
    <w:pPr>
      <w:tabs>
        <w:tab w:val="center" w:pos="4680"/>
        <w:tab w:val="right" w:pos="9360"/>
      </w:tabs>
      <w:spacing w:after="0" w:line="240" w:lineRule="auto"/>
    </w:pPr>
    <w:rPr>
      <w:sz w:val="24"/>
      <w:szCs w:val="24"/>
    </w:rPr>
  </w:style>
  <w:style w:type="character" w:customStyle="1" w:styleId="FooterChar">
    <w:name w:val="Footer Char"/>
    <w:basedOn w:val="DefaultParagraphFont"/>
    <w:link w:val="Footer"/>
    <w:uiPriority w:val="99"/>
    <w:rsid w:val="00CD473C"/>
    <w:rPr>
      <w:sz w:val="24"/>
      <w:szCs w:val="24"/>
    </w:rPr>
  </w:style>
  <w:style w:type="table" w:styleId="ListTable3-Accent5">
    <w:name w:val="List Table 3 Accent 5"/>
    <w:basedOn w:val="TableNormal"/>
    <w:uiPriority w:val="48"/>
    <w:rsid w:val="000B6F13"/>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styleId="Title">
    <w:name w:val="Title"/>
    <w:basedOn w:val="Normal"/>
    <w:next w:val="Normal"/>
    <w:link w:val="TitleChar"/>
    <w:uiPriority w:val="10"/>
    <w:qFormat/>
    <w:rsid w:val="00DB446C"/>
    <w:pPr>
      <w:shd w:val="clear" w:color="auto" w:fill="B4C6E7" w:themeFill="accent1" w:themeFillTint="66"/>
      <w:spacing w:after="0" w:line="240" w:lineRule="auto"/>
      <w:jc w:val="center"/>
    </w:pPr>
    <w:rPr>
      <w:rFonts w:cstheme="minorHAnsi"/>
      <w:b/>
      <w:sz w:val="28"/>
      <w:szCs w:val="24"/>
    </w:rPr>
  </w:style>
  <w:style w:type="character" w:customStyle="1" w:styleId="TitleChar">
    <w:name w:val="Title Char"/>
    <w:basedOn w:val="DefaultParagraphFont"/>
    <w:link w:val="Title"/>
    <w:uiPriority w:val="10"/>
    <w:rsid w:val="00DB446C"/>
    <w:rPr>
      <w:rFonts w:cstheme="minorHAnsi"/>
      <w:b/>
      <w:sz w:val="28"/>
      <w:szCs w:val="24"/>
      <w:shd w:val="clear" w:color="auto" w:fill="B4C6E7" w:themeFill="accent1" w:themeFillTint="66"/>
    </w:rPr>
  </w:style>
  <w:style w:type="paragraph" w:styleId="NormalWeb">
    <w:name w:val="Normal (Web)"/>
    <w:basedOn w:val="Normal"/>
    <w:uiPriority w:val="99"/>
    <w:unhideWhenUsed/>
    <w:rsid w:val="00B360F2"/>
    <w:pPr>
      <w:spacing w:after="0" w:line="240" w:lineRule="auto"/>
      <w:ind w:firstLine="0"/>
    </w:pPr>
    <w:rPr>
      <w:rFonts w:eastAsia="Times New Roman" w:cs="Times New Roman"/>
      <w:szCs w:val="24"/>
    </w:rPr>
  </w:style>
  <w:style w:type="character" w:styleId="Hyperlink">
    <w:name w:val="Hyperlink"/>
    <w:basedOn w:val="DefaultParagraphFont"/>
    <w:uiPriority w:val="99"/>
    <w:unhideWhenUsed/>
    <w:rsid w:val="00AB1CF7"/>
    <w:rPr>
      <w:color w:val="0000FF"/>
      <w:u w:val="single"/>
    </w:rPr>
  </w:style>
  <w:style w:type="character" w:styleId="Strong">
    <w:name w:val="Strong"/>
    <w:basedOn w:val="DefaultParagraphFont"/>
    <w:uiPriority w:val="22"/>
    <w:qFormat/>
    <w:rsid w:val="00AB1CF7"/>
    <w:rPr>
      <w:b/>
      <w:bCs/>
    </w:rPr>
  </w:style>
  <w:style w:type="character" w:customStyle="1" w:styleId="UnresolvedMention1">
    <w:name w:val="Unresolved Mention1"/>
    <w:basedOn w:val="DefaultParagraphFont"/>
    <w:uiPriority w:val="99"/>
    <w:semiHidden/>
    <w:unhideWhenUsed/>
    <w:rsid w:val="005466F3"/>
    <w:rPr>
      <w:color w:val="605E5C"/>
      <w:shd w:val="clear" w:color="auto" w:fill="E1DFDD"/>
    </w:rPr>
  </w:style>
  <w:style w:type="paragraph" w:styleId="NoSpacing">
    <w:name w:val="No Spacing"/>
    <w:link w:val="NoSpacingChar"/>
    <w:uiPriority w:val="1"/>
    <w:qFormat/>
    <w:rsid w:val="00E12A25"/>
    <w:pPr>
      <w:spacing w:after="0" w:line="240" w:lineRule="auto"/>
    </w:pPr>
    <w:rPr>
      <w:rFonts w:eastAsiaTheme="minorEastAsia"/>
    </w:rPr>
  </w:style>
  <w:style w:type="character" w:customStyle="1" w:styleId="NoSpacingChar">
    <w:name w:val="No Spacing Char"/>
    <w:basedOn w:val="DefaultParagraphFont"/>
    <w:link w:val="NoSpacing"/>
    <w:uiPriority w:val="1"/>
    <w:rsid w:val="00E12A25"/>
    <w:rPr>
      <w:rFonts w:eastAsiaTheme="minorEastAsia"/>
    </w:rPr>
  </w:style>
  <w:style w:type="character" w:styleId="PlaceholderText">
    <w:name w:val="Placeholder Text"/>
    <w:basedOn w:val="DefaultParagraphFont"/>
    <w:uiPriority w:val="99"/>
    <w:semiHidden/>
    <w:rsid w:val="008142E3"/>
    <w:rPr>
      <w:color w:val="808080"/>
    </w:rPr>
  </w:style>
  <w:style w:type="paragraph" w:styleId="TOC2">
    <w:name w:val="toc 2"/>
    <w:basedOn w:val="Normal"/>
    <w:next w:val="Normal"/>
    <w:autoRedefine/>
    <w:uiPriority w:val="39"/>
    <w:unhideWhenUsed/>
    <w:rsid w:val="00220867"/>
    <w:pPr>
      <w:spacing w:after="100"/>
      <w:ind w:left="220"/>
    </w:pPr>
  </w:style>
  <w:style w:type="paragraph" w:styleId="TOC1">
    <w:name w:val="toc 1"/>
    <w:basedOn w:val="Normal"/>
    <w:next w:val="Normal"/>
    <w:autoRedefine/>
    <w:uiPriority w:val="39"/>
    <w:unhideWhenUsed/>
    <w:rsid w:val="00B65A2D"/>
    <w:pPr>
      <w:tabs>
        <w:tab w:val="right" w:leader="dot" w:pos="9350"/>
      </w:tabs>
      <w:spacing w:after="100" w:line="240" w:lineRule="auto"/>
    </w:pPr>
  </w:style>
  <w:style w:type="paragraph" w:styleId="TOC3">
    <w:name w:val="toc 3"/>
    <w:basedOn w:val="Normal"/>
    <w:next w:val="Normal"/>
    <w:autoRedefine/>
    <w:uiPriority w:val="39"/>
    <w:unhideWhenUsed/>
    <w:rsid w:val="00220867"/>
    <w:pPr>
      <w:spacing w:after="100"/>
      <w:ind w:left="440"/>
    </w:pPr>
  </w:style>
  <w:style w:type="character" w:customStyle="1" w:styleId="apple-converted-space">
    <w:name w:val="apple-converted-space"/>
    <w:basedOn w:val="DefaultParagraphFont"/>
    <w:rsid w:val="00611D28"/>
  </w:style>
  <w:style w:type="character" w:styleId="Emphasis">
    <w:name w:val="Emphasis"/>
    <w:basedOn w:val="DefaultParagraphFont"/>
    <w:uiPriority w:val="20"/>
    <w:qFormat/>
    <w:rsid w:val="00FC51B7"/>
    <w:rPr>
      <w:i/>
      <w:iCs/>
    </w:rPr>
  </w:style>
  <w:style w:type="paragraph" w:styleId="CommentText">
    <w:name w:val="annotation text"/>
    <w:basedOn w:val="Normal"/>
    <w:link w:val="CommentTextChar"/>
    <w:uiPriority w:val="99"/>
    <w:semiHidden/>
    <w:unhideWhenUsed/>
    <w:rsid w:val="00F404FB"/>
    <w:pPr>
      <w:spacing w:line="240" w:lineRule="auto"/>
      <w:ind w:firstLine="0"/>
    </w:pPr>
    <w:rPr>
      <w:sz w:val="20"/>
      <w:szCs w:val="20"/>
    </w:rPr>
  </w:style>
  <w:style w:type="character" w:customStyle="1" w:styleId="CommentTextChar">
    <w:name w:val="Comment Text Char"/>
    <w:basedOn w:val="DefaultParagraphFont"/>
    <w:link w:val="CommentText"/>
    <w:uiPriority w:val="99"/>
    <w:semiHidden/>
    <w:rsid w:val="00F404FB"/>
    <w:rPr>
      <w:sz w:val="20"/>
      <w:szCs w:val="20"/>
    </w:rPr>
  </w:style>
  <w:style w:type="character" w:styleId="CommentReference">
    <w:name w:val="annotation reference"/>
    <w:basedOn w:val="DefaultParagraphFont"/>
    <w:uiPriority w:val="99"/>
    <w:semiHidden/>
    <w:unhideWhenUsed/>
    <w:rsid w:val="00F404FB"/>
    <w:rPr>
      <w:sz w:val="16"/>
      <w:szCs w:val="16"/>
    </w:rPr>
  </w:style>
  <w:style w:type="table" w:styleId="GridTable5Dark-Accent1">
    <w:name w:val="Grid Table 5 Dark Accent 1"/>
    <w:basedOn w:val="TableNormal"/>
    <w:uiPriority w:val="50"/>
    <w:rsid w:val="0067196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xmsonormal">
    <w:name w:val="x_msonormal"/>
    <w:basedOn w:val="Normal"/>
    <w:rsid w:val="004B6277"/>
    <w:pPr>
      <w:spacing w:before="100" w:beforeAutospacing="1" w:after="100" w:afterAutospacing="1" w:line="240" w:lineRule="auto"/>
      <w:ind w:firstLine="0"/>
    </w:pPr>
    <w:rPr>
      <w:rFonts w:ascii="Times New Roman" w:eastAsia="Times New Roman" w:hAnsi="Times New Roman" w:cs="Times New Roman"/>
      <w:sz w:val="24"/>
      <w:szCs w:val="24"/>
    </w:rPr>
  </w:style>
  <w:style w:type="paragraph" w:styleId="TOC4">
    <w:name w:val="toc 4"/>
    <w:basedOn w:val="Normal"/>
    <w:next w:val="Normal"/>
    <w:autoRedefine/>
    <w:uiPriority w:val="39"/>
    <w:unhideWhenUsed/>
    <w:rsid w:val="008A190D"/>
    <w:pPr>
      <w:spacing w:after="100"/>
      <w:ind w:left="660" w:firstLine="0"/>
    </w:pPr>
    <w:rPr>
      <w:rFonts w:eastAsiaTheme="minorEastAsia"/>
    </w:rPr>
  </w:style>
  <w:style w:type="paragraph" w:styleId="TOC5">
    <w:name w:val="toc 5"/>
    <w:basedOn w:val="Normal"/>
    <w:next w:val="Normal"/>
    <w:autoRedefine/>
    <w:uiPriority w:val="39"/>
    <w:unhideWhenUsed/>
    <w:rsid w:val="008A190D"/>
    <w:pPr>
      <w:spacing w:after="100"/>
      <w:ind w:left="880" w:firstLine="0"/>
    </w:pPr>
    <w:rPr>
      <w:rFonts w:eastAsiaTheme="minorEastAsia"/>
    </w:rPr>
  </w:style>
  <w:style w:type="paragraph" w:styleId="TOC6">
    <w:name w:val="toc 6"/>
    <w:basedOn w:val="Normal"/>
    <w:next w:val="Normal"/>
    <w:autoRedefine/>
    <w:uiPriority w:val="39"/>
    <w:unhideWhenUsed/>
    <w:rsid w:val="008A190D"/>
    <w:pPr>
      <w:spacing w:after="100"/>
      <w:ind w:left="1100" w:firstLine="0"/>
    </w:pPr>
    <w:rPr>
      <w:rFonts w:eastAsiaTheme="minorEastAsia"/>
    </w:rPr>
  </w:style>
  <w:style w:type="paragraph" w:styleId="TOC7">
    <w:name w:val="toc 7"/>
    <w:basedOn w:val="Normal"/>
    <w:next w:val="Normal"/>
    <w:autoRedefine/>
    <w:uiPriority w:val="39"/>
    <w:unhideWhenUsed/>
    <w:rsid w:val="008A190D"/>
    <w:pPr>
      <w:spacing w:after="100"/>
      <w:ind w:left="1320" w:firstLine="0"/>
    </w:pPr>
    <w:rPr>
      <w:rFonts w:eastAsiaTheme="minorEastAsia"/>
    </w:rPr>
  </w:style>
  <w:style w:type="paragraph" w:styleId="TOC8">
    <w:name w:val="toc 8"/>
    <w:basedOn w:val="Normal"/>
    <w:next w:val="Normal"/>
    <w:autoRedefine/>
    <w:uiPriority w:val="39"/>
    <w:unhideWhenUsed/>
    <w:rsid w:val="008A190D"/>
    <w:pPr>
      <w:spacing w:after="100"/>
      <w:ind w:left="1540" w:firstLine="0"/>
    </w:pPr>
    <w:rPr>
      <w:rFonts w:eastAsiaTheme="minorEastAsia"/>
    </w:rPr>
  </w:style>
  <w:style w:type="paragraph" w:styleId="TOC9">
    <w:name w:val="toc 9"/>
    <w:basedOn w:val="Normal"/>
    <w:next w:val="Normal"/>
    <w:autoRedefine/>
    <w:uiPriority w:val="39"/>
    <w:unhideWhenUsed/>
    <w:rsid w:val="008A190D"/>
    <w:pPr>
      <w:spacing w:after="100"/>
      <w:ind w:left="1760" w:firstLine="0"/>
    </w:pPr>
    <w:rPr>
      <w:rFonts w:eastAsiaTheme="minorEastAsia"/>
    </w:rPr>
  </w:style>
  <w:style w:type="paragraph" w:styleId="CommentSubject">
    <w:name w:val="annotation subject"/>
    <w:basedOn w:val="CommentText"/>
    <w:next w:val="CommentText"/>
    <w:link w:val="CommentSubjectChar"/>
    <w:uiPriority w:val="99"/>
    <w:semiHidden/>
    <w:unhideWhenUsed/>
    <w:rsid w:val="00281AEA"/>
    <w:pPr>
      <w:ind w:firstLine="720"/>
    </w:pPr>
    <w:rPr>
      <w:b/>
      <w:bCs/>
    </w:rPr>
  </w:style>
  <w:style w:type="character" w:customStyle="1" w:styleId="CommentSubjectChar">
    <w:name w:val="Comment Subject Char"/>
    <w:basedOn w:val="CommentTextChar"/>
    <w:link w:val="CommentSubject"/>
    <w:uiPriority w:val="99"/>
    <w:semiHidden/>
    <w:rsid w:val="00281AE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959729">
      <w:bodyDiv w:val="1"/>
      <w:marLeft w:val="0"/>
      <w:marRight w:val="0"/>
      <w:marTop w:val="0"/>
      <w:marBottom w:val="0"/>
      <w:divBdr>
        <w:top w:val="none" w:sz="0" w:space="0" w:color="auto"/>
        <w:left w:val="none" w:sz="0" w:space="0" w:color="auto"/>
        <w:bottom w:val="none" w:sz="0" w:space="0" w:color="auto"/>
        <w:right w:val="none" w:sz="0" w:space="0" w:color="auto"/>
      </w:divBdr>
    </w:div>
    <w:div w:id="174538187">
      <w:bodyDiv w:val="1"/>
      <w:marLeft w:val="0"/>
      <w:marRight w:val="0"/>
      <w:marTop w:val="0"/>
      <w:marBottom w:val="0"/>
      <w:divBdr>
        <w:top w:val="none" w:sz="0" w:space="0" w:color="auto"/>
        <w:left w:val="none" w:sz="0" w:space="0" w:color="auto"/>
        <w:bottom w:val="none" w:sz="0" w:space="0" w:color="auto"/>
        <w:right w:val="none" w:sz="0" w:space="0" w:color="auto"/>
      </w:divBdr>
      <w:divsChild>
        <w:div w:id="1006588616">
          <w:marLeft w:val="0"/>
          <w:marRight w:val="0"/>
          <w:marTop w:val="210"/>
          <w:marBottom w:val="0"/>
          <w:divBdr>
            <w:top w:val="none" w:sz="0" w:space="0" w:color="auto"/>
            <w:left w:val="none" w:sz="0" w:space="0" w:color="auto"/>
            <w:bottom w:val="none" w:sz="0" w:space="0" w:color="auto"/>
            <w:right w:val="none" w:sz="0" w:space="0" w:color="auto"/>
          </w:divBdr>
        </w:div>
        <w:div w:id="1596285357">
          <w:marLeft w:val="0"/>
          <w:marRight w:val="0"/>
          <w:marTop w:val="210"/>
          <w:marBottom w:val="0"/>
          <w:divBdr>
            <w:top w:val="none" w:sz="0" w:space="0" w:color="auto"/>
            <w:left w:val="none" w:sz="0" w:space="0" w:color="auto"/>
            <w:bottom w:val="none" w:sz="0" w:space="0" w:color="auto"/>
            <w:right w:val="none" w:sz="0" w:space="0" w:color="auto"/>
          </w:divBdr>
        </w:div>
        <w:div w:id="231812855">
          <w:marLeft w:val="0"/>
          <w:marRight w:val="0"/>
          <w:marTop w:val="210"/>
          <w:marBottom w:val="0"/>
          <w:divBdr>
            <w:top w:val="none" w:sz="0" w:space="0" w:color="auto"/>
            <w:left w:val="none" w:sz="0" w:space="0" w:color="auto"/>
            <w:bottom w:val="none" w:sz="0" w:space="0" w:color="auto"/>
            <w:right w:val="none" w:sz="0" w:space="0" w:color="auto"/>
          </w:divBdr>
        </w:div>
        <w:div w:id="1963801542">
          <w:marLeft w:val="0"/>
          <w:marRight w:val="0"/>
          <w:marTop w:val="210"/>
          <w:marBottom w:val="0"/>
          <w:divBdr>
            <w:top w:val="none" w:sz="0" w:space="0" w:color="auto"/>
            <w:left w:val="none" w:sz="0" w:space="0" w:color="auto"/>
            <w:bottom w:val="none" w:sz="0" w:space="0" w:color="auto"/>
            <w:right w:val="none" w:sz="0" w:space="0" w:color="auto"/>
          </w:divBdr>
        </w:div>
        <w:div w:id="701133643">
          <w:marLeft w:val="0"/>
          <w:marRight w:val="0"/>
          <w:marTop w:val="210"/>
          <w:marBottom w:val="0"/>
          <w:divBdr>
            <w:top w:val="none" w:sz="0" w:space="0" w:color="auto"/>
            <w:left w:val="none" w:sz="0" w:space="0" w:color="auto"/>
            <w:bottom w:val="none" w:sz="0" w:space="0" w:color="auto"/>
            <w:right w:val="none" w:sz="0" w:space="0" w:color="auto"/>
          </w:divBdr>
        </w:div>
      </w:divsChild>
    </w:div>
    <w:div w:id="175853183">
      <w:bodyDiv w:val="1"/>
      <w:marLeft w:val="0"/>
      <w:marRight w:val="0"/>
      <w:marTop w:val="0"/>
      <w:marBottom w:val="0"/>
      <w:divBdr>
        <w:top w:val="none" w:sz="0" w:space="0" w:color="auto"/>
        <w:left w:val="none" w:sz="0" w:space="0" w:color="auto"/>
        <w:bottom w:val="none" w:sz="0" w:space="0" w:color="auto"/>
        <w:right w:val="none" w:sz="0" w:space="0" w:color="auto"/>
      </w:divBdr>
    </w:div>
    <w:div w:id="209074264">
      <w:bodyDiv w:val="1"/>
      <w:marLeft w:val="0"/>
      <w:marRight w:val="0"/>
      <w:marTop w:val="0"/>
      <w:marBottom w:val="0"/>
      <w:divBdr>
        <w:top w:val="none" w:sz="0" w:space="0" w:color="auto"/>
        <w:left w:val="none" w:sz="0" w:space="0" w:color="auto"/>
        <w:bottom w:val="none" w:sz="0" w:space="0" w:color="auto"/>
        <w:right w:val="none" w:sz="0" w:space="0" w:color="auto"/>
      </w:divBdr>
    </w:div>
    <w:div w:id="321855289">
      <w:bodyDiv w:val="1"/>
      <w:marLeft w:val="0"/>
      <w:marRight w:val="0"/>
      <w:marTop w:val="0"/>
      <w:marBottom w:val="0"/>
      <w:divBdr>
        <w:top w:val="none" w:sz="0" w:space="0" w:color="auto"/>
        <w:left w:val="none" w:sz="0" w:space="0" w:color="auto"/>
        <w:bottom w:val="none" w:sz="0" w:space="0" w:color="auto"/>
        <w:right w:val="none" w:sz="0" w:space="0" w:color="auto"/>
      </w:divBdr>
    </w:div>
    <w:div w:id="386686645">
      <w:bodyDiv w:val="1"/>
      <w:marLeft w:val="0"/>
      <w:marRight w:val="0"/>
      <w:marTop w:val="0"/>
      <w:marBottom w:val="0"/>
      <w:divBdr>
        <w:top w:val="none" w:sz="0" w:space="0" w:color="auto"/>
        <w:left w:val="none" w:sz="0" w:space="0" w:color="auto"/>
        <w:bottom w:val="none" w:sz="0" w:space="0" w:color="auto"/>
        <w:right w:val="none" w:sz="0" w:space="0" w:color="auto"/>
      </w:divBdr>
    </w:div>
    <w:div w:id="394087143">
      <w:bodyDiv w:val="1"/>
      <w:marLeft w:val="0"/>
      <w:marRight w:val="0"/>
      <w:marTop w:val="0"/>
      <w:marBottom w:val="0"/>
      <w:divBdr>
        <w:top w:val="none" w:sz="0" w:space="0" w:color="auto"/>
        <w:left w:val="none" w:sz="0" w:space="0" w:color="auto"/>
        <w:bottom w:val="none" w:sz="0" w:space="0" w:color="auto"/>
        <w:right w:val="none" w:sz="0" w:space="0" w:color="auto"/>
      </w:divBdr>
    </w:div>
    <w:div w:id="562102989">
      <w:bodyDiv w:val="1"/>
      <w:marLeft w:val="0"/>
      <w:marRight w:val="0"/>
      <w:marTop w:val="0"/>
      <w:marBottom w:val="0"/>
      <w:divBdr>
        <w:top w:val="none" w:sz="0" w:space="0" w:color="auto"/>
        <w:left w:val="none" w:sz="0" w:space="0" w:color="auto"/>
        <w:bottom w:val="none" w:sz="0" w:space="0" w:color="auto"/>
        <w:right w:val="none" w:sz="0" w:space="0" w:color="auto"/>
      </w:divBdr>
      <w:divsChild>
        <w:div w:id="1973831012">
          <w:marLeft w:val="0"/>
          <w:marRight w:val="0"/>
          <w:marTop w:val="210"/>
          <w:marBottom w:val="0"/>
          <w:divBdr>
            <w:top w:val="none" w:sz="0" w:space="0" w:color="auto"/>
            <w:left w:val="none" w:sz="0" w:space="0" w:color="auto"/>
            <w:bottom w:val="none" w:sz="0" w:space="0" w:color="auto"/>
            <w:right w:val="none" w:sz="0" w:space="0" w:color="auto"/>
          </w:divBdr>
        </w:div>
        <w:div w:id="947859973">
          <w:marLeft w:val="0"/>
          <w:marRight w:val="0"/>
          <w:marTop w:val="210"/>
          <w:marBottom w:val="0"/>
          <w:divBdr>
            <w:top w:val="none" w:sz="0" w:space="0" w:color="auto"/>
            <w:left w:val="none" w:sz="0" w:space="0" w:color="auto"/>
            <w:bottom w:val="none" w:sz="0" w:space="0" w:color="auto"/>
            <w:right w:val="none" w:sz="0" w:space="0" w:color="auto"/>
          </w:divBdr>
        </w:div>
        <w:div w:id="69277896">
          <w:marLeft w:val="0"/>
          <w:marRight w:val="0"/>
          <w:marTop w:val="210"/>
          <w:marBottom w:val="0"/>
          <w:divBdr>
            <w:top w:val="none" w:sz="0" w:space="0" w:color="auto"/>
            <w:left w:val="none" w:sz="0" w:space="0" w:color="auto"/>
            <w:bottom w:val="none" w:sz="0" w:space="0" w:color="auto"/>
            <w:right w:val="none" w:sz="0" w:space="0" w:color="auto"/>
          </w:divBdr>
        </w:div>
        <w:div w:id="290013386">
          <w:marLeft w:val="0"/>
          <w:marRight w:val="0"/>
          <w:marTop w:val="210"/>
          <w:marBottom w:val="0"/>
          <w:divBdr>
            <w:top w:val="none" w:sz="0" w:space="0" w:color="auto"/>
            <w:left w:val="none" w:sz="0" w:space="0" w:color="auto"/>
            <w:bottom w:val="none" w:sz="0" w:space="0" w:color="auto"/>
            <w:right w:val="none" w:sz="0" w:space="0" w:color="auto"/>
          </w:divBdr>
        </w:div>
      </w:divsChild>
    </w:div>
    <w:div w:id="678822252">
      <w:bodyDiv w:val="1"/>
      <w:marLeft w:val="0"/>
      <w:marRight w:val="0"/>
      <w:marTop w:val="0"/>
      <w:marBottom w:val="0"/>
      <w:divBdr>
        <w:top w:val="none" w:sz="0" w:space="0" w:color="auto"/>
        <w:left w:val="none" w:sz="0" w:space="0" w:color="auto"/>
        <w:bottom w:val="none" w:sz="0" w:space="0" w:color="auto"/>
        <w:right w:val="none" w:sz="0" w:space="0" w:color="auto"/>
      </w:divBdr>
      <w:divsChild>
        <w:div w:id="1241402023">
          <w:marLeft w:val="0"/>
          <w:marRight w:val="0"/>
          <w:marTop w:val="210"/>
          <w:marBottom w:val="0"/>
          <w:divBdr>
            <w:top w:val="none" w:sz="0" w:space="0" w:color="auto"/>
            <w:left w:val="none" w:sz="0" w:space="0" w:color="auto"/>
            <w:bottom w:val="none" w:sz="0" w:space="0" w:color="auto"/>
            <w:right w:val="none" w:sz="0" w:space="0" w:color="auto"/>
          </w:divBdr>
        </w:div>
        <w:div w:id="88887796">
          <w:marLeft w:val="0"/>
          <w:marRight w:val="0"/>
          <w:marTop w:val="210"/>
          <w:marBottom w:val="0"/>
          <w:divBdr>
            <w:top w:val="none" w:sz="0" w:space="0" w:color="auto"/>
            <w:left w:val="none" w:sz="0" w:space="0" w:color="auto"/>
            <w:bottom w:val="none" w:sz="0" w:space="0" w:color="auto"/>
            <w:right w:val="none" w:sz="0" w:space="0" w:color="auto"/>
          </w:divBdr>
        </w:div>
        <w:div w:id="837697270">
          <w:marLeft w:val="0"/>
          <w:marRight w:val="0"/>
          <w:marTop w:val="210"/>
          <w:marBottom w:val="0"/>
          <w:divBdr>
            <w:top w:val="none" w:sz="0" w:space="0" w:color="auto"/>
            <w:left w:val="none" w:sz="0" w:space="0" w:color="auto"/>
            <w:bottom w:val="none" w:sz="0" w:space="0" w:color="auto"/>
            <w:right w:val="none" w:sz="0" w:space="0" w:color="auto"/>
          </w:divBdr>
        </w:div>
        <w:div w:id="33427469">
          <w:marLeft w:val="0"/>
          <w:marRight w:val="0"/>
          <w:marTop w:val="210"/>
          <w:marBottom w:val="0"/>
          <w:divBdr>
            <w:top w:val="none" w:sz="0" w:space="0" w:color="auto"/>
            <w:left w:val="none" w:sz="0" w:space="0" w:color="auto"/>
            <w:bottom w:val="none" w:sz="0" w:space="0" w:color="auto"/>
            <w:right w:val="none" w:sz="0" w:space="0" w:color="auto"/>
          </w:divBdr>
        </w:div>
        <w:div w:id="1175730589">
          <w:marLeft w:val="0"/>
          <w:marRight w:val="0"/>
          <w:marTop w:val="210"/>
          <w:marBottom w:val="0"/>
          <w:divBdr>
            <w:top w:val="none" w:sz="0" w:space="0" w:color="auto"/>
            <w:left w:val="none" w:sz="0" w:space="0" w:color="auto"/>
            <w:bottom w:val="none" w:sz="0" w:space="0" w:color="auto"/>
            <w:right w:val="none" w:sz="0" w:space="0" w:color="auto"/>
          </w:divBdr>
        </w:div>
      </w:divsChild>
    </w:div>
    <w:div w:id="707604065">
      <w:bodyDiv w:val="1"/>
      <w:marLeft w:val="0"/>
      <w:marRight w:val="0"/>
      <w:marTop w:val="0"/>
      <w:marBottom w:val="0"/>
      <w:divBdr>
        <w:top w:val="none" w:sz="0" w:space="0" w:color="auto"/>
        <w:left w:val="none" w:sz="0" w:space="0" w:color="auto"/>
        <w:bottom w:val="none" w:sz="0" w:space="0" w:color="auto"/>
        <w:right w:val="none" w:sz="0" w:space="0" w:color="auto"/>
      </w:divBdr>
    </w:div>
    <w:div w:id="759255750">
      <w:bodyDiv w:val="1"/>
      <w:marLeft w:val="0"/>
      <w:marRight w:val="0"/>
      <w:marTop w:val="0"/>
      <w:marBottom w:val="0"/>
      <w:divBdr>
        <w:top w:val="none" w:sz="0" w:space="0" w:color="auto"/>
        <w:left w:val="none" w:sz="0" w:space="0" w:color="auto"/>
        <w:bottom w:val="none" w:sz="0" w:space="0" w:color="auto"/>
        <w:right w:val="none" w:sz="0" w:space="0" w:color="auto"/>
      </w:divBdr>
      <w:divsChild>
        <w:div w:id="1496265469">
          <w:marLeft w:val="0"/>
          <w:marRight w:val="0"/>
          <w:marTop w:val="210"/>
          <w:marBottom w:val="0"/>
          <w:divBdr>
            <w:top w:val="none" w:sz="0" w:space="0" w:color="auto"/>
            <w:left w:val="none" w:sz="0" w:space="0" w:color="auto"/>
            <w:bottom w:val="none" w:sz="0" w:space="0" w:color="auto"/>
            <w:right w:val="none" w:sz="0" w:space="0" w:color="auto"/>
          </w:divBdr>
        </w:div>
      </w:divsChild>
    </w:div>
    <w:div w:id="921986744">
      <w:bodyDiv w:val="1"/>
      <w:marLeft w:val="0"/>
      <w:marRight w:val="0"/>
      <w:marTop w:val="0"/>
      <w:marBottom w:val="0"/>
      <w:divBdr>
        <w:top w:val="none" w:sz="0" w:space="0" w:color="auto"/>
        <w:left w:val="none" w:sz="0" w:space="0" w:color="auto"/>
        <w:bottom w:val="none" w:sz="0" w:space="0" w:color="auto"/>
        <w:right w:val="none" w:sz="0" w:space="0" w:color="auto"/>
      </w:divBdr>
    </w:div>
    <w:div w:id="960918344">
      <w:bodyDiv w:val="1"/>
      <w:marLeft w:val="0"/>
      <w:marRight w:val="0"/>
      <w:marTop w:val="0"/>
      <w:marBottom w:val="0"/>
      <w:divBdr>
        <w:top w:val="none" w:sz="0" w:space="0" w:color="auto"/>
        <w:left w:val="none" w:sz="0" w:space="0" w:color="auto"/>
        <w:bottom w:val="none" w:sz="0" w:space="0" w:color="auto"/>
        <w:right w:val="none" w:sz="0" w:space="0" w:color="auto"/>
      </w:divBdr>
    </w:div>
    <w:div w:id="1024408141">
      <w:bodyDiv w:val="1"/>
      <w:marLeft w:val="0"/>
      <w:marRight w:val="0"/>
      <w:marTop w:val="0"/>
      <w:marBottom w:val="0"/>
      <w:divBdr>
        <w:top w:val="none" w:sz="0" w:space="0" w:color="auto"/>
        <w:left w:val="none" w:sz="0" w:space="0" w:color="auto"/>
        <w:bottom w:val="none" w:sz="0" w:space="0" w:color="auto"/>
        <w:right w:val="none" w:sz="0" w:space="0" w:color="auto"/>
      </w:divBdr>
    </w:div>
    <w:div w:id="1044717331">
      <w:bodyDiv w:val="1"/>
      <w:marLeft w:val="0"/>
      <w:marRight w:val="0"/>
      <w:marTop w:val="0"/>
      <w:marBottom w:val="0"/>
      <w:divBdr>
        <w:top w:val="none" w:sz="0" w:space="0" w:color="auto"/>
        <w:left w:val="none" w:sz="0" w:space="0" w:color="auto"/>
        <w:bottom w:val="none" w:sz="0" w:space="0" w:color="auto"/>
        <w:right w:val="none" w:sz="0" w:space="0" w:color="auto"/>
      </w:divBdr>
    </w:div>
    <w:div w:id="1098864848">
      <w:bodyDiv w:val="1"/>
      <w:marLeft w:val="0"/>
      <w:marRight w:val="0"/>
      <w:marTop w:val="0"/>
      <w:marBottom w:val="0"/>
      <w:divBdr>
        <w:top w:val="none" w:sz="0" w:space="0" w:color="auto"/>
        <w:left w:val="none" w:sz="0" w:space="0" w:color="auto"/>
        <w:bottom w:val="none" w:sz="0" w:space="0" w:color="auto"/>
        <w:right w:val="none" w:sz="0" w:space="0" w:color="auto"/>
      </w:divBdr>
    </w:div>
    <w:div w:id="1608393815">
      <w:bodyDiv w:val="1"/>
      <w:marLeft w:val="0"/>
      <w:marRight w:val="0"/>
      <w:marTop w:val="0"/>
      <w:marBottom w:val="0"/>
      <w:divBdr>
        <w:top w:val="none" w:sz="0" w:space="0" w:color="auto"/>
        <w:left w:val="none" w:sz="0" w:space="0" w:color="auto"/>
        <w:bottom w:val="none" w:sz="0" w:space="0" w:color="auto"/>
        <w:right w:val="none" w:sz="0" w:space="0" w:color="auto"/>
      </w:divBdr>
    </w:div>
    <w:div w:id="1664116914">
      <w:bodyDiv w:val="1"/>
      <w:marLeft w:val="0"/>
      <w:marRight w:val="0"/>
      <w:marTop w:val="0"/>
      <w:marBottom w:val="0"/>
      <w:divBdr>
        <w:top w:val="none" w:sz="0" w:space="0" w:color="auto"/>
        <w:left w:val="none" w:sz="0" w:space="0" w:color="auto"/>
        <w:bottom w:val="none" w:sz="0" w:space="0" w:color="auto"/>
        <w:right w:val="none" w:sz="0" w:space="0" w:color="auto"/>
      </w:divBdr>
      <w:divsChild>
        <w:div w:id="1497722128">
          <w:marLeft w:val="0"/>
          <w:marRight w:val="0"/>
          <w:marTop w:val="210"/>
          <w:marBottom w:val="0"/>
          <w:divBdr>
            <w:top w:val="none" w:sz="0" w:space="0" w:color="auto"/>
            <w:left w:val="none" w:sz="0" w:space="0" w:color="auto"/>
            <w:bottom w:val="none" w:sz="0" w:space="0" w:color="auto"/>
            <w:right w:val="none" w:sz="0" w:space="0" w:color="auto"/>
          </w:divBdr>
        </w:div>
        <w:div w:id="2074618893">
          <w:marLeft w:val="0"/>
          <w:marRight w:val="0"/>
          <w:marTop w:val="210"/>
          <w:marBottom w:val="0"/>
          <w:divBdr>
            <w:top w:val="none" w:sz="0" w:space="0" w:color="auto"/>
            <w:left w:val="none" w:sz="0" w:space="0" w:color="auto"/>
            <w:bottom w:val="none" w:sz="0" w:space="0" w:color="auto"/>
            <w:right w:val="none" w:sz="0" w:space="0" w:color="auto"/>
          </w:divBdr>
        </w:div>
        <w:div w:id="1544515869">
          <w:marLeft w:val="0"/>
          <w:marRight w:val="0"/>
          <w:marTop w:val="210"/>
          <w:marBottom w:val="0"/>
          <w:divBdr>
            <w:top w:val="none" w:sz="0" w:space="0" w:color="auto"/>
            <w:left w:val="none" w:sz="0" w:space="0" w:color="auto"/>
            <w:bottom w:val="none" w:sz="0" w:space="0" w:color="auto"/>
            <w:right w:val="none" w:sz="0" w:space="0" w:color="auto"/>
          </w:divBdr>
        </w:div>
        <w:div w:id="1160387435">
          <w:marLeft w:val="0"/>
          <w:marRight w:val="0"/>
          <w:marTop w:val="210"/>
          <w:marBottom w:val="0"/>
          <w:divBdr>
            <w:top w:val="none" w:sz="0" w:space="0" w:color="auto"/>
            <w:left w:val="none" w:sz="0" w:space="0" w:color="auto"/>
            <w:bottom w:val="none" w:sz="0" w:space="0" w:color="auto"/>
            <w:right w:val="none" w:sz="0" w:space="0" w:color="auto"/>
          </w:divBdr>
        </w:div>
      </w:divsChild>
    </w:div>
    <w:div w:id="1907839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intac-s3.s3-us-west-2.amazonaws.com/topic-areas/ta_511/Hawaii_Information_and_Referral.docx" TargetMode="External"/><Relationship Id="rId21" Type="http://schemas.openxmlformats.org/officeDocument/2006/relationships/header" Target="header5.xml"/><Relationship Id="rId324" Type="http://schemas.openxmlformats.org/officeDocument/2006/relationships/header" Target="header27.xml"/><Relationship Id="rId531" Type="http://schemas.openxmlformats.org/officeDocument/2006/relationships/hyperlink" Target="https://coehp.uark.edu/directory/index/uid/tbriganc/name/Terry-Brigance/" TargetMode="External"/><Relationship Id="rId170" Type="http://schemas.openxmlformats.org/officeDocument/2006/relationships/hyperlink" Target="http://wintac-s3.s3-us-west-2.amazonaws.com/topic-areas/t05_CommonPerformance/t05_resources/VR_Program_Statistical_Adjustment_Model_for_MSG_Rate_(PYs_2020_and_2021).xlsx" TargetMode="External"/><Relationship Id="rId268" Type="http://schemas.openxmlformats.org/officeDocument/2006/relationships/hyperlink" Target="http://wintac-s3.s3-us-west-2.amazonaws.com/topic-areas/ta_IntegrationVR/IDB_GUIDE_final.pdf" TargetMode="External"/><Relationship Id="rId475" Type="http://schemas.openxmlformats.org/officeDocument/2006/relationships/hyperlink" Target="http://www.miltwright.com/topics/Windmills-TT.htm" TargetMode="External"/><Relationship Id="rId32" Type="http://schemas.openxmlformats.org/officeDocument/2006/relationships/image" Target="media/image14.png"/><Relationship Id="rId128" Type="http://schemas.openxmlformats.org/officeDocument/2006/relationships/header" Target="header13.xml"/><Relationship Id="rId335" Type="http://schemas.openxmlformats.org/officeDocument/2006/relationships/image" Target="media/image76.png"/><Relationship Id="rId542" Type="http://schemas.openxmlformats.org/officeDocument/2006/relationships/header" Target="header53.xml"/><Relationship Id="rId181" Type="http://schemas.openxmlformats.org/officeDocument/2006/relationships/hyperlink" Target="https://www2.ed.gov/policy/speced/guid/rsa/subregulatory/tac-19-01.pdf" TargetMode="External"/><Relationship Id="rId402" Type="http://schemas.openxmlformats.org/officeDocument/2006/relationships/hyperlink" Target="http://wintac-s3.s3-us-west-2.amazonaws.com/topic-areas/ta07-tciplus-lmi/PrintReportFinal.docx" TargetMode="External"/><Relationship Id="rId279" Type="http://schemas.openxmlformats.org/officeDocument/2006/relationships/hyperlink" Target="http://wintac-s3.s3-us-west-2.amazonaws.com/topic-areas/ta_IntegrationVR/ADA_RelatedResources.docx" TargetMode="External"/><Relationship Id="rId486" Type="http://schemas.openxmlformats.org/officeDocument/2006/relationships/hyperlink" Target="http://wintac-s3.s3-us-west-2.amazonaws.com/topic-areas/ta06_BesinessEngagement/additional_resources/AT_Supporting_People_with_Mental_Health_Disabilities.docx" TargetMode="External"/><Relationship Id="rId43" Type="http://schemas.openxmlformats.org/officeDocument/2006/relationships/hyperlink" Target="http://www.wintac.org/content/resources-distance-service-delivery" TargetMode="External"/><Relationship Id="rId139" Type="http://schemas.openxmlformats.org/officeDocument/2006/relationships/image" Target="media/image36.png"/><Relationship Id="rId346" Type="http://schemas.openxmlformats.org/officeDocument/2006/relationships/hyperlink" Target="http://wintac-s3.s3-us-west-2.amazonaws.com/topic-areas/ta03_IntCompetEmpl/CE_Pilot_Roadmap_Final_10.9.19.pdf" TargetMode="External"/><Relationship Id="rId192" Type="http://schemas.openxmlformats.org/officeDocument/2006/relationships/hyperlink" Target="https://gcc01.safelinks.protection.outlook.com/?url=https%3A%2F%2Fwww.workforcegps.org%2Fresources%2F2019%2F05%2F14%2F15%2F12%2FState-Wage-Interchange-System-SWIS-Informational-Webcast&amp;data=02%7C01%7CLewis.Shelia.F%40DOL.GOV%7Ceffb64f94b6540b4bb7a08d6d8a87546%7C75a6305472044e0c9126adab971d4aca%7C0%7C0%7C636934615374981706&amp;sdata=XHK7f7I7ZI0VQBCBj7dpUxF3OOqAy6p1ELhgKNePntU%3D&amp;reserved=0" TargetMode="External"/><Relationship Id="rId206" Type="http://schemas.openxmlformats.org/officeDocument/2006/relationships/hyperlink" Target="https://www.doleta.gov/performance/guidance/negotiating.cfm" TargetMode="External"/><Relationship Id="rId413" Type="http://schemas.openxmlformats.org/officeDocument/2006/relationships/hyperlink" Target="http://wintac-s3.s3-us-west-2.amazonaws.com/topic-areas/ta07-tciplus-lmi/LMI-Form-1-LMI-Review.docx" TargetMode="External"/><Relationship Id="rId248" Type="http://schemas.openxmlformats.org/officeDocument/2006/relationships/hyperlink" Target="http://wintac-s3.s3-us-west-2.amazonaws.com/topic-areas/ta04-IntergrationVR/RSA-WINTAC-Cost-Allocation-Technical-Assistance-Tool-final-cn.pdf" TargetMode="External"/><Relationship Id="rId455" Type="http://schemas.openxmlformats.org/officeDocument/2006/relationships/header" Target="header47.xml"/><Relationship Id="rId497" Type="http://schemas.openxmlformats.org/officeDocument/2006/relationships/hyperlink" Target="http://www.eeoc.gov/facts/accommodation.html" TargetMode="External"/><Relationship Id="rId12" Type="http://schemas.openxmlformats.org/officeDocument/2006/relationships/header" Target="header3.xml"/><Relationship Id="rId108" Type="http://schemas.openxmlformats.org/officeDocument/2006/relationships/image" Target="media/image27.png"/><Relationship Id="rId315" Type="http://schemas.openxmlformats.org/officeDocument/2006/relationships/hyperlink" Target="http://wintac-s3.s3-us-west-2.amazonaws.com/topic-areas/ta03_IntCompetEmpl/SupportedEmployment_definitions_and_practice_under_WIOA.docx" TargetMode="External"/><Relationship Id="rId357" Type="http://schemas.openxmlformats.org/officeDocument/2006/relationships/footer" Target="footer34.xml"/><Relationship Id="rId522" Type="http://schemas.openxmlformats.org/officeDocument/2006/relationships/hyperlink" Target="https://www.dol.gov/apprenticeship/pdf/RA-WS-Partnerships.pdf" TargetMode="External"/><Relationship Id="rId54" Type="http://schemas.openxmlformats.org/officeDocument/2006/relationships/hyperlink" Target="http://wintac-s3.s3-us-west-2.amazonaws.com/files/covid-19/service-delivery/Explore-Work-Services.docx" TargetMode="External"/><Relationship Id="rId96" Type="http://schemas.openxmlformats.org/officeDocument/2006/relationships/header" Target="header9.xml"/><Relationship Id="rId161" Type="http://schemas.openxmlformats.org/officeDocument/2006/relationships/hyperlink" Target="http://wintac-s3.s3-us-west-2.amazonaws.com/topic-areas/t05_CommonPerformance/t05_resources/MSG_Guide_Final_cn2.pdf" TargetMode="External"/><Relationship Id="rId217" Type="http://schemas.openxmlformats.org/officeDocument/2006/relationships/image" Target="media/image47.png"/><Relationship Id="rId399" Type="http://schemas.openxmlformats.org/officeDocument/2006/relationships/hyperlink" Target="http://wintac-s3.s3-us-west-2.amazonaws.com/topic-areas/ta07-tciplus-lmi/InformationFinal.docx" TargetMode="External"/><Relationship Id="rId259" Type="http://schemas.openxmlformats.org/officeDocument/2006/relationships/hyperlink" Target="http://wintac-s3.s3-us-west-2.amazonaws.com/topic-areas/ta_IntegrationVR/CP-checklist_CN_FINAL_2.pdf" TargetMode="External"/><Relationship Id="rId424" Type="http://schemas.openxmlformats.org/officeDocument/2006/relationships/header" Target="header39.xml"/><Relationship Id="rId466" Type="http://schemas.openxmlformats.org/officeDocument/2006/relationships/hyperlink" Target="http://www.ncset.org/publications/viewdesc.asp?id=704" TargetMode="External"/><Relationship Id="rId23" Type="http://schemas.openxmlformats.org/officeDocument/2006/relationships/footer" Target="footer6.xml"/><Relationship Id="rId119" Type="http://schemas.openxmlformats.org/officeDocument/2006/relationships/hyperlink" Target="http://wintac-s3.s3-us-west-2.amazonaws.com/topic-areas/ta_511/SubWage_Letter_to_Employee_Parent_Guardian.doc" TargetMode="External"/><Relationship Id="rId270" Type="http://schemas.openxmlformats.org/officeDocument/2006/relationships/hyperlink" Target="http://www.wintac.org/topic-areas/business-engagement-and-employer-supports" TargetMode="External"/><Relationship Id="rId326" Type="http://schemas.openxmlformats.org/officeDocument/2006/relationships/image" Target="media/image67.png"/><Relationship Id="rId533" Type="http://schemas.openxmlformats.org/officeDocument/2006/relationships/hyperlink" Target="http://wintac-s3.s3-us-west-2.amazonaws.com/topic-areas/ta08_ACT/CT2_toolkit__remediated.pdf" TargetMode="External"/><Relationship Id="rId65" Type="http://schemas.openxmlformats.org/officeDocument/2006/relationships/hyperlink" Target="http://www.wintac.org/topic-areas/pre-employment-transition-services/resources/rehab-act-and-idea-regs-interagency-agreement" TargetMode="External"/><Relationship Id="rId130" Type="http://schemas.openxmlformats.org/officeDocument/2006/relationships/footer" Target="footer15.xml"/><Relationship Id="rId368" Type="http://schemas.openxmlformats.org/officeDocument/2006/relationships/footer" Target="footer35.xml"/><Relationship Id="rId172" Type="http://schemas.openxmlformats.org/officeDocument/2006/relationships/hyperlink" Target="http://links.govdelivery.com/track?type=click&amp;enid=ZWFzPTEmbWFpbGluZ2lkPTIwMTkwNTE2LjU5NTgyMzEmbWVzc2FnZWlkPU1EQi1QUkQtQlVMLTIwMTkwNTE2LjU5NTgyMzEmZGF0YWJhc2VpZD0xMDAxJnNlcmlhbD0xODA5MjIzMCZlbWFpbGlkPXJhbmRlcnNvbkBuZGktaW5jLm9yZyZ1c2VyaWQ9cmFuZGVyc29uQG5kaS1pbmMub3JnJmZsPSZleHRyYT1NdWx0aXZhcmlhdGVJZD0mJiY=&amp;&amp;&amp;100&amp;&amp;&amp;https://www2.ed.gov/policy/speced/guid/rsa/subregulatory/pd-19-03.pdf?utm_content=&amp;utm_medium=email&amp;utm_name=&amp;utm_source=govdelivery&amp;utm_term=" TargetMode="External"/><Relationship Id="rId228" Type="http://schemas.openxmlformats.org/officeDocument/2006/relationships/footer" Target="footer25.xml"/><Relationship Id="rId435" Type="http://schemas.openxmlformats.org/officeDocument/2006/relationships/header" Target="header42.xml"/><Relationship Id="rId477" Type="http://schemas.openxmlformats.org/officeDocument/2006/relationships/hyperlink" Target="http://wintac-s3.s3-us-west-2.amazonaws.com/topic-areas/ta06_BesinessEngagement/additional_resources/Labor%20Issues%20and%20Youth-Pennult.docx" TargetMode="External"/><Relationship Id="rId281" Type="http://schemas.openxmlformats.org/officeDocument/2006/relationships/hyperlink" Target="http://wintac-s3.s3-us-west-2.amazonaws.com/topic-areas/ta_IntegrationVR/CP-checklist_CN_FINAL_2.pdf" TargetMode="External"/><Relationship Id="rId337" Type="http://schemas.openxmlformats.org/officeDocument/2006/relationships/image" Target="media/image78.png"/><Relationship Id="rId502" Type="http://schemas.openxmlformats.org/officeDocument/2006/relationships/hyperlink" Target="http://www.peatworks.org/" TargetMode="External"/><Relationship Id="rId34" Type="http://schemas.openxmlformats.org/officeDocument/2006/relationships/image" Target="media/image16.png"/><Relationship Id="rId76" Type="http://schemas.openxmlformats.org/officeDocument/2006/relationships/hyperlink" Target="http://wintac-s3.s3-us-west-2.amazonaws.com/topic-areas/ta_PreETS/tac-18-02.pdf" TargetMode="External"/><Relationship Id="rId141" Type="http://schemas.openxmlformats.org/officeDocument/2006/relationships/image" Target="media/image38.png"/><Relationship Id="rId379" Type="http://schemas.openxmlformats.org/officeDocument/2006/relationships/image" Target="media/image100.png"/><Relationship Id="rId544" Type="http://schemas.openxmlformats.org/officeDocument/2006/relationships/footer" Target="footer60.xml"/><Relationship Id="rId7" Type="http://schemas.openxmlformats.org/officeDocument/2006/relationships/endnotes" Target="endnotes.xml"/><Relationship Id="rId183" Type="http://schemas.openxmlformats.org/officeDocument/2006/relationships/hyperlink" Target="https://ncrtm.ed.gov/SearchResults.aspx?st=wioa+annual+report" TargetMode="External"/><Relationship Id="rId239" Type="http://schemas.openxmlformats.org/officeDocument/2006/relationships/hyperlink" Target="https://ion.workforcegps.org/announcements/2017/03/24/14/15/Sample_MOU" TargetMode="External"/><Relationship Id="rId390" Type="http://schemas.openxmlformats.org/officeDocument/2006/relationships/header" Target="header35.xml"/><Relationship Id="rId404" Type="http://schemas.openxmlformats.org/officeDocument/2006/relationships/hyperlink" Target="http://wintac-s3.s3-us-west-2.amazonaws.com/topic-areas/ta07-tciplus-lmi/RelatedJobsFinal.docx" TargetMode="External"/><Relationship Id="rId446" Type="http://schemas.openxmlformats.org/officeDocument/2006/relationships/image" Target="media/image122.png"/><Relationship Id="rId250" Type="http://schemas.openxmlformats.org/officeDocument/2006/relationships/hyperlink" Target="http://wintac-s3.s3-us-west-2.amazonaws.com/topic-areas/CooperativeAgreement_with_Recipients_of_Grants_for_Services_to_AmericanIndians.docx" TargetMode="External"/><Relationship Id="rId292" Type="http://schemas.openxmlformats.org/officeDocument/2006/relationships/hyperlink" Target="https://wintac-website-bfiles.s3-us-west-2.amazonaws.com/bfiles-t03/9998-id200301/id200301.html" TargetMode="External"/><Relationship Id="rId306" Type="http://schemas.openxmlformats.org/officeDocument/2006/relationships/hyperlink" Target="http://wintac-s3.s3-us-west-2.amazonaws.com/topic-areas/ta03_IntCompetEmpl/SE-Design-Essential-Questions-19-0604.docx" TargetMode="External"/><Relationship Id="rId488" Type="http://schemas.openxmlformats.org/officeDocument/2006/relationships/hyperlink" Target="http://www.communityinclusion.org/article.php?article_id=360" TargetMode="External"/><Relationship Id="rId45" Type="http://schemas.openxmlformats.org/officeDocument/2006/relationships/hyperlink" Target="https://events-na1.adobeconnect.com/content/connect/c1/2256426871/en/events/event/shared/default_template/event_registration.html?connect-session=na1breezizaxkc5scmyd2k35&amp;sco-id=2435138651&amp;_charset_=utf-8" TargetMode="External"/><Relationship Id="rId87" Type="http://schemas.openxmlformats.org/officeDocument/2006/relationships/hyperlink" Target="http://www2.ed.gov/about/offices/list/osers/transition/products/fpt-fact-sheet--work-based-eperiences--11-5-15.pdf?utm_content=&amp;utm_medium=email&amp;utm_name=&amp;utm_source=govdelivery&amp;utm_term=" TargetMode="External"/><Relationship Id="rId110" Type="http://schemas.openxmlformats.org/officeDocument/2006/relationships/image" Target="media/image29.png"/><Relationship Id="rId348" Type="http://schemas.openxmlformats.org/officeDocument/2006/relationships/hyperlink" Target="http://wintac-s3.s3-us-west-2.amazonaws.com/topic-areas/Recommendations-for-Customized-Employment-Practices_FINAL.pdf" TargetMode="External"/><Relationship Id="rId513" Type="http://schemas.openxmlformats.org/officeDocument/2006/relationships/hyperlink" Target="https://oa.doleta.gov/bat.cfm" TargetMode="External"/><Relationship Id="rId152" Type="http://schemas.openxmlformats.org/officeDocument/2006/relationships/hyperlink" Target="http://wintac-s3.s3-us-west-2.amazonaws.com/topic-areas/t05_CommonPerformance/t05_resources/PY17-18_MSG_Data_with_Dashboards_-_Accessible.xlsx" TargetMode="External"/><Relationship Id="rId194" Type="http://schemas.openxmlformats.org/officeDocument/2006/relationships/hyperlink" Target="https://www.workforcegps.org/events/2016/09/16/09/28/WIOA_Wednesday_Data_Matching_for_WIOA_Reporting" TargetMode="External"/><Relationship Id="rId208" Type="http://schemas.openxmlformats.org/officeDocument/2006/relationships/header" Target="header19.xml"/><Relationship Id="rId415" Type="http://schemas.openxmlformats.org/officeDocument/2006/relationships/hyperlink" Target="http://wintac-s3.s3-us-west-2.amazonaws.com/topic-areas/ta07-tciplus-lmi/LMI-Form-3-LMI-Data-Review.docx" TargetMode="External"/><Relationship Id="rId457" Type="http://schemas.openxmlformats.org/officeDocument/2006/relationships/footer" Target="footer53.xml"/><Relationship Id="rId261" Type="http://schemas.openxmlformats.org/officeDocument/2006/relationships/hyperlink" Target="http://www.wintac.org/topic-areas/resources-and-strategies-competitive-integrated-employment/resources" TargetMode="External"/><Relationship Id="rId499" Type="http://schemas.openxmlformats.org/officeDocument/2006/relationships/hyperlink" Target="http://webcast.askjan.org/ptsd/" TargetMode="External"/><Relationship Id="rId14" Type="http://schemas.openxmlformats.org/officeDocument/2006/relationships/image" Target="media/image3.jpg"/><Relationship Id="rId56" Type="http://schemas.openxmlformats.org/officeDocument/2006/relationships/hyperlink" Target="http://wintac-s3.s3-us-west-2.amazonaws.com/topic-areas/ta01-pre-ets/Appendix-VRED-Guide.zip" TargetMode="External"/><Relationship Id="rId317" Type="http://schemas.openxmlformats.org/officeDocument/2006/relationships/image" Target="media/image65.tiff"/><Relationship Id="rId359" Type="http://schemas.openxmlformats.org/officeDocument/2006/relationships/image" Target="media/image87.png"/><Relationship Id="rId524" Type="http://schemas.openxmlformats.org/officeDocument/2006/relationships/hyperlink" Target="https://www.dol.gov/apprenticeship/toolkit/learn.htm" TargetMode="External"/><Relationship Id="rId98" Type="http://schemas.openxmlformats.org/officeDocument/2006/relationships/image" Target="media/image24.png"/><Relationship Id="rId121" Type="http://schemas.openxmlformats.org/officeDocument/2006/relationships/hyperlink" Target="http://wintac-s3.s3-us-west-2.amazonaws.com/topic-areas/ta_511/CCIR-Presentation-forHawaii.pptx" TargetMode="External"/><Relationship Id="rId163" Type="http://schemas.openxmlformats.org/officeDocument/2006/relationships/hyperlink" Target="http://wintac-s3.s3-us-west-2.amazonaws.com/topic-areas/t05_CommonPerformance/t05_resources/Registered-Apprenticeships-RSA911-Tracking-Final-cn2.pdf" TargetMode="External"/><Relationship Id="rId219" Type="http://schemas.openxmlformats.org/officeDocument/2006/relationships/image" Target="media/image49.png"/><Relationship Id="rId370" Type="http://schemas.openxmlformats.org/officeDocument/2006/relationships/header" Target="header33.xml"/><Relationship Id="rId426" Type="http://schemas.openxmlformats.org/officeDocument/2006/relationships/image" Target="media/image114.png"/><Relationship Id="rId230" Type="http://schemas.openxmlformats.org/officeDocument/2006/relationships/header" Target="header24.xml"/><Relationship Id="rId468" Type="http://schemas.openxmlformats.org/officeDocument/2006/relationships/hyperlink" Target="http://www.wintac.org/topic-areas/business-engagement-and-employer-supports/additional-resources" TargetMode="External"/><Relationship Id="rId25" Type="http://schemas.openxmlformats.org/officeDocument/2006/relationships/footer" Target="footer7.xml"/><Relationship Id="rId67" Type="http://schemas.openxmlformats.org/officeDocument/2006/relationships/hyperlink" Target="http://webapps.dol.gov/elaws/whd/flsa/docs/volunteers.asp" TargetMode="External"/><Relationship Id="rId272" Type="http://schemas.openxmlformats.org/officeDocument/2006/relationships/hyperlink" Target="http://www.explorevr.org/" TargetMode="External"/><Relationship Id="rId328" Type="http://schemas.openxmlformats.org/officeDocument/2006/relationships/image" Target="media/image69.png"/><Relationship Id="rId535" Type="http://schemas.openxmlformats.org/officeDocument/2006/relationships/header" Target="header49.xml"/><Relationship Id="rId132" Type="http://schemas.openxmlformats.org/officeDocument/2006/relationships/header" Target="header15.xml"/><Relationship Id="rId174" Type="http://schemas.openxmlformats.org/officeDocument/2006/relationships/hyperlink" Target="http://links.govdelivery.com/track?type=click&amp;enid=ZWFzPTEmbWFpbGluZ2lkPTIwMTkwNTE2LjU5NTgyMzEmbWVzc2FnZWlkPU1EQi1QUkQtQlVMLTIwMTkwNTE2LjU5NTgyMzEmZGF0YWJhc2VpZD0xMDAxJnNlcmlhbD0xODA5MjIzMCZlbWFpbGlkPXJhbmRlcnNvbkBuZGktaW5jLm9yZyZ1c2VyaWQ9cmFuZGVyc29uQG5kaS1pbmMub3JnJmZsPSZleHRyYT1NdWx0aXZhcmlhdGVJZD0mJiY=&amp;&amp;&amp;102&amp;&amp;&amp;https://rsa.ed.gov/display.cfm?pageid=75&amp;utm_content=&amp;utm_medium=email&amp;utm_name=&amp;utm_source=govdelivery&amp;utm_term=" TargetMode="External"/><Relationship Id="rId381" Type="http://schemas.openxmlformats.org/officeDocument/2006/relationships/image" Target="media/image102.png"/><Relationship Id="rId241" Type="http://schemas.openxmlformats.org/officeDocument/2006/relationships/hyperlink" Target="http://wintac-s3.s3-us-west-2.amazonaws.com/topic-areas/Guidance_as_it_applies_to_Local_WDB_MOU%27s-Draft.docx" TargetMode="External"/><Relationship Id="rId437" Type="http://schemas.openxmlformats.org/officeDocument/2006/relationships/image" Target="media/image119.tiff"/><Relationship Id="rId479" Type="http://schemas.openxmlformats.org/officeDocument/2006/relationships/hyperlink" Target="http://www.hrtips.org/article.cfm?group_id=4" TargetMode="External"/><Relationship Id="rId36" Type="http://schemas.openxmlformats.org/officeDocument/2006/relationships/image" Target="media/image18.png"/><Relationship Id="rId283" Type="http://schemas.openxmlformats.org/officeDocument/2006/relationships/hyperlink" Target="http://wintac-s3.s3-us-west-2.amazonaws.com/topic-areas/ta_IntegrationVR/DEI_MapwithText_October2015.pdf" TargetMode="External"/><Relationship Id="rId339" Type="http://schemas.openxmlformats.org/officeDocument/2006/relationships/image" Target="media/image80.png"/><Relationship Id="rId490" Type="http://schemas.openxmlformats.org/officeDocument/2006/relationships/hyperlink" Target="http://www.dol.gov/vets/ahaw/" TargetMode="External"/><Relationship Id="rId504" Type="http://schemas.openxmlformats.org/officeDocument/2006/relationships/hyperlink" Target="http://digitalcommons.ilr.cornell.edu/cgi/viewcontent.cgi?article=1190&amp;context=edicollect" TargetMode="External"/><Relationship Id="rId546" Type="http://schemas.openxmlformats.org/officeDocument/2006/relationships/footer" Target="footer61.xml"/><Relationship Id="rId78" Type="http://schemas.openxmlformats.org/officeDocument/2006/relationships/hyperlink" Target="https://www2.ed.gov/policy/speced/guid/rsa/subregulatory/pd-16-04.pdf" TargetMode="External"/><Relationship Id="rId101" Type="http://schemas.openxmlformats.org/officeDocument/2006/relationships/header" Target="header10.xml"/><Relationship Id="rId143" Type="http://schemas.openxmlformats.org/officeDocument/2006/relationships/image" Target="media/image40.png"/><Relationship Id="rId185" Type="http://schemas.openxmlformats.org/officeDocument/2006/relationships/hyperlink" Target="https://www2.ed.gov/policy/speced/guid/rsa/subregulatory/tac-17-01.pdf?utm_content=&amp;utm_medium=email&amp;utm_name=&amp;utm_source=govdelivery&amp;utm_term=" TargetMode="External"/><Relationship Id="rId350" Type="http://schemas.openxmlformats.org/officeDocument/2006/relationships/hyperlink" Target="https://wintac-website-bfiles.s3-us-west-2.amazonaws.com/bfiles-t03/9999-id209801-20-0113/209801-ce-ort.html" TargetMode="External"/><Relationship Id="rId406" Type="http://schemas.openxmlformats.org/officeDocument/2006/relationships/hyperlink" Target="http://wintac-s3.s3-us-west-2.amazonaws.com/topic-areas/ta07-tciplus-lmi/TrainingFinal.docx" TargetMode="External"/><Relationship Id="rId9" Type="http://schemas.openxmlformats.org/officeDocument/2006/relationships/header" Target="header2.xml"/><Relationship Id="rId210" Type="http://schemas.openxmlformats.org/officeDocument/2006/relationships/footer" Target="footer22.xml"/><Relationship Id="rId392" Type="http://schemas.openxmlformats.org/officeDocument/2006/relationships/footer" Target="footer40.xml"/><Relationship Id="rId448" Type="http://schemas.openxmlformats.org/officeDocument/2006/relationships/image" Target="media/image124.png"/><Relationship Id="rId252" Type="http://schemas.openxmlformats.org/officeDocument/2006/relationships/hyperlink" Target="https://www2.ed.gov/policy/gen/guid/fpco/pdf/final-ferpa-tegl-report.pdf" TargetMode="External"/><Relationship Id="rId294" Type="http://schemas.openxmlformats.org/officeDocument/2006/relationships/hyperlink" Target="http://wintac-s3.s3-us-west-2.amazonaws.com/topic-areas/AdvisoryComm_onIncreasingCIE_InterimReport%209-15-15.pdf" TargetMode="External"/><Relationship Id="rId308" Type="http://schemas.openxmlformats.org/officeDocument/2006/relationships/hyperlink" Target="http://wintac-s3.s3-us-west-2.amazonaws.com/topic-areas/Changes_to_supported_employment_post_WIOA-2-28-18.pptx" TargetMode="External"/><Relationship Id="rId515" Type="http://schemas.openxmlformats.org/officeDocument/2006/relationships/hyperlink" Target="https://www.explorevr.org/sites/explorevr.org/files/files/apprenticeship%20guide_WEB_F.pdf" TargetMode="External"/><Relationship Id="rId47" Type="http://schemas.openxmlformats.org/officeDocument/2006/relationships/hyperlink" Target="http://www.wintac.org/topic-areas/pre-employment-transition-services/resources/process-determining-if-agency-can-move-required-pre-employment-transition-services-authorized-activities" TargetMode="External"/><Relationship Id="rId89" Type="http://schemas.openxmlformats.org/officeDocument/2006/relationships/hyperlink" Target="https://www.pacer.org/about/programs/ssb/transition-to-employment.asp" TargetMode="External"/><Relationship Id="rId112" Type="http://schemas.openxmlformats.org/officeDocument/2006/relationships/image" Target="media/image31.png"/><Relationship Id="rId154" Type="http://schemas.openxmlformats.org/officeDocument/2006/relationships/hyperlink" Target="http://wintac-s3.s3-us-west-2.amazonaws.com/topic-areas/t05_CommonPerformance/t05_resources/Calculating-VR-Program-Performance-for-MSG-in-Program-Years-2020-and-2021_Final_Accessible.pdf" TargetMode="External"/><Relationship Id="rId361" Type="http://schemas.openxmlformats.org/officeDocument/2006/relationships/image" Target="media/image89.png"/><Relationship Id="rId196" Type="http://schemas.openxmlformats.org/officeDocument/2006/relationships/hyperlink" Target="https://www.workforcegps.org/events/2016/09/27/13/05/WIOA_Wednesday_Performance_Accountability_Part_2" TargetMode="External"/><Relationship Id="rId417" Type="http://schemas.openxmlformats.org/officeDocument/2006/relationships/image" Target="media/image112.png"/><Relationship Id="rId459" Type="http://schemas.openxmlformats.org/officeDocument/2006/relationships/footer" Target="footer54.xml"/><Relationship Id="rId16" Type="http://schemas.openxmlformats.org/officeDocument/2006/relationships/image" Target="media/image4.png"/><Relationship Id="rId221" Type="http://schemas.openxmlformats.org/officeDocument/2006/relationships/image" Target="media/image51.png"/><Relationship Id="rId263" Type="http://schemas.openxmlformats.org/officeDocument/2006/relationships/hyperlink" Target="http://wintac-s3.s3-us-west-2.amazonaws.com/topic-areas/ta_IntegrationVR/Integrated_Service_Delivery_Toolkit.pdf" TargetMode="External"/><Relationship Id="rId319" Type="http://schemas.openxmlformats.org/officeDocument/2006/relationships/image" Target="media/image66.png"/><Relationship Id="rId470" Type="http://schemas.openxmlformats.org/officeDocument/2006/relationships/hyperlink" Target="http://www.wintac.org/topic-areas/business-engagement-and-employer-supports/additional-resources" TargetMode="External"/><Relationship Id="rId526" Type="http://schemas.openxmlformats.org/officeDocument/2006/relationships/hyperlink" Target="http://www.nationalskillscoalition.org/state-policy/fact-sheets" TargetMode="External"/><Relationship Id="rId58" Type="http://schemas.openxmlformats.org/officeDocument/2006/relationships/hyperlink" Target="http://wintac-s3.s3-us-west-2.amazonaws.com/topic-areas/ta01-pre-ets/WIOA-IDEA-Perkins-Indicators-WINTAC19-1122.pdf" TargetMode="External"/><Relationship Id="rId123" Type="http://schemas.openxmlformats.org/officeDocument/2006/relationships/hyperlink" Target="http://wintac-s3.s3-us-west-2.amazonaws.com/topic-areas/ta_511/Section_511_Youth_Participation_or_Refusal_Cover_Sheet.xlsx" TargetMode="External"/><Relationship Id="rId330" Type="http://schemas.openxmlformats.org/officeDocument/2006/relationships/image" Target="media/image71.png"/><Relationship Id="rId165" Type="http://schemas.openxmlformats.org/officeDocument/2006/relationships/hyperlink" Target="https://lnks.gd/l/eyJhbGciOiJIUzI1NiJ9.eyJidWxsZXRpbl9saW5rX2lkIjoxMDAsInVyaSI6ImJwMjpjbGljayIsImJ1bGxldGluX2lkIjoiMjAyMDAyMjguMTc5MTI5NTEiLCJ1cmwiOiJodHRwczovL3d3dzIuZWQuZ292L3BvbGljeS9zcGVjZWQvZ3VpZC9yc2Evc3VicmVndWxhdG9yeS90YWMtMjAtMDIucGRmP3V0bV9jb250ZW50PSZ1dG1fbWVkaXVtPWVtYWlsJnV0bV9uYW1lPSZ1dG1fc291cmNlPWdvdmRlbGl2ZXJ5JnV0bV90ZXJtPSJ9.18c8TZvuCD92hbnaTfcxorMzmjeDbJFNS3UiCTc8H4M/br/75502508736-l" TargetMode="External"/><Relationship Id="rId372" Type="http://schemas.openxmlformats.org/officeDocument/2006/relationships/image" Target="media/image94.png"/><Relationship Id="rId428" Type="http://schemas.openxmlformats.org/officeDocument/2006/relationships/image" Target="media/image116.png"/><Relationship Id="rId232" Type="http://schemas.openxmlformats.org/officeDocument/2006/relationships/image" Target="media/image56.png"/><Relationship Id="rId274" Type="http://schemas.openxmlformats.org/officeDocument/2006/relationships/hyperlink" Target="http://leadcenter.org/resources/tool-manual/promoting-employment-and-economic-advancement-toolkit-cils-and-ajcs" TargetMode="External"/><Relationship Id="rId481" Type="http://schemas.openxmlformats.org/officeDocument/2006/relationships/hyperlink" Target="http://www.tacene.org/forms-and-documents/employment-supports" TargetMode="External"/><Relationship Id="rId27" Type="http://schemas.openxmlformats.org/officeDocument/2006/relationships/image" Target="media/image9.png"/><Relationship Id="rId69" Type="http://schemas.openxmlformats.org/officeDocument/2006/relationships/hyperlink" Target="https://webapps.dol.gov/elaws/whd/flsa/docs/trainees.asp" TargetMode="External"/><Relationship Id="rId134" Type="http://schemas.openxmlformats.org/officeDocument/2006/relationships/image" Target="media/image32.png"/><Relationship Id="rId537" Type="http://schemas.openxmlformats.org/officeDocument/2006/relationships/footer" Target="footer56.xml"/><Relationship Id="rId80" Type="http://schemas.openxmlformats.org/officeDocument/2006/relationships/hyperlink" Target="https://www2.ed.gov/policy/speced/guid/rsa/subregulatory/tac-17-01.pdf" TargetMode="External"/><Relationship Id="rId176" Type="http://schemas.openxmlformats.org/officeDocument/2006/relationships/hyperlink" Target="https://www2.ed.gov/policy/speced/guid/rsa/supporting/Case-Service-Report-RSA-911-PD-19-03.xlsx" TargetMode="External"/><Relationship Id="rId341" Type="http://schemas.openxmlformats.org/officeDocument/2006/relationships/image" Target="media/image82.png"/><Relationship Id="rId383" Type="http://schemas.openxmlformats.org/officeDocument/2006/relationships/image" Target="media/image104.png"/><Relationship Id="rId439" Type="http://schemas.openxmlformats.org/officeDocument/2006/relationships/image" Target="media/image121.png"/><Relationship Id="rId201" Type="http://schemas.openxmlformats.org/officeDocument/2006/relationships/hyperlink" Target="http://wintac-s3.s3-us-west-2.amazonaws.com/topic-areas/t05_CommonPerformance/t05_resources/v2-CSAVRPresentation18-1031-2.pptx" TargetMode="External"/><Relationship Id="rId243" Type="http://schemas.openxmlformats.org/officeDocument/2006/relationships/hyperlink" Target="https://www2.ed.gov/policy/speced/guid/rsa/subregulatory/tac-17-03.pdf" TargetMode="External"/><Relationship Id="rId285" Type="http://schemas.openxmlformats.org/officeDocument/2006/relationships/hyperlink" Target="http://wintac-s3.s3-us-west-2.amazonaws.com/topic-areas/ta_IntegrationVR/Benefits_of_Partnership_Plus.pdf" TargetMode="External"/><Relationship Id="rId450" Type="http://schemas.openxmlformats.org/officeDocument/2006/relationships/image" Target="media/image126.png"/><Relationship Id="rId506" Type="http://schemas.openxmlformats.org/officeDocument/2006/relationships/image" Target="media/image132.png"/><Relationship Id="rId38" Type="http://schemas.openxmlformats.org/officeDocument/2006/relationships/image" Target="media/image20.png"/><Relationship Id="rId103" Type="http://schemas.openxmlformats.org/officeDocument/2006/relationships/footer" Target="footer12.xml"/><Relationship Id="rId310" Type="http://schemas.openxmlformats.org/officeDocument/2006/relationships/hyperlink" Target="http://wintac-s3.s3-us-west-2.amazonaws.com/topic-areas/Utah_SOR_Chapter-30-Supported-Employment-Addendum-Nov%202016-v01.pdf" TargetMode="External"/><Relationship Id="rId492" Type="http://schemas.openxmlformats.org/officeDocument/2006/relationships/hyperlink" Target="http://www.amazon.com/Coffee-Breaks-Birthday-Cakes-Disabilities/dp/1883302315" TargetMode="External"/><Relationship Id="rId548" Type="http://schemas.openxmlformats.org/officeDocument/2006/relationships/theme" Target="theme/theme1.xml"/><Relationship Id="rId91" Type="http://schemas.openxmlformats.org/officeDocument/2006/relationships/hyperlink" Target="https://www.razmobility.com/solutions/memory-cellphone" TargetMode="External"/><Relationship Id="rId145" Type="http://schemas.openxmlformats.org/officeDocument/2006/relationships/header" Target="header17.xml"/><Relationship Id="rId187" Type="http://schemas.openxmlformats.org/officeDocument/2006/relationships/hyperlink" Target="https://www2.ed.gov/policy/speced/guid/rsa/subregulatory/tac-17-01.pdf?utm_content=&amp;utm_medium=email&amp;utm_name=&amp;utm_source=govdelivery&amp;utm_term=" TargetMode="External"/><Relationship Id="rId352" Type="http://schemas.openxmlformats.org/officeDocument/2006/relationships/header" Target="header28.xml"/><Relationship Id="rId394" Type="http://schemas.openxmlformats.org/officeDocument/2006/relationships/footer" Target="footer41.xml"/><Relationship Id="rId408" Type="http://schemas.openxmlformats.org/officeDocument/2006/relationships/hyperlink" Target="http://wintac-s3.s3-us-west-2.amazonaws.com/topic-areas/ta07-tciplus-lmi/LMI-Elements-within-TCIplus.docx" TargetMode="External"/><Relationship Id="rId212" Type="http://schemas.openxmlformats.org/officeDocument/2006/relationships/header" Target="header21.xml"/><Relationship Id="rId254" Type="http://schemas.openxmlformats.org/officeDocument/2006/relationships/hyperlink" Target="http://wintac-s3.s3-us-west-2.amazonaws.com/topic-areas/Ticket_to_Work_FAQ_abbreviated_version_4-3-17.docx" TargetMode="External"/><Relationship Id="rId49" Type="http://schemas.openxmlformats.org/officeDocument/2006/relationships/hyperlink" Target="http://www.wintac.org/topic-areas/pre-employment-transition-services/resources/resources-job-exploration-counseling" TargetMode="External"/><Relationship Id="rId114" Type="http://schemas.openxmlformats.org/officeDocument/2006/relationships/hyperlink" Target="http://wintac-s3.s3-us-west-2.amazonaws.com/topic-areas/ta_511/All-States-through-July-2019.xlsx" TargetMode="External"/><Relationship Id="rId296" Type="http://schemas.openxmlformats.org/officeDocument/2006/relationships/hyperlink" Target="http://wintac-s3.s3-us-west-2.amazonaws.com/topic-areas/ACICIEID_Final_Report_9-8-16_2.pdf" TargetMode="External"/><Relationship Id="rId461" Type="http://schemas.openxmlformats.org/officeDocument/2006/relationships/image" Target="media/image131.png"/><Relationship Id="rId517" Type="http://schemas.openxmlformats.org/officeDocument/2006/relationships/hyperlink" Target="https://www.doleta.gov/oa/eeo/_assets-eeo/pdf/EEO_Rule_Overview_Fact_Sheet.pdf" TargetMode="External"/><Relationship Id="rId60" Type="http://schemas.openxmlformats.org/officeDocument/2006/relationships/hyperlink" Target="https://www2.ed.gov/policy/speced/guid/rsa/supporting/dear-director-letter-formal-interagency-agreements-between-state-vr-agencies-and-seas-07-15-2019.pdf" TargetMode="External"/><Relationship Id="rId156" Type="http://schemas.openxmlformats.org/officeDocument/2006/relationships/hyperlink" Target="http://wintac-s3.s3-us-west-2.amazonaws.com/topic-areas/t05_CommonPerformance/t05_resources/Are_you_ready_for_CPM_Implementation_FINAL_8-29_cn.docx" TargetMode="External"/><Relationship Id="rId198" Type="http://schemas.openxmlformats.org/officeDocument/2006/relationships/hyperlink" Target="http://wintac-s3.s3-us-west-2.amazonaws.com/topic-areas/t05_CommonPerformance/t05_resources/NCSAB_Spring_2019_Internal%20Controls_Final.pptx" TargetMode="External"/><Relationship Id="rId321" Type="http://schemas.openxmlformats.org/officeDocument/2006/relationships/header" Target="header26.xml"/><Relationship Id="rId363" Type="http://schemas.openxmlformats.org/officeDocument/2006/relationships/image" Target="media/image91.png"/><Relationship Id="rId419" Type="http://schemas.openxmlformats.org/officeDocument/2006/relationships/image" Target="media/image113.png"/><Relationship Id="rId223" Type="http://schemas.openxmlformats.org/officeDocument/2006/relationships/image" Target="media/image53.png"/><Relationship Id="rId430" Type="http://schemas.openxmlformats.org/officeDocument/2006/relationships/image" Target="media/image118.png"/><Relationship Id="rId18" Type="http://schemas.openxmlformats.org/officeDocument/2006/relationships/image" Target="media/image6.png"/><Relationship Id="rId265" Type="http://schemas.openxmlformats.org/officeDocument/2006/relationships/hyperlink" Target="http://wintac-s3.s3-us-west-2.amazonaws.com/topic-areas/ta_IntegrationVR/Career-Services-AJC-1017.docx" TargetMode="External"/><Relationship Id="rId472" Type="http://schemas.openxmlformats.org/officeDocument/2006/relationships/hyperlink" Target="http://www.wintac.org/topic-areas/business-engagement-and-employer-supports/additional-resources" TargetMode="External"/><Relationship Id="rId528" Type="http://schemas.openxmlformats.org/officeDocument/2006/relationships/hyperlink" Target="https://cew.georgetown.edu/wp-content/uploads/2014/11/Recovery2020.ES_.Web_.pdf" TargetMode="External"/><Relationship Id="rId125" Type="http://schemas.openxmlformats.org/officeDocument/2006/relationships/hyperlink" Target="http://wintac-s3.s3-us-west-2.amazonaws.com/topic-areas/ta_511/Elements_of_CareerCounseling_and_ID_of_OtherAgencies.docx" TargetMode="External"/><Relationship Id="rId167" Type="http://schemas.openxmlformats.org/officeDocument/2006/relationships/hyperlink" Target="https://performancereporting.workforcegps.org/resources/2020/03/02/14/47/TEGL-11-19-Negotiations-and-Sanctions-Guidance-for-the-WIOA-Core-Programs" TargetMode="External"/><Relationship Id="rId332" Type="http://schemas.openxmlformats.org/officeDocument/2006/relationships/image" Target="media/image73.png"/><Relationship Id="rId374" Type="http://schemas.openxmlformats.org/officeDocument/2006/relationships/image" Target="media/image96.png"/><Relationship Id="rId71" Type="http://schemas.openxmlformats.org/officeDocument/2006/relationships/hyperlink" Target="http://wintac-s3.s3-us-west-2.amazonaws.com/topic-areas/ta_PreETS/csavr-2016-transition-services-and-pre-employment.pdf" TargetMode="External"/><Relationship Id="rId234"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1.png"/><Relationship Id="rId276" Type="http://schemas.openxmlformats.org/officeDocument/2006/relationships/hyperlink" Target="http://leadcenter.org/resources/tool-manual/building-financial-capability-planning-guide-integrated-services" TargetMode="External"/><Relationship Id="rId441" Type="http://schemas.openxmlformats.org/officeDocument/2006/relationships/header" Target="header44.xml"/><Relationship Id="rId483" Type="http://schemas.openxmlformats.org/officeDocument/2006/relationships/hyperlink" Target="http://wintac-s3.s3-us-west-2.amazonaws.com/topic-areas/ta06_BesinessEngagement/additional_resources/Tips_for_Employers_Making_Web_Based%20Job_Applications_Accessible_to_All_Users.docx" TargetMode="External"/><Relationship Id="rId539" Type="http://schemas.openxmlformats.org/officeDocument/2006/relationships/header" Target="header51.xml"/><Relationship Id="rId40" Type="http://schemas.openxmlformats.org/officeDocument/2006/relationships/image" Target="media/image22.emf"/><Relationship Id="rId136" Type="http://schemas.openxmlformats.org/officeDocument/2006/relationships/image" Target="media/image33.png"/><Relationship Id="rId178" Type="http://schemas.openxmlformats.org/officeDocument/2006/relationships/hyperlink" Target="http://links.govdelivery.com/track?type=click&amp;enid=ZWFzPTEmbWFpbGluZ2lkPTIwMTkwNTE2LjU5NTgyMzEmbWVzc2FnZWlkPU1EQi1QUkQtQlVMLTIwMTkwNTE2LjU5NTgyMzEmZGF0YWJhc2VpZD0xMDAxJnNlcmlhbD0xODA5MjIzMCZlbWFpbGlkPXJhbmRlcnNvbkBuZGktaW5jLm9yZyZ1c2VyaWQ9cmFuZGVyc29uQG5kaS1pbmMub3JnJmZsPSZleHRyYT1NdWx0aXZhcmlhdGVJZD0mJiY=&amp;&amp;&amp;104&amp;&amp;&amp;https://www2.ed.gov/rschstat/eval/rehab/rsa-911-correction-procedures.pdf?utm_content=&amp;utm_medium=email&amp;utm_name=&amp;utm_source=govdelivery&amp;utm_term=" TargetMode="External"/><Relationship Id="rId301" Type="http://schemas.openxmlformats.org/officeDocument/2006/relationships/image" Target="media/image62.png"/><Relationship Id="rId343" Type="http://schemas.openxmlformats.org/officeDocument/2006/relationships/image" Target="media/image84.png"/><Relationship Id="rId82" Type="http://schemas.openxmlformats.org/officeDocument/2006/relationships/hyperlink" Target="https://www.govinfo.gov/content/pkg/FR-2020-02-28/pdf/2020-03208.pdf" TargetMode="External"/><Relationship Id="rId203" Type="http://schemas.openxmlformats.org/officeDocument/2006/relationships/hyperlink" Target="https://doleta.gov/performance/reporting/eta_default.cfm" TargetMode="External"/><Relationship Id="rId385" Type="http://schemas.openxmlformats.org/officeDocument/2006/relationships/image" Target="media/image106.png"/><Relationship Id="rId245" Type="http://schemas.openxmlformats.org/officeDocument/2006/relationships/hyperlink" Target="https://ion.workforcegps.org/sitecore/content/global/events/2017/02/14/10/19/WIOA-Wednesday-MOU-Part-I-Overview-Development" TargetMode="External"/><Relationship Id="rId287" Type="http://schemas.openxmlformats.org/officeDocument/2006/relationships/hyperlink" Target="http://wintac-s3.s3-us-west-2.amazonaws.com/topic-areas/ta04-IntergrationVR/Transcript-WIOA-Vision.pdf" TargetMode="External"/><Relationship Id="rId410" Type="http://schemas.openxmlformats.org/officeDocument/2006/relationships/hyperlink" Target="http://wintac-s3.s3-us-west-2.amazonaws.com/topic-areas/ta07-tciplus-lmi/TCIplus-Client-Self-Study.docx" TargetMode="External"/><Relationship Id="rId452" Type="http://schemas.openxmlformats.org/officeDocument/2006/relationships/image" Target="media/image128.png"/><Relationship Id="rId494" Type="http://schemas.openxmlformats.org/officeDocument/2006/relationships/hyperlink" Target="http://askjan.org/Erguide/ErGuide.pdf" TargetMode="External"/><Relationship Id="rId508" Type="http://schemas.openxmlformats.org/officeDocument/2006/relationships/image" Target="media/image133.png"/><Relationship Id="rId105" Type="http://schemas.openxmlformats.org/officeDocument/2006/relationships/header" Target="header12.xml"/><Relationship Id="rId147" Type="http://schemas.openxmlformats.org/officeDocument/2006/relationships/footer" Target="footer20.xml"/><Relationship Id="rId312" Type="http://schemas.openxmlformats.org/officeDocument/2006/relationships/hyperlink" Target="http://wintac-s3.s3-us-west-2.amazonaws.com/topic-areas/ta03_IntCompetEmpl/hi-part02-AccessibleICF-IntensiveSkillsTraining-andSupport.docx" TargetMode="External"/><Relationship Id="rId354" Type="http://schemas.openxmlformats.org/officeDocument/2006/relationships/footer" Target="footer32.xml"/><Relationship Id="rId51" Type="http://schemas.openxmlformats.org/officeDocument/2006/relationships/hyperlink" Target="http://www.wintac.org/topic-areas/pre-employment-transition-services/resources/resources-counseling-comprehensive-transition-or-pse-programs" TargetMode="External"/><Relationship Id="rId93" Type="http://schemas.openxmlformats.org/officeDocument/2006/relationships/header" Target="header8.xml"/><Relationship Id="rId189" Type="http://schemas.openxmlformats.org/officeDocument/2006/relationships/hyperlink" Target="http://www.ncrtm.ed.gov" TargetMode="External"/><Relationship Id="rId396" Type="http://schemas.openxmlformats.org/officeDocument/2006/relationships/image" Target="media/image111.png"/><Relationship Id="rId214" Type="http://schemas.openxmlformats.org/officeDocument/2006/relationships/image" Target="media/image44.png"/><Relationship Id="rId256" Type="http://schemas.openxmlformats.org/officeDocument/2006/relationships/hyperlink" Target="http://wintac-s3.s3-us-west-2.amazonaws.com/topic-areas/Ticket_Payment_Chart.docx" TargetMode="External"/><Relationship Id="rId298" Type="http://schemas.openxmlformats.org/officeDocument/2006/relationships/hyperlink" Target="http://wintac-s3.s3-us-west-2.amazonaws.com/topic-areas/EmploymentFirst.docx" TargetMode="External"/><Relationship Id="rId421" Type="http://schemas.openxmlformats.org/officeDocument/2006/relationships/header" Target="header38.xml"/><Relationship Id="rId463" Type="http://schemas.openxmlformats.org/officeDocument/2006/relationships/hyperlink" Target="http://www.communityinclusion.org/article.php?article_id=232&amp;type=topic&amp;id=18" TargetMode="External"/><Relationship Id="rId519" Type="http://schemas.openxmlformats.org/officeDocument/2006/relationships/hyperlink" Target="https://www.benefits.va.gov/gibill/docs/factsheets/OJT_Factsheet.pdf" TargetMode="External"/><Relationship Id="rId116" Type="http://schemas.openxmlformats.org/officeDocument/2006/relationships/hyperlink" Target="http://wintac-s3.s3-us-west-2.amazonaws.com/topic-areas/ta_511/CCIR_Presentation_for_Hawaii-5.24.17.pptx" TargetMode="External"/><Relationship Id="rId158" Type="http://schemas.openxmlformats.org/officeDocument/2006/relationships/hyperlink" Target="http://wintac-s3.s3-us-west-2.amazonaws.com/topic-areas/t05_CommonPerformance/t05_resources/SVRA-ReportingDeadlines-Table18-Final.docx" TargetMode="External"/><Relationship Id="rId323" Type="http://schemas.openxmlformats.org/officeDocument/2006/relationships/footer" Target="footer30.xml"/><Relationship Id="rId530" Type="http://schemas.openxmlformats.org/officeDocument/2006/relationships/hyperlink" Target="http://www.wintac.org/topic-areas/apprenticeships-and-customized-training/promising-practices" TargetMode="External"/><Relationship Id="rId20" Type="http://schemas.openxmlformats.org/officeDocument/2006/relationships/header" Target="header4.xml"/><Relationship Id="rId62" Type="http://schemas.openxmlformats.org/officeDocument/2006/relationships/hyperlink" Target="http://www.wintac.org/topic-areas/pre-employment-transition-services/resources/introduction-formal-interagency-agreement-toolkit" TargetMode="External"/><Relationship Id="rId365" Type="http://schemas.openxmlformats.org/officeDocument/2006/relationships/image" Target="media/image93.png"/><Relationship Id="rId225" Type="http://schemas.openxmlformats.org/officeDocument/2006/relationships/image" Target="media/image55.png"/><Relationship Id="rId267" Type="http://schemas.openxmlformats.org/officeDocument/2006/relationships/hyperlink" Target="https://www.youtube.com/playlist?list=PLRSw4FK3pwcD-tt4v7zr1Xrnns2_PxzQ1" TargetMode="External"/><Relationship Id="rId432" Type="http://schemas.openxmlformats.org/officeDocument/2006/relationships/header" Target="header41.xml"/><Relationship Id="rId474" Type="http://schemas.openxmlformats.org/officeDocument/2006/relationships/hyperlink" Target="http://wintac-s3.s3-us-west-2.amazonaws.com/topic-areas/ta06_BesinessEngagement/additional_resources/Answering-Common-Questions-and-Concerns.docx" TargetMode="External"/><Relationship Id="rId127" Type="http://schemas.openxmlformats.org/officeDocument/2006/relationships/hyperlink" Target="http://wintac-s3.s3-us-west-2.amazonaws.com/topic-areas/ta_511/Procedures_and_documentation_requirements_for_511_activities_033117.docx" TargetMode="External"/><Relationship Id="rId31" Type="http://schemas.openxmlformats.org/officeDocument/2006/relationships/image" Target="media/image13.png"/><Relationship Id="rId73" Type="http://schemas.openxmlformats.org/officeDocument/2006/relationships/hyperlink" Target="https://ncrtm.ed.gov/SearchResults.aspx?st=audio+program" TargetMode="External"/><Relationship Id="rId169" Type="http://schemas.openxmlformats.org/officeDocument/2006/relationships/hyperlink" Target="http://wintac-s3.s3-us-west-2.amazonaws.com/topic-areas/t05_CommonPerformance/t05_resources/VR_Program_Statistical_Adjustment_Model_for_MSG_Rate_(PYs_2020_and_2021).xlsx" TargetMode="External"/><Relationship Id="rId334" Type="http://schemas.openxmlformats.org/officeDocument/2006/relationships/image" Target="media/image75.png"/><Relationship Id="rId376" Type="http://schemas.openxmlformats.org/officeDocument/2006/relationships/image" Target="media/image98.png"/><Relationship Id="rId541" Type="http://schemas.openxmlformats.org/officeDocument/2006/relationships/header" Target="header52.xml"/><Relationship Id="rId4" Type="http://schemas.openxmlformats.org/officeDocument/2006/relationships/settings" Target="settings.xml"/><Relationship Id="rId180" Type="http://schemas.openxmlformats.org/officeDocument/2006/relationships/hyperlink" Target="http://links.govdelivery.com/track?type=click&amp;enid=ZWFzPTEmbWFpbGluZ2lkPTIwMTkwNTE2LjU5NTgyMzEmbWVzc2FnZWlkPU1EQi1QUkQtQlVMLTIwMTkwNTE2LjU5NTgyMzEmZGF0YWJhc2VpZD0xMDAxJnNlcmlhbD0xODA5MjIzMCZlbWFpbGlkPXJhbmRlcnNvbkBuZGktaW5jLm9yZyZ1c2VyaWQ9cmFuZGVyc29uQG5kaS1pbmMub3JnJmZsPSZleHRyYT1NdWx0aXZhcmlhdGVJZD0mJiY=&amp;&amp;&amp;105&amp;&amp;&amp;https://rsa.ed.gov/people.cfm?utm_content=&amp;utm_medium=email&amp;utm_name=&amp;utm_source=govdelivery&amp;utm_term=" TargetMode="External"/><Relationship Id="rId236" Type="http://schemas.openxmlformats.org/officeDocument/2006/relationships/hyperlink" Target="http://wintac-s3.s3-us-west-2.amazonaws.com/topic-areas/ta04-IntergrationVR/WIOA_Partners_List.pdf" TargetMode="External"/><Relationship Id="rId278" Type="http://schemas.openxmlformats.org/officeDocument/2006/relationships/hyperlink" Target="https://www.dol.gov/odep/topics/pdf/ACICIEID_Final_Report_9-8-16.pdf" TargetMode="External"/><Relationship Id="rId401" Type="http://schemas.openxmlformats.org/officeDocument/2006/relationships/hyperlink" Target="http://wintac-s3.s3-us-west-2.amazonaws.com/topic-areas/ta07-tciplus-lmi/OverviewFinal.docx" TargetMode="External"/><Relationship Id="rId443" Type="http://schemas.openxmlformats.org/officeDocument/2006/relationships/footer" Target="footer50.xml"/><Relationship Id="rId303" Type="http://schemas.openxmlformats.org/officeDocument/2006/relationships/image" Target="media/image64.png"/><Relationship Id="rId485" Type="http://schemas.openxmlformats.org/officeDocument/2006/relationships/hyperlink" Target="https://www.edx.org/course/introduction-inclusive-talent-perkinsx-inc1-1-1" TargetMode="External"/><Relationship Id="rId42" Type="http://schemas.openxmlformats.org/officeDocument/2006/relationships/hyperlink" Target="http://www.wintac.org/content/covid-19-resources" TargetMode="External"/><Relationship Id="rId84" Type="http://schemas.openxmlformats.org/officeDocument/2006/relationships/hyperlink" Target="https://www2.ed.gov/about/offices/list/osers/transition/products/postsecondary-transition-guide-may-2017.pdf?utm_content=&amp;utm_medium=email&amp;utm_name=&amp;utm_source=govdelivery&amp;utm_term" TargetMode="External"/><Relationship Id="rId138" Type="http://schemas.openxmlformats.org/officeDocument/2006/relationships/image" Target="media/image35.png"/><Relationship Id="rId345" Type="http://schemas.openxmlformats.org/officeDocument/2006/relationships/hyperlink" Target="http://wintac-s3.s3-us-west-2.amazonaws.com/topic-areas/ta03_IntCompetEmpl/Essential-Elements-of-Customized-Employment-for-Universal-Application%20Rev%207-17.pdf" TargetMode="External"/><Relationship Id="rId387" Type="http://schemas.openxmlformats.org/officeDocument/2006/relationships/image" Target="media/image108.png"/><Relationship Id="rId510" Type="http://schemas.openxmlformats.org/officeDocument/2006/relationships/image" Target="media/image135.png"/><Relationship Id="rId191" Type="http://schemas.openxmlformats.org/officeDocument/2006/relationships/hyperlink" Target="https://www2.ed.gov/rschstat/eval/rehab/supporting-documentation-for-case-service-report.pdf" TargetMode="External"/><Relationship Id="rId205" Type="http://schemas.openxmlformats.org/officeDocument/2006/relationships/hyperlink" Target="https://ion.workforcegps.org/resources/2017/03/20/10/45/Performance_Accountability_Presentations" TargetMode="External"/><Relationship Id="rId247" Type="http://schemas.openxmlformats.org/officeDocument/2006/relationships/hyperlink" Target="https://ion.workforcegps.org/sitecore/content/global/events/2017/05/31/13/51/WIOA-Wednesday-Infrastructure-Part-III-Wisconsin-s-Cost-Database" TargetMode="External"/><Relationship Id="rId412" Type="http://schemas.openxmlformats.org/officeDocument/2006/relationships/hyperlink" Target="http://wintac-s3.s3-us-west-2.amazonaws.com/topic-areas/ta07-tciplus-lmi/TCIplus-Registering-Clients.docx" TargetMode="External"/><Relationship Id="rId107" Type="http://schemas.openxmlformats.org/officeDocument/2006/relationships/image" Target="media/image26.png"/><Relationship Id="rId289" Type="http://schemas.openxmlformats.org/officeDocument/2006/relationships/image" Target="media/image59.png"/><Relationship Id="rId454" Type="http://schemas.openxmlformats.org/officeDocument/2006/relationships/header" Target="header46.xml"/><Relationship Id="rId496" Type="http://schemas.openxmlformats.org/officeDocument/2006/relationships/hyperlink" Target="http://askjan.org/media/LowCostHighImpact.html" TargetMode="External"/><Relationship Id="rId11" Type="http://schemas.openxmlformats.org/officeDocument/2006/relationships/footer" Target="footer2.xml"/><Relationship Id="rId53" Type="http://schemas.openxmlformats.org/officeDocument/2006/relationships/hyperlink" Target="http://www.wintac.org/topic-areas/pre-employment-transition-services/resources/resources-instruction-self-advocacy" TargetMode="External"/><Relationship Id="rId149" Type="http://schemas.openxmlformats.org/officeDocument/2006/relationships/footer" Target="footer21.xml"/><Relationship Id="rId314" Type="http://schemas.openxmlformats.org/officeDocument/2006/relationships/hyperlink" Target="http://wintac-s3.s3-us-west-2.amazonaws.com/topic-areas/ta03_IntCompetEmpl/HI%27s_SE_ProgramChecklist_and_CaseExample.docx" TargetMode="External"/><Relationship Id="rId356" Type="http://schemas.openxmlformats.org/officeDocument/2006/relationships/header" Target="header30.xml"/><Relationship Id="rId398" Type="http://schemas.openxmlformats.org/officeDocument/2006/relationships/hyperlink" Target="http://wintac-s3.s3-us-west-2.amazonaws.com/topic-areas/ta07-tciplus-lmi/Fit-Final-v2.docx" TargetMode="External"/><Relationship Id="rId521" Type="http://schemas.openxmlformats.org/officeDocument/2006/relationships/hyperlink" Target="http://www.wintac.org/cop" TargetMode="External"/><Relationship Id="rId95" Type="http://schemas.openxmlformats.org/officeDocument/2006/relationships/footer" Target="footer9.xml"/><Relationship Id="rId160" Type="http://schemas.openxmlformats.org/officeDocument/2006/relationships/hyperlink" Target="http://wintac-s3.s3-us-west-2.amazonaws.com/topic-areas/t05_CommonPerformance/t05_resources/Credential_Attainment_Guide_Final_cn2.pdf" TargetMode="External"/><Relationship Id="rId216" Type="http://schemas.openxmlformats.org/officeDocument/2006/relationships/image" Target="media/image46.png"/><Relationship Id="rId423" Type="http://schemas.openxmlformats.org/officeDocument/2006/relationships/footer" Target="footer44.xml"/><Relationship Id="rId258" Type="http://schemas.openxmlformats.org/officeDocument/2006/relationships/hyperlink" Target="http://wintac-s3.s3-us-west-2.amazonaws.com/topic-areas/ta_IntegrationVR/Iowa_Partnership_Plus_agreement.pdf" TargetMode="External"/><Relationship Id="rId465" Type="http://schemas.openxmlformats.org/officeDocument/2006/relationships/hyperlink" Target="https://ncrtm.ed.gov/Download.aspx?type=doc&amp;id=4402" TargetMode="External"/><Relationship Id="rId22" Type="http://schemas.openxmlformats.org/officeDocument/2006/relationships/footer" Target="footer5.xml"/><Relationship Id="rId64" Type="http://schemas.openxmlformats.org/officeDocument/2006/relationships/hyperlink" Target="http://www.wintac.org/topic-areas/pre-employment-transition-services/resources/discussion-prompts-interagency-agreement-local-level" TargetMode="External"/><Relationship Id="rId118" Type="http://schemas.openxmlformats.org/officeDocument/2006/relationships/hyperlink" Target="http://wintac-s3.s3-us-west-2.amazonaws.com/topic-areas/ta_511/Hawaii_Self_Advocacy_SelfDetermination_Peer_Mentoring-Oahu.docx" TargetMode="External"/><Relationship Id="rId325" Type="http://schemas.openxmlformats.org/officeDocument/2006/relationships/footer" Target="footer31.xml"/><Relationship Id="rId367" Type="http://schemas.openxmlformats.org/officeDocument/2006/relationships/header" Target="header32.xml"/><Relationship Id="rId532" Type="http://schemas.openxmlformats.org/officeDocument/2006/relationships/hyperlink" Target="http://content.iospress.com/download/journal-of-vocational-rehabilitation/jvr707?id=journal-of-vocational-rehabilitation%2Fjvr707" TargetMode="External"/><Relationship Id="rId171" Type="http://schemas.openxmlformats.org/officeDocument/2006/relationships/hyperlink" Target="http://wintac-s3.s3-us-west-2.amazonaws.com/topic-areas/t05_CommonPerformance/t05_resources/Calculating-VR-Program-Performance-for-MSG-in-Program-Years-2020-and-2021_Final_Accessible.pdf" TargetMode="External"/><Relationship Id="rId227" Type="http://schemas.openxmlformats.org/officeDocument/2006/relationships/header" Target="header23.xml"/><Relationship Id="rId269" Type="http://schemas.openxmlformats.org/officeDocument/2006/relationships/hyperlink" Target="http://wintac-s3.s3-us-west-2.amazonaws.com/topic-areas/ta_IntegrationVR/Business%20Engagement%20CoP_CN.pdf" TargetMode="External"/><Relationship Id="rId434" Type="http://schemas.openxmlformats.org/officeDocument/2006/relationships/footer" Target="footer47.xml"/><Relationship Id="rId476" Type="http://schemas.openxmlformats.org/officeDocument/2006/relationships/hyperlink" Target="http://www.rehab.alabama.gov/docs/business-relations-program/ravebro0211forweb.pdf?sfvrsn=0" TargetMode="External"/><Relationship Id="rId33" Type="http://schemas.openxmlformats.org/officeDocument/2006/relationships/image" Target="media/image15.png"/><Relationship Id="rId129" Type="http://schemas.openxmlformats.org/officeDocument/2006/relationships/header" Target="header14.xml"/><Relationship Id="rId280" Type="http://schemas.openxmlformats.org/officeDocument/2006/relationships/hyperlink" Target="http://wintac-s3.s3-us-west-2.amazonaws.com/topic-areas/ta_IntegrationVR/Section188Guide.pdf" TargetMode="External"/><Relationship Id="rId336" Type="http://schemas.openxmlformats.org/officeDocument/2006/relationships/image" Target="media/image77.png"/><Relationship Id="rId501" Type="http://schemas.openxmlformats.org/officeDocument/2006/relationships/hyperlink" Target="http://www.abledata.com/abledata.cfm" TargetMode="External"/><Relationship Id="rId543" Type="http://schemas.openxmlformats.org/officeDocument/2006/relationships/footer" Target="footer59.xml"/><Relationship Id="rId75" Type="http://schemas.openxmlformats.org/officeDocument/2006/relationships/hyperlink" Target="http://wintac-s3.s3-us-west-2.amazonaws.com/topic-areas/ta_PreETS/Transcript-RSA-GAN-Attachments-PreETS-SE.docx" TargetMode="External"/><Relationship Id="rId140" Type="http://schemas.openxmlformats.org/officeDocument/2006/relationships/image" Target="media/image37.png"/><Relationship Id="rId182" Type="http://schemas.openxmlformats.org/officeDocument/2006/relationships/hyperlink" Target="https://www.doleta.gov/performance/pfdocs/ETA-9169-WIOA-State-and-Performance-Report-Template.pdf" TargetMode="External"/><Relationship Id="rId378" Type="http://schemas.openxmlformats.org/officeDocument/2006/relationships/footer" Target="footer38.xml"/><Relationship Id="rId403" Type="http://schemas.openxmlformats.org/officeDocument/2006/relationships/hyperlink" Target="http://wintac-s3.s3-us-west-2.amazonaws.com/topic-areas/ta07-tciplus-lmi/QuickStartGuideFinal.docx" TargetMode="External"/><Relationship Id="rId6" Type="http://schemas.openxmlformats.org/officeDocument/2006/relationships/footnotes" Target="footnotes.xml"/><Relationship Id="rId238" Type="http://schemas.openxmlformats.org/officeDocument/2006/relationships/hyperlink" Target="http://www.wintac.org/topic-areas/pre-employment-transition-services/resources/toolkit-guide" TargetMode="External"/><Relationship Id="rId445" Type="http://schemas.openxmlformats.org/officeDocument/2006/relationships/footer" Target="footer51.xml"/><Relationship Id="rId487" Type="http://schemas.openxmlformats.org/officeDocument/2006/relationships/hyperlink" Target="http://askjan.org/topics/jobcoaching.htm" TargetMode="External"/><Relationship Id="rId291" Type="http://schemas.openxmlformats.org/officeDocument/2006/relationships/hyperlink" Target="http://wintac-s3.s3-us-west-2.amazonaws.com/topic-areas/MRS-66-Rev-8-2017_DHHS_accessible.pdf" TargetMode="External"/><Relationship Id="rId305" Type="http://schemas.openxmlformats.org/officeDocument/2006/relationships/hyperlink" Target="http://wintac-s3.s3-us-west-2.amazonaws.com/topic-areas/ta03_IntCompetEmpl/SE-Core-Features-Checklist-19-0626.docx" TargetMode="External"/><Relationship Id="rId347" Type="http://schemas.openxmlformats.org/officeDocument/2006/relationships/hyperlink" Target="http://wintac-s3.s3-us-west-2.amazonaws.com/topic-areas/ta03_IntCompetEmpl/CE-Delivery-Checklist19-0807-accessible.pdf" TargetMode="External"/><Relationship Id="rId512" Type="http://schemas.openxmlformats.org/officeDocument/2006/relationships/image" Target="media/image137.png"/><Relationship Id="rId44" Type="http://schemas.openxmlformats.org/officeDocument/2006/relationships/hyperlink" Target="http://www.wintac.org/topic-areas/pre-employment-transition-services/resources/crp-guidebook" TargetMode="External"/><Relationship Id="rId86" Type="http://schemas.openxmlformats.org/officeDocument/2006/relationships/hyperlink" Target="http://www.dol.gov/odep/pdf/20150302-FPT.pdf?utm_content=&amp;utm_medium=email&amp;utm_name=&amp;utm_source=govdelivery&amp;utm_term=" TargetMode="External"/><Relationship Id="rId151" Type="http://schemas.openxmlformats.org/officeDocument/2006/relationships/image" Target="media/image42.png"/><Relationship Id="rId389" Type="http://schemas.openxmlformats.org/officeDocument/2006/relationships/header" Target="header34.xml"/><Relationship Id="rId193" Type="http://schemas.openxmlformats.org/officeDocument/2006/relationships/hyperlink" Target="https://www2.ed.gov/policy/gen/guid/fpco/pdf/final-ferpa-tegl-report.pdf" TargetMode="External"/><Relationship Id="rId207" Type="http://schemas.openxmlformats.org/officeDocument/2006/relationships/image" Target="media/image43.png"/><Relationship Id="rId249" Type="http://schemas.openxmlformats.org/officeDocument/2006/relationships/hyperlink" Target="http://www.leadcenter.org/resources/tool-manual/model-cooperative-agreements-between-vr-agency-and-medicaid-mental-health-and-intellectual-and-developmental-disabilities-agencies" TargetMode="External"/><Relationship Id="rId414" Type="http://schemas.openxmlformats.org/officeDocument/2006/relationships/hyperlink" Target="http://wintac-s3.s3-us-west-2.amazonaws.com/topic-areas/ta07-tciplus-lmi/LMI-Form-2-Career-Pathway-LMI-Review.docx" TargetMode="External"/><Relationship Id="rId456" Type="http://schemas.openxmlformats.org/officeDocument/2006/relationships/footer" Target="footer52.xml"/><Relationship Id="rId498" Type="http://schemas.openxmlformats.org/officeDocument/2006/relationships/hyperlink" Target="http://www.eeoc.gov/policy/docs/accommodation.html" TargetMode="External"/><Relationship Id="rId13" Type="http://schemas.openxmlformats.org/officeDocument/2006/relationships/footer" Target="footer3.xml"/><Relationship Id="rId109" Type="http://schemas.openxmlformats.org/officeDocument/2006/relationships/image" Target="media/image28.png"/><Relationship Id="rId260" Type="http://schemas.openxmlformats.org/officeDocument/2006/relationships/hyperlink" Target="http://wintac-s3.s3-us-west-2.amazonaws.com/topic-areas/ta_IntegrationVR/BasicFinancialAssessmentTool_printversion_1302015.docx" TargetMode="External"/><Relationship Id="rId316" Type="http://schemas.openxmlformats.org/officeDocument/2006/relationships/hyperlink" Target="http://wintac-s3.s3-us-west-2.amazonaws.com/topic-areas/MRS-66-Rev-8-2017_DHHS_accessible.pdf" TargetMode="External"/><Relationship Id="rId523" Type="http://schemas.openxmlformats.org/officeDocument/2006/relationships/hyperlink" Target="http://lms.wintac.org/course/view.php?id=56" TargetMode="External"/><Relationship Id="rId55" Type="http://schemas.openxmlformats.org/officeDocument/2006/relationships/hyperlink" Target="http://wintac-s3.s3-us-west-2.amazonaws.com/topic-areas/ta01-pre-ets/VRED-GUIDE-WINTAC-FINAL.pdf" TargetMode="External"/><Relationship Id="rId97" Type="http://schemas.openxmlformats.org/officeDocument/2006/relationships/footer" Target="footer10.xml"/><Relationship Id="rId120" Type="http://schemas.openxmlformats.org/officeDocument/2006/relationships/hyperlink" Target="http://wintac-s3.s3-us-west-2.amazonaws.com/topic-areas/ta_511/CCIR-Presentation-forIdaho.pptx" TargetMode="External"/><Relationship Id="rId358" Type="http://schemas.openxmlformats.org/officeDocument/2006/relationships/image" Target="media/image86.png"/><Relationship Id="rId162" Type="http://schemas.openxmlformats.org/officeDocument/2006/relationships/hyperlink" Target="http://wintac-s3.s3-us-west-2.amazonaws.com/topic-areas/t05_CommonPerformance/t05_resources/ESE_Title-IV_Crosswalk_Final_03.24.19_CN0328.pdf" TargetMode="External"/><Relationship Id="rId218" Type="http://schemas.openxmlformats.org/officeDocument/2006/relationships/image" Target="media/image48.png"/><Relationship Id="rId425" Type="http://schemas.openxmlformats.org/officeDocument/2006/relationships/footer" Target="footer45.xml"/><Relationship Id="rId467" Type="http://schemas.openxmlformats.org/officeDocument/2006/relationships/hyperlink" Target="http://www.washington.edu/doit/2011-report-accessstemaccesscomputingdo-it-longitudinal-transition-study-alts" TargetMode="External"/><Relationship Id="rId271" Type="http://schemas.openxmlformats.org/officeDocument/2006/relationships/hyperlink" Target="https://dei.workforcegps.org/resources/2016/12/15/12/06/DEI_Business_Engagement_Community_of_Practice" TargetMode="External"/><Relationship Id="rId24" Type="http://schemas.openxmlformats.org/officeDocument/2006/relationships/header" Target="header6.xml"/><Relationship Id="rId66" Type="http://schemas.openxmlformats.org/officeDocument/2006/relationships/hyperlink" Target="http://www.wintac.org/topic-areas/pre-employment-transition-services/resources/interagency-agreement-language-examples" TargetMode="External"/><Relationship Id="rId131" Type="http://schemas.openxmlformats.org/officeDocument/2006/relationships/footer" Target="footer16.xml"/><Relationship Id="rId327" Type="http://schemas.openxmlformats.org/officeDocument/2006/relationships/image" Target="media/image68.png"/><Relationship Id="rId369" Type="http://schemas.openxmlformats.org/officeDocument/2006/relationships/footer" Target="footer36.xml"/><Relationship Id="rId534" Type="http://schemas.openxmlformats.org/officeDocument/2006/relationships/hyperlink" Target="https://wintac.org/topic-areas/apprenticeships-and-customized-training/additional-resources" TargetMode="External"/><Relationship Id="rId173" Type="http://schemas.openxmlformats.org/officeDocument/2006/relationships/hyperlink" Target="http://links.govdelivery.com/track?type=click&amp;enid=ZWFzPTEmbWFpbGluZ2lkPTIwMTkwNTE2LjU5NTgyMzEmbWVzc2FnZWlkPU1EQi1QUkQtQlVMLTIwMTkwNTE2LjU5NTgyMzEmZGF0YWJhc2VpZD0xMDAxJnNlcmlhbD0xODA5MjIzMCZlbWFpbGlkPXJhbmRlcnNvbkBuZGktaW5jLm9yZyZ1c2VyaWQ9cmFuZGVyc29uQG5kaS1pbmMub3JnJmZsPSZleHRyYT1NdWx0aXZhcmlhdGVJZD0mJiY=&amp;&amp;&amp;101&amp;&amp;&amp;https://www2.ed.gov/policy/speced/guid/rsa/subregulatory/pd-19-03.pdf?utm_content=&amp;utm_medium=email&amp;utm_name=&amp;utm_source=govdelivery&amp;utm_term=" TargetMode="External"/><Relationship Id="rId229" Type="http://schemas.openxmlformats.org/officeDocument/2006/relationships/footer" Target="footer26.xml"/><Relationship Id="rId380" Type="http://schemas.openxmlformats.org/officeDocument/2006/relationships/image" Target="media/image101.png"/><Relationship Id="rId436" Type="http://schemas.openxmlformats.org/officeDocument/2006/relationships/footer" Target="footer48.xml"/><Relationship Id="rId240" Type="http://schemas.openxmlformats.org/officeDocument/2006/relationships/hyperlink" Target="http://wintac-s3.s3-us-west-2.amazonaws.com/topic-areas/WDB_MOU_Tool%20Kit-cn.docx" TargetMode="External"/><Relationship Id="rId478" Type="http://schemas.openxmlformats.org/officeDocument/2006/relationships/hyperlink" Target="http://askearn.org" TargetMode="External"/><Relationship Id="rId35" Type="http://schemas.openxmlformats.org/officeDocument/2006/relationships/image" Target="media/image17.png"/><Relationship Id="rId77" Type="http://schemas.openxmlformats.org/officeDocument/2006/relationships/hyperlink" Target="https://www2.ed.gov/about/offices/list/osers/rsa/formula-period-of-performance-faqs.html" TargetMode="External"/><Relationship Id="rId100" Type="http://schemas.openxmlformats.org/officeDocument/2006/relationships/image" Target="media/image25.png"/><Relationship Id="rId282" Type="http://schemas.openxmlformats.org/officeDocument/2006/relationships/hyperlink" Target="http://wintac-s3.s3-us-west-2.amazonaws.com/topic-areas/ta_IntegrationVR/DEI_InformationBrief_October2015.pdf" TargetMode="External"/><Relationship Id="rId338" Type="http://schemas.openxmlformats.org/officeDocument/2006/relationships/image" Target="media/image79.png"/><Relationship Id="rId503" Type="http://schemas.openxmlformats.org/officeDocument/2006/relationships/hyperlink" Target="http://www.acinet.org/" TargetMode="External"/><Relationship Id="rId545" Type="http://schemas.openxmlformats.org/officeDocument/2006/relationships/header" Target="header54.xml"/><Relationship Id="rId8" Type="http://schemas.openxmlformats.org/officeDocument/2006/relationships/header" Target="header1.xml"/><Relationship Id="rId142" Type="http://schemas.openxmlformats.org/officeDocument/2006/relationships/image" Target="media/image39.png"/><Relationship Id="rId184" Type="http://schemas.openxmlformats.org/officeDocument/2006/relationships/hyperlink" Target="https://youtu.be/mzvXTsSKhL4" TargetMode="External"/><Relationship Id="rId391" Type="http://schemas.openxmlformats.org/officeDocument/2006/relationships/footer" Target="footer39.xml"/><Relationship Id="rId405" Type="http://schemas.openxmlformats.org/officeDocument/2006/relationships/hyperlink" Target="http://wintac-s3.s3-us-west-2.amazonaws.com/topic-areas/ta07-tciplus-lmi/SuitabilityFinal.docx" TargetMode="External"/><Relationship Id="rId447" Type="http://schemas.openxmlformats.org/officeDocument/2006/relationships/image" Target="media/image123.png"/><Relationship Id="rId251" Type="http://schemas.openxmlformats.org/officeDocument/2006/relationships/hyperlink" Target="http://wintac-s3.s3-us-west-2.amazonaws.com/topic-areas/DataSharingToolKit_17502_final%28Revised%29.pdf" TargetMode="External"/><Relationship Id="rId489" Type="http://schemas.openxmlformats.org/officeDocument/2006/relationships/hyperlink" Target="https://youtu.be/1jfqzpOC9W4" TargetMode="External"/><Relationship Id="rId46" Type="http://schemas.openxmlformats.org/officeDocument/2006/relationships/hyperlink" Target="http://wintac-s3.s3-us-west-2.amazonaws.com/topic-areas/ta01-pre-ets/TimeAllocationGuidewintac20-0415.pdf" TargetMode="External"/><Relationship Id="rId293" Type="http://schemas.openxmlformats.org/officeDocument/2006/relationships/hyperlink" Target="https://www2.ed.gov/about/offices/list/osers/rsa/wioa/competitive-integrated-employment-faq.html?utm_content=&amp;utm_medium=email&amp;utm_name=&amp;utm_source=govdelivery&amp;utm_term=" TargetMode="External"/><Relationship Id="rId307" Type="http://schemas.openxmlformats.org/officeDocument/2006/relationships/hyperlink" Target="http://wintac-s3.s3-us-west-2.amazonaws.com/topic-areas/ta03_IntCompetEmpl/SE_Critical_Elements_3-3-20_final.docx" TargetMode="External"/><Relationship Id="rId349" Type="http://schemas.openxmlformats.org/officeDocument/2006/relationships/hyperlink" Target="http://wintac-s3.s3-us-west-2.amazonaws.com/topic-areas/CE_Rates_by_Agency.xlsx" TargetMode="External"/><Relationship Id="rId514" Type="http://schemas.openxmlformats.org/officeDocument/2006/relationships/hyperlink" Target="https://www.explorevr.org/sites/explorevr.org/files/files/toolkit_CT_2_apprenticeship_D2b.pdf" TargetMode="External"/><Relationship Id="rId88" Type="http://schemas.openxmlformats.org/officeDocument/2006/relationships/hyperlink" Target="https://www.pacer.org/about/programs/ssb/mental-health-and-vision-loss.asp" TargetMode="External"/><Relationship Id="rId111" Type="http://schemas.openxmlformats.org/officeDocument/2006/relationships/image" Target="media/image30.png"/><Relationship Id="rId153" Type="http://schemas.openxmlformats.org/officeDocument/2006/relationships/hyperlink" Target="http://wintac-s3.s3-us-west-2.amazonaws.com/topic-areas/t05_CommonPerformance/t05_resources/Reason-For-Exit355-Tool.pdf" TargetMode="External"/><Relationship Id="rId195" Type="http://schemas.openxmlformats.org/officeDocument/2006/relationships/hyperlink" Target="https://www.workforcegps.org/events/2016/09/27/12/05/WIOA_Wednesday_Performance_Accountability_Pt_1" TargetMode="External"/><Relationship Id="rId209" Type="http://schemas.openxmlformats.org/officeDocument/2006/relationships/header" Target="header20.xml"/><Relationship Id="rId360" Type="http://schemas.openxmlformats.org/officeDocument/2006/relationships/image" Target="media/image88.png"/><Relationship Id="rId416" Type="http://schemas.openxmlformats.org/officeDocument/2006/relationships/hyperlink" Target="http://wintac-s3.s3-us-west-2.amazonaws.com/topic-areas/ta07-tciplus-lmi/LMI-Form-4-Informed-Choice-Matrix-Review.docx" TargetMode="External"/><Relationship Id="rId220" Type="http://schemas.openxmlformats.org/officeDocument/2006/relationships/image" Target="media/image50.png"/><Relationship Id="rId458" Type="http://schemas.openxmlformats.org/officeDocument/2006/relationships/header" Target="header48.xml"/><Relationship Id="rId15" Type="http://schemas.openxmlformats.org/officeDocument/2006/relationships/footer" Target="footer4.xml"/><Relationship Id="rId57" Type="http://schemas.openxmlformats.org/officeDocument/2006/relationships/hyperlink" Target="http://wintac-s3.s3-us-west-2.amazonaws.com/topic-areas/ta_PreETS/WIOA-IDEA_Indicator_Visual_Accessible.pdf" TargetMode="External"/><Relationship Id="rId262" Type="http://schemas.openxmlformats.org/officeDocument/2006/relationships/hyperlink" Target="http://wintac-s3.s3-us-west-2.amazonaws.com/topic-areas/ta_IntegrationVR/Braiding_and_Leveraging_Virginia_Jan_2016.pdf" TargetMode="External"/><Relationship Id="rId318" Type="http://schemas.openxmlformats.org/officeDocument/2006/relationships/footer" Target="footer28.xml"/><Relationship Id="rId525" Type="http://schemas.openxmlformats.org/officeDocument/2006/relationships/hyperlink" Target="http://www.wintac.org/topic-areas/tci-plus-lmi/lmi-resources" TargetMode="External"/><Relationship Id="rId99" Type="http://schemas.openxmlformats.org/officeDocument/2006/relationships/footer" Target="footer11.xml"/><Relationship Id="rId122" Type="http://schemas.openxmlformats.org/officeDocument/2006/relationships/hyperlink" Target="http://wintac-s3.s3-us-west-2.amazonaws.com/topic-areas/ta_511/CCIR_Participation_and_Refusal_Cover_Sheet_Forms.xlsx" TargetMode="External"/><Relationship Id="rId164" Type="http://schemas.openxmlformats.org/officeDocument/2006/relationships/hyperlink" Target="http://wintac-s3.s3-us-west-2.amazonaws.com/topic-areas/t05_CommonPerformance/t05_resources/PY20-PY21-VR-Program-MSG-Rate-Performance-Levels20-0519.xlsx" TargetMode="External"/><Relationship Id="rId371" Type="http://schemas.openxmlformats.org/officeDocument/2006/relationships/footer" Target="footer37.xml"/><Relationship Id="rId427" Type="http://schemas.openxmlformats.org/officeDocument/2006/relationships/image" Target="media/image115.png"/><Relationship Id="rId469" Type="http://schemas.openxmlformats.org/officeDocument/2006/relationships/hyperlink" Target="http://www.wintac.org/topic-areas/business-engagement-and-employer-supports/additional-resources" TargetMode="External"/><Relationship Id="rId26" Type="http://schemas.openxmlformats.org/officeDocument/2006/relationships/image" Target="media/image8.png"/><Relationship Id="rId231" Type="http://schemas.openxmlformats.org/officeDocument/2006/relationships/footer" Target="footer27.xml"/><Relationship Id="rId273" Type="http://schemas.openxmlformats.org/officeDocument/2006/relationships/hyperlink" Target="http://wintac-s3.s3-us-west-2.amazonaws.com/topic-areas/ta_IntegrationVR/FinancialLiteracy_inWIOA_andtheNPRM4_29_15.docx" TargetMode="External"/><Relationship Id="rId329" Type="http://schemas.openxmlformats.org/officeDocument/2006/relationships/image" Target="media/image70.png"/><Relationship Id="rId480" Type="http://schemas.openxmlformats.org/officeDocument/2006/relationships/hyperlink" Target="https://www.scribd.com/doc/50379361/Supervising-People-with-Disabilities-Hint-It-Really-Isn-t-Very-Different-than-Anyone-Else" TargetMode="External"/><Relationship Id="rId536" Type="http://schemas.openxmlformats.org/officeDocument/2006/relationships/header" Target="header50.xml"/><Relationship Id="rId68" Type="http://schemas.openxmlformats.org/officeDocument/2006/relationships/hyperlink" Target="http://webapps.dol.gov/elaws/whd/flsa/scope/ee15astw.asp" TargetMode="External"/><Relationship Id="rId133" Type="http://schemas.openxmlformats.org/officeDocument/2006/relationships/footer" Target="footer17.xml"/><Relationship Id="rId175" Type="http://schemas.openxmlformats.org/officeDocument/2006/relationships/hyperlink" Target="http://links.govdelivery.com/track?type=click&amp;enid=ZWFzPTEmbWFpbGluZ2lkPTIwMTkwNTE2LjU5NTgyMzEmbWVzc2FnZWlkPU1EQi1QUkQtQlVMLTIwMTkwNTE2LjU5NTgyMzEmZGF0YWJhc2VpZD0xMDAxJnNlcmlhbD0xODA5MjIzMCZlbWFpbGlkPXJhbmRlcnNvbkBuZGktaW5jLm9yZyZ1c2VyaWQ9cmFuZGVyc29uQG5kaS1pbmMub3JnJmZsPSZleHRyYT1NdWx0aXZhcmlhdGVJZD0mJiY=&amp;&amp;&amp;103&amp;&amp;&amp;https://www2.ed.gov/policy/speced/guid/rsa/subregulatory/pd-16-04.pdf?utm_content=&amp;utm_medium=email&amp;utm_name=&amp;utm_source=govdelivery&amp;utm_term=" TargetMode="External"/><Relationship Id="rId340" Type="http://schemas.openxmlformats.org/officeDocument/2006/relationships/image" Target="media/image81.png"/><Relationship Id="rId200" Type="http://schemas.openxmlformats.org/officeDocument/2006/relationships/hyperlink" Target="http://wintac-s3.s3-us-west-2.amazonaws.com/topic-areas/t05_CommonPerformance/t05_resources/v2-NCSA-Fall-2018-Performance-andData-Final.pptx" TargetMode="External"/><Relationship Id="rId382" Type="http://schemas.openxmlformats.org/officeDocument/2006/relationships/image" Target="media/image103.png"/><Relationship Id="rId438" Type="http://schemas.openxmlformats.org/officeDocument/2006/relationships/image" Target="media/image120.tiff"/><Relationship Id="rId242" Type="http://schemas.openxmlformats.org/officeDocument/2006/relationships/hyperlink" Target="http://wintac-s3.s3-us-west-2.amazonaws.com/topic-areas/ta_IntegrationVR/NJ_WIOAMOUPresentation.pdf" TargetMode="External"/><Relationship Id="rId284" Type="http://schemas.openxmlformats.org/officeDocument/2006/relationships/hyperlink" Target="http://wintac-s3.s3-us-west-2.amazonaws.com/topic-areas/ta_IntegrationVR/DEIProjectsExamplesofVRPartnerships_052914.docx" TargetMode="External"/><Relationship Id="rId491" Type="http://schemas.openxmlformats.org/officeDocument/2006/relationships/hyperlink" Target="http://vark-learn.com/home/" TargetMode="External"/><Relationship Id="rId505" Type="http://schemas.openxmlformats.org/officeDocument/2006/relationships/hyperlink" Target="http://wintac-s3.s3-us-west-2.amazonaws.com/topic-areas/ta06_BesinessEngagement/additional_resources/ADA_Training_for_VR_Agency_Staff.docx" TargetMode="External"/><Relationship Id="rId37" Type="http://schemas.openxmlformats.org/officeDocument/2006/relationships/image" Target="media/image19.png"/><Relationship Id="rId79" Type="http://schemas.openxmlformats.org/officeDocument/2006/relationships/hyperlink" Target="https://www2.ed.gov/rschstat/eval/rehab/supporting-documentation-for-case-service-report.pdf" TargetMode="External"/><Relationship Id="rId102" Type="http://schemas.openxmlformats.org/officeDocument/2006/relationships/header" Target="header11.xml"/><Relationship Id="rId144" Type="http://schemas.openxmlformats.org/officeDocument/2006/relationships/header" Target="header16.xml"/><Relationship Id="rId547" Type="http://schemas.openxmlformats.org/officeDocument/2006/relationships/fontTable" Target="fontTable.xml"/><Relationship Id="rId90" Type="http://schemas.openxmlformats.org/officeDocument/2006/relationships/hyperlink" Target="https://www.pacer.org/about/programs/ssb/disability-laws-and-rights.asp" TargetMode="External"/><Relationship Id="rId186" Type="http://schemas.openxmlformats.org/officeDocument/2006/relationships/hyperlink" Target="https://www2.ed.gov/policy/speced/guid/rsa/subregulatory/tac-17-04.pdf?utm_content=&amp;utm_medium=email&amp;utm_name=&amp;utm_source=govdelivery&amp;utm_term=" TargetMode="External"/><Relationship Id="rId351" Type="http://schemas.openxmlformats.org/officeDocument/2006/relationships/hyperlink" Target="http://wintac-s3.s3-us-west-2.amazonaws.com/topic-areas/ta03_IntCompetEmpl/CE-Delivery-Checklist19-0807-accessible.pdf" TargetMode="External"/><Relationship Id="rId393" Type="http://schemas.openxmlformats.org/officeDocument/2006/relationships/header" Target="header36.xml"/><Relationship Id="rId407" Type="http://schemas.openxmlformats.org/officeDocument/2006/relationships/hyperlink" Target="http://wintac-s3.s3-us-west-2.amazonaws.com/topic-areas/ta07-tciplus-lmi/TCI-VR-CounselorManual-17-0911r.docx" TargetMode="External"/><Relationship Id="rId449" Type="http://schemas.openxmlformats.org/officeDocument/2006/relationships/image" Target="media/image125.png"/><Relationship Id="rId211" Type="http://schemas.openxmlformats.org/officeDocument/2006/relationships/footer" Target="footer23.xml"/><Relationship Id="rId253" Type="http://schemas.openxmlformats.org/officeDocument/2006/relationships/hyperlink" Target="http://wintac-s3.s3-us-west-2.amazonaws.com/topic-areas/Ticket_to_Work_FAQ_3-20-17.docx" TargetMode="External"/><Relationship Id="rId295" Type="http://schemas.openxmlformats.org/officeDocument/2006/relationships/hyperlink" Target="http://wintac-s3.s3-us-west-2.amazonaws.com/topic-areas/Work_Accomodations_Natural_Supports_for_Maintaining_Employment.pdf" TargetMode="External"/><Relationship Id="rId309" Type="http://schemas.openxmlformats.org/officeDocument/2006/relationships/hyperlink" Target="http://wintac-s3.s3-us-west-2.amazonaws.com/topic-areas/Utahs_VR_Policy_Chapter_30_Supported_Employment.pdf" TargetMode="External"/><Relationship Id="rId460" Type="http://schemas.openxmlformats.org/officeDocument/2006/relationships/image" Target="media/image130.png"/><Relationship Id="rId516" Type="http://schemas.openxmlformats.org/officeDocument/2006/relationships/hyperlink" Target="https://www.dol.gov/odep/topics/youth/Apprenticeshipworks-video-series.htm" TargetMode="External"/><Relationship Id="rId48" Type="http://schemas.openxmlformats.org/officeDocument/2006/relationships/hyperlink" Target="http://www.wintac.org/topic-areas/pre-employment-transition-services/resources/pre-ets-implementation-checklist" TargetMode="External"/><Relationship Id="rId113" Type="http://schemas.openxmlformats.org/officeDocument/2006/relationships/hyperlink" Target="http://wintac-s3.s3-us-west-2.amazonaws.com/topic-areas/ta_511/Summary-of-changes-in-14c-holders-Jan-2016-July-2019.xlsx" TargetMode="External"/><Relationship Id="rId320" Type="http://schemas.openxmlformats.org/officeDocument/2006/relationships/header" Target="header25.xml"/><Relationship Id="rId155" Type="http://schemas.openxmlformats.org/officeDocument/2006/relationships/hyperlink" Target="http://wintac-s3.s3-us-west-2.amazonaws.com/topic-areas/t05_CommonPerformance/t05_resources/Are_you_ready_for_CPM_Implementation_FINAL_8-29.pdf" TargetMode="External"/><Relationship Id="rId197" Type="http://schemas.openxmlformats.org/officeDocument/2006/relationships/hyperlink" Target="http://wintac-s3.s3-us-west-2.amazonaws.com/topic-areas/t05_CommonPerformance/t05_resources/Data-Validation-Presentation-(NCSAB%2004.11.2019)_Final.pptx" TargetMode="External"/><Relationship Id="rId362" Type="http://schemas.openxmlformats.org/officeDocument/2006/relationships/image" Target="media/image90.png"/><Relationship Id="rId418" Type="http://schemas.openxmlformats.org/officeDocument/2006/relationships/footer" Target="footer42.xml"/><Relationship Id="rId222" Type="http://schemas.openxmlformats.org/officeDocument/2006/relationships/image" Target="media/image52.png"/><Relationship Id="rId264" Type="http://schemas.openxmlformats.org/officeDocument/2006/relationships/hyperlink" Target="http://wintac-s3.s3-us-west-2.amazonaws.com/topic-areas/ta_IntegrationVR/Opening_Doors_for_Everyone_Toolkit_5.13.11.pdf" TargetMode="External"/><Relationship Id="rId471" Type="http://schemas.openxmlformats.org/officeDocument/2006/relationships/hyperlink" Target="http://www.wintac.org/topic-areas/business-engagement-and-employer-supports/additional-resources" TargetMode="External"/><Relationship Id="rId17" Type="http://schemas.openxmlformats.org/officeDocument/2006/relationships/image" Target="media/image5.png"/><Relationship Id="rId59" Type="http://schemas.openxmlformats.org/officeDocument/2006/relationships/hyperlink" Target="https://www2.ed.gov/policy/speced/guid/rsa/supporting/dear-director-letter-formal-interagency-agreements-between-state-vr-agencies-and-seas-07-15-2019.pdf" TargetMode="External"/><Relationship Id="rId124" Type="http://schemas.openxmlformats.org/officeDocument/2006/relationships/hyperlink" Target="http://wintac-s3.s3-us-west-2.amazonaws.com/topic-areas/ta_511/Section511_Presentation_byRSA_Fall2016CSAVRConference3.pdf" TargetMode="External"/><Relationship Id="rId527" Type="http://schemas.openxmlformats.org/officeDocument/2006/relationships/hyperlink" Target="http://www.wintac.org/topic-areas/apprenticeships-and-customized-training/promising-practices" TargetMode="External"/><Relationship Id="rId70" Type="http://schemas.openxmlformats.org/officeDocument/2006/relationships/hyperlink" Target="https://www.dol.gov/whd/regs/compliance/whdfs71.htm" TargetMode="External"/><Relationship Id="rId166" Type="http://schemas.openxmlformats.org/officeDocument/2006/relationships/hyperlink" Target="https://performancereporting.workforcegps.org/resources/2020/03/02/14/47/TEGL-11-19-Negotiations-and-Sanctions-Guidance-for-the-WIOA-Core-Programs" TargetMode="External"/><Relationship Id="rId331" Type="http://schemas.openxmlformats.org/officeDocument/2006/relationships/image" Target="media/image72.png"/><Relationship Id="rId373" Type="http://schemas.openxmlformats.org/officeDocument/2006/relationships/image" Target="media/image95.png"/><Relationship Id="rId429" Type="http://schemas.openxmlformats.org/officeDocument/2006/relationships/image" Target="media/image117.png"/><Relationship Id="rId1" Type="http://schemas.openxmlformats.org/officeDocument/2006/relationships/customXml" Target="../customXml/item1.xml"/><Relationship Id="rId233" Type="http://schemas.openxmlformats.org/officeDocument/2006/relationships/image" Target="media/image57.png"/><Relationship Id="rId440" Type="http://schemas.openxmlformats.org/officeDocument/2006/relationships/header" Target="header43.xml"/><Relationship Id="rId28" Type="http://schemas.openxmlformats.org/officeDocument/2006/relationships/image" Target="media/image10.png"/><Relationship Id="rId275" Type="http://schemas.openxmlformats.org/officeDocument/2006/relationships/hyperlink" Target="http://leadcenter.org/news/lead-releases-new-toolkit-promote-collaboration-between-centers-independent-living-and-american-job-centers" TargetMode="External"/><Relationship Id="rId300" Type="http://schemas.openxmlformats.org/officeDocument/2006/relationships/image" Target="media/image61.png"/><Relationship Id="rId482" Type="http://schemas.openxmlformats.org/officeDocument/2006/relationships/hyperlink" Target="http://cpr.bu.edu/wp-content/uploads/2013/05/EmployerResourceGuide_092412.pdf" TargetMode="External"/><Relationship Id="rId538" Type="http://schemas.openxmlformats.org/officeDocument/2006/relationships/footer" Target="footer57.xml"/><Relationship Id="rId81" Type="http://schemas.openxmlformats.org/officeDocument/2006/relationships/hyperlink" Target="https://www2.ed.gov/policy/speced/guid/rsa/subregulatory/tac-19-01.pdf" TargetMode="External"/><Relationship Id="rId135" Type="http://schemas.openxmlformats.org/officeDocument/2006/relationships/footer" Target="footer18.xml"/><Relationship Id="rId177" Type="http://schemas.openxmlformats.org/officeDocument/2006/relationships/hyperlink" Target="https://www2.ed.gov/policy/speced/guid/rsa/subregulatory/pd-19-03.pdf" TargetMode="External"/><Relationship Id="rId342" Type="http://schemas.openxmlformats.org/officeDocument/2006/relationships/image" Target="media/image83.png"/><Relationship Id="rId384" Type="http://schemas.openxmlformats.org/officeDocument/2006/relationships/image" Target="media/image105.png"/><Relationship Id="rId202" Type="http://schemas.openxmlformats.org/officeDocument/2006/relationships/hyperlink" Target="http://wintac-s3.s3-us-west-2.amazonaws.com/topic-areas/t05_CommonPerformance/t05_resources/v2-Uniform-Guidance-and-Internal-Control-GS.pptx" TargetMode="External"/><Relationship Id="rId244" Type="http://schemas.openxmlformats.org/officeDocument/2006/relationships/hyperlink" Target="http://wintac-s3.s3-us-west-2.amazonaws.com/topic-areas/ta_IntegrationVR/Regsrelatedto-IFA-agreements.docx" TargetMode="External"/><Relationship Id="rId39" Type="http://schemas.openxmlformats.org/officeDocument/2006/relationships/image" Target="media/image21.png"/><Relationship Id="rId286" Type="http://schemas.openxmlformats.org/officeDocument/2006/relationships/hyperlink" Target="https://wintac-website-bfiles.s3-us-west-2.amazonaws.com/bfiles-t04/wioa-vision-vr/story_html5.html" TargetMode="External"/><Relationship Id="rId451" Type="http://schemas.openxmlformats.org/officeDocument/2006/relationships/image" Target="media/image127.png"/><Relationship Id="rId493" Type="http://schemas.openxmlformats.org/officeDocument/2006/relationships/hyperlink" Target="http://wintac-s3.s3-us-west-2.amazonaws.com/topic-areas/ta06_BesinessEngagement/additional_resources/Reasonable-Accommodation-Process-Guide-for-VR-Counselors.pdf" TargetMode="External"/><Relationship Id="rId507" Type="http://schemas.openxmlformats.org/officeDocument/2006/relationships/footer" Target="footer55.xml"/><Relationship Id="rId50" Type="http://schemas.openxmlformats.org/officeDocument/2006/relationships/hyperlink" Target="http://www.wintac.org/topic-areas/pre-employment-transition-services/resources/resources-work-based-learning-experiences" TargetMode="External"/><Relationship Id="rId104" Type="http://schemas.openxmlformats.org/officeDocument/2006/relationships/footer" Target="footer13.xml"/><Relationship Id="rId146" Type="http://schemas.openxmlformats.org/officeDocument/2006/relationships/footer" Target="footer19.xml"/><Relationship Id="rId188" Type="http://schemas.openxmlformats.org/officeDocument/2006/relationships/hyperlink" Target="https://www2.ed.gov/policy/speced/guid/rsa/subregulatory/tac-17-04.pdf?utm_content=&amp;utm_medium=email&amp;utm_name=&amp;utm_source=govdelivery&amp;utm_term=" TargetMode="External"/><Relationship Id="rId311" Type="http://schemas.openxmlformats.org/officeDocument/2006/relationships/hyperlink" Target="http://wintac-s3.s3-us-west-2.amazonaws.com/topic-areas/ta03_IntCompetEmpl/hi-part01-AccessiblePart1-SE-EligibilityandPlanning.docx" TargetMode="External"/><Relationship Id="rId353" Type="http://schemas.openxmlformats.org/officeDocument/2006/relationships/header" Target="header29.xml"/><Relationship Id="rId395" Type="http://schemas.openxmlformats.org/officeDocument/2006/relationships/image" Target="media/image110.png"/><Relationship Id="rId409" Type="http://schemas.openxmlformats.org/officeDocument/2006/relationships/hyperlink" Target="http://wintac-s3.s3-us-west-2.amazonaws.com/topic-areas/ta07-tciplus-lmi/TCIplus-and-Informed-Choice.docx" TargetMode="External"/><Relationship Id="rId92" Type="http://schemas.openxmlformats.org/officeDocument/2006/relationships/header" Target="header7.xml"/><Relationship Id="rId213" Type="http://schemas.openxmlformats.org/officeDocument/2006/relationships/footer" Target="footer24.xml"/><Relationship Id="rId420" Type="http://schemas.openxmlformats.org/officeDocument/2006/relationships/header" Target="header37.xml"/><Relationship Id="rId255" Type="http://schemas.openxmlformats.org/officeDocument/2006/relationships/hyperlink" Target="http://wintac-s3.s3-us-west-2.amazonaws.com/topic-areas/PartnershipPlus_and_Ticket_Assignment_Chart.docx" TargetMode="External"/><Relationship Id="rId297" Type="http://schemas.openxmlformats.org/officeDocument/2006/relationships/hyperlink" Target="http://wintac-s3.s3-us-west-2.amazonaws.com/topic-areas/FactSheetEmployerEngagement_revised.docx" TargetMode="External"/><Relationship Id="rId462" Type="http://schemas.openxmlformats.org/officeDocument/2006/relationships/hyperlink" Target="http://www.jff.org/sites/default/files/publications/NFWS_EmployerEngagement_011111.pdf" TargetMode="External"/><Relationship Id="rId518" Type="http://schemas.openxmlformats.org/officeDocument/2006/relationships/hyperlink" Target="https://www.dol.gov/apprenticeship/toolkit.htm" TargetMode="External"/><Relationship Id="rId115" Type="http://schemas.openxmlformats.org/officeDocument/2006/relationships/hyperlink" Target="http://wintac-s3.s3-us-west-2.amazonaws.com/topic-areas/ta_511/All-States-through-July-2019.xlsx" TargetMode="External"/><Relationship Id="rId157" Type="http://schemas.openxmlformats.org/officeDocument/2006/relationships/hyperlink" Target="http://wintac-s3.s3-us-west-2.amazonaws.com/topic-areas/t05_CommonPerformance/t05_resources/SVRA-ReportingDeadlines-Table18-Final.pdf" TargetMode="External"/><Relationship Id="rId322" Type="http://schemas.openxmlformats.org/officeDocument/2006/relationships/footer" Target="footer29.xml"/><Relationship Id="rId364" Type="http://schemas.openxmlformats.org/officeDocument/2006/relationships/image" Target="media/image92.png"/><Relationship Id="rId61" Type="http://schemas.openxmlformats.org/officeDocument/2006/relationships/hyperlink" Target="http://www.wintac.org/topic-areas/pre-employment-transition-services/resources/toolkit-guide" TargetMode="External"/><Relationship Id="rId199" Type="http://schemas.openxmlformats.org/officeDocument/2006/relationships/hyperlink" Target="http://wintac-s3.s3-us-west-2.amazonaws.com/topic-areas/t05_CommonPerformance/t05_resources/v2-CSAVR-Spring2019-RSA-Presentatiom19-0410.pptx" TargetMode="External"/><Relationship Id="rId19" Type="http://schemas.openxmlformats.org/officeDocument/2006/relationships/image" Target="media/image7.png"/><Relationship Id="rId224" Type="http://schemas.openxmlformats.org/officeDocument/2006/relationships/image" Target="media/image54.png"/><Relationship Id="rId266" Type="http://schemas.openxmlformats.org/officeDocument/2006/relationships/hyperlink" Target="https://www.youtube.com/playlist?list=PLRSw4FK3pwcDHw4o-wY4OZEHsYOKE6Qoq" TargetMode="External"/><Relationship Id="rId431" Type="http://schemas.openxmlformats.org/officeDocument/2006/relationships/header" Target="header40.xml"/><Relationship Id="rId473" Type="http://schemas.openxmlformats.org/officeDocument/2006/relationships/hyperlink" Target="http://www.wintac.org/topic-areas/business-engagement-and-employer-supports/additional-resources" TargetMode="External"/><Relationship Id="rId529" Type="http://schemas.openxmlformats.org/officeDocument/2006/relationships/hyperlink" Target="https://www.bls.gov/opub/mlr/2015/article/pdf/occupational-employment-projections-to-2024.pdf" TargetMode="External"/><Relationship Id="rId30" Type="http://schemas.openxmlformats.org/officeDocument/2006/relationships/image" Target="media/image12.png"/><Relationship Id="rId126" Type="http://schemas.openxmlformats.org/officeDocument/2006/relationships/hyperlink" Target="http://wintac-s3.s3-us-west-2.amazonaws.com/topic-areas/ta_511/Elements_of_CareerCounseling_and_ID_of_OtherAgencies.docx" TargetMode="External"/><Relationship Id="rId168" Type="http://schemas.openxmlformats.org/officeDocument/2006/relationships/hyperlink" Target="https://lnks.gd/l/eyJhbGciOiJIUzI1NiJ9.eyJidWxsZXRpbl9saW5rX2lkIjoxMDMsInVyaSI6ImJwMjpjbGljayIsImJ1bGxldGluX2lkIjoiMjAyMDAyMjguMTc5MTI5NTEiLCJ1cmwiOiJodHRwczovL3d3dzIuZWQuZ292L3BvbGljeS9zcGVjZWQvZ3VpZC9yc2Evc3VicmVndWxhdG9yeS90YWMtMjAtMDIucGRmP3V0bV9jb250ZW50PSZ1dG1fbWVkaXVtPWVtYWlsJnV0bV9uYW1lPSZ1dG1fc291cmNlPWdvdmRlbGl2ZXJ5JnV0bV90ZXJtPSJ9.DyrG-mTeC-RKIPFER_zSU4EWBDAdPcX9SuCyM5sj13M/br/75502508736-l" TargetMode="External"/><Relationship Id="rId333" Type="http://schemas.openxmlformats.org/officeDocument/2006/relationships/image" Target="media/image74.png"/><Relationship Id="rId540" Type="http://schemas.openxmlformats.org/officeDocument/2006/relationships/footer" Target="footer58.xml"/><Relationship Id="rId72" Type="http://schemas.openxmlformats.org/officeDocument/2006/relationships/hyperlink" Target="http://wintac-s3.s3-us-west-2.amazonaws.com/topic-areas/ta_PreETS/csavr-2016-fiscal-regulations-1.pdf" TargetMode="External"/><Relationship Id="rId375" Type="http://schemas.openxmlformats.org/officeDocument/2006/relationships/image" Target="media/image97.png"/><Relationship Id="rId3" Type="http://schemas.openxmlformats.org/officeDocument/2006/relationships/styles" Target="styles.xml"/><Relationship Id="rId235" Type="http://schemas.openxmlformats.org/officeDocument/2006/relationships/hyperlink" Target="http://wintac-s3.s3-us-west-2.amazonaws.com/topic-areas/ta04-IntergrationVR/WIOA_Partners_List.pdf" TargetMode="External"/><Relationship Id="rId277" Type="http://schemas.openxmlformats.org/officeDocument/2006/relationships/hyperlink" Target="http://leadcenter.org/resources/report-brief/enabling-financial-capability-along-road-financial-inclusion" TargetMode="External"/><Relationship Id="rId400" Type="http://schemas.openxmlformats.org/officeDocument/2006/relationships/hyperlink" Target="http://wintac-s3.s3-us-west-2.amazonaws.com/topic-areas/ta07-tciplus-lmi/JobPostingsFinal.docx" TargetMode="External"/><Relationship Id="rId442" Type="http://schemas.openxmlformats.org/officeDocument/2006/relationships/footer" Target="footer49.xml"/><Relationship Id="rId484" Type="http://schemas.openxmlformats.org/officeDocument/2006/relationships/hyperlink" Target="http://www.deaftec.org/employers" TargetMode="External"/><Relationship Id="rId137" Type="http://schemas.openxmlformats.org/officeDocument/2006/relationships/image" Target="media/image34.png"/><Relationship Id="rId302" Type="http://schemas.openxmlformats.org/officeDocument/2006/relationships/image" Target="media/image63.png"/><Relationship Id="rId344" Type="http://schemas.openxmlformats.org/officeDocument/2006/relationships/image" Target="media/image85.png"/><Relationship Id="rId41" Type="http://schemas.openxmlformats.org/officeDocument/2006/relationships/image" Target="media/image23.png"/><Relationship Id="rId83" Type="http://schemas.openxmlformats.org/officeDocument/2006/relationships/hyperlink" Target="https://sites.ed.gov/idea/files/increasing-postsecondary-opportunities-and-success-09-17-2019.pdf" TargetMode="External"/><Relationship Id="rId179" Type="http://schemas.openxmlformats.org/officeDocument/2006/relationships/hyperlink" Target="mailto:RSAData@ed.gov" TargetMode="External"/><Relationship Id="rId386" Type="http://schemas.openxmlformats.org/officeDocument/2006/relationships/image" Target="media/image107.png"/><Relationship Id="rId190" Type="http://schemas.openxmlformats.org/officeDocument/2006/relationships/hyperlink" Target="https://www2.ed.gov/policy/speced/guid/rsa/subregulatory/pd-16-04.pdf?utm_content=&amp;utm_medium=email&amp;utm_name=&amp;utm_source=govdelivery&amp;utm_term=" TargetMode="External"/><Relationship Id="rId204" Type="http://schemas.openxmlformats.org/officeDocument/2006/relationships/hyperlink" Target="https://www.doleta.gov/performance/" TargetMode="External"/><Relationship Id="rId246" Type="http://schemas.openxmlformats.org/officeDocument/2006/relationships/hyperlink" Target="https://ion.workforcegps.org/sitecore/content/global/events/2017/02/14/10/58/WIOA-Wednesday-MOU-Part-II-Local-vs-State-Funding-Mechanism" TargetMode="External"/><Relationship Id="rId288" Type="http://schemas.openxmlformats.org/officeDocument/2006/relationships/hyperlink" Target="http://wintac-s3.s3-us-west-2.amazonaws.com/topic-areas/Are-you-ready-for-Integrated-services-AJC_cn_120617.docx" TargetMode="External"/><Relationship Id="rId411" Type="http://schemas.openxmlformats.org/officeDocument/2006/relationships/hyperlink" Target="http://wintac-s3.s3-us-west-2.amazonaws.com/topic-areas/ta07-tciplus-lmi/TCIplus-Profile-Creation.docx" TargetMode="External"/><Relationship Id="rId453" Type="http://schemas.openxmlformats.org/officeDocument/2006/relationships/image" Target="media/image129.png"/><Relationship Id="rId509" Type="http://schemas.openxmlformats.org/officeDocument/2006/relationships/image" Target="media/image134.png"/><Relationship Id="rId106" Type="http://schemas.openxmlformats.org/officeDocument/2006/relationships/footer" Target="footer14.xml"/><Relationship Id="rId313" Type="http://schemas.openxmlformats.org/officeDocument/2006/relationships/hyperlink" Target="http://wintac-s3.s3-us-west-2.amazonaws.com/topic-areas/ta03_IntCompetEmpl/hi-part03-SupportedEmployment-Definitions-andPractice-underWIOA.docx" TargetMode="External"/><Relationship Id="rId495" Type="http://schemas.openxmlformats.org/officeDocument/2006/relationships/hyperlink" Target="http://nwadacenter.org/sites/adanw/files/files/Facts-Animals-RA_10-2012.pdf" TargetMode="External"/><Relationship Id="rId10" Type="http://schemas.openxmlformats.org/officeDocument/2006/relationships/footer" Target="footer1.xml"/><Relationship Id="rId52" Type="http://schemas.openxmlformats.org/officeDocument/2006/relationships/hyperlink" Target="http://www.wintac.org/topic-areas/pre-employment-transition-services/resources/resources-workplace-readiness-training" TargetMode="External"/><Relationship Id="rId94" Type="http://schemas.openxmlformats.org/officeDocument/2006/relationships/footer" Target="footer8.xml"/><Relationship Id="rId148" Type="http://schemas.openxmlformats.org/officeDocument/2006/relationships/header" Target="header18.xml"/><Relationship Id="rId355" Type="http://schemas.openxmlformats.org/officeDocument/2006/relationships/footer" Target="footer33.xml"/><Relationship Id="rId397" Type="http://schemas.openxmlformats.org/officeDocument/2006/relationships/hyperlink" Target="http://wintac-s3.s3-us-west-2.amazonaws.com/topic-areas/ta07-tciplus-lmi/TCIplus-1-Page-Introduction.docx" TargetMode="External"/><Relationship Id="rId520" Type="http://schemas.openxmlformats.org/officeDocument/2006/relationships/hyperlink" Target="https://www.dol.gov/apprenticeship/toolkit/docs/Desk-Aid-Use-of-Funds.pdf" TargetMode="External"/><Relationship Id="rId215" Type="http://schemas.openxmlformats.org/officeDocument/2006/relationships/image" Target="media/image45.png"/><Relationship Id="rId257" Type="http://schemas.openxmlformats.org/officeDocument/2006/relationships/hyperlink" Target="http://wintac-s3.s3-us-west-2.amazonaws.com/topic-areas/ta_IntegrationVR/Alaska_Partnership_Plus_Agreement.pdf" TargetMode="External"/><Relationship Id="rId422" Type="http://schemas.openxmlformats.org/officeDocument/2006/relationships/footer" Target="footer43.xml"/><Relationship Id="rId464" Type="http://schemas.openxmlformats.org/officeDocument/2006/relationships/hyperlink" Target="http://www.communityinclusion.org/article.php?article_id=209" TargetMode="External"/><Relationship Id="rId299" Type="http://schemas.openxmlformats.org/officeDocument/2006/relationships/hyperlink" Target="http://www.wintac.org/topic-areas/resources-and-strategies-competitive-integrated-employment/resources" TargetMode="External"/><Relationship Id="rId63" Type="http://schemas.openxmlformats.org/officeDocument/2006/relationships/hyperlink" Target="http://www.wintac.org/topic-areas/pre-employment-transition-services/resources/discussion-prompts-interagency-agreement-state-level" TargetMode="External"/><Relationship Id="rId159" Type="http://schemas.openxmlformats.org/officeDocument/2006/relationships/hyperlink" Target="http://wintac-s3.s3-us-west-2.amazonaws.com/topic-areas/ta_PreETS/WIOA-IDEA_Indicator_Visual_Accessible.pdf" TargetMode="External"/><Relationship Id="rId366" Type="http://schemas.openxmlformats.org/officeDocument/2006/relationships/header" Target="header31.xml"/><Relationship Id="rId226" Type="http://schemas.openxmlformats.org/officeDocument/2006/relationships/header" Target="header22.xml"/><Relationship Id="rId433" Type="http://schemas.openxmlformats.org/officeDocument/2006/relationships/footer" Target="footer46.xml"/><Relationship Id="rId74" Type="http://schemas.openxmlformats.org/officeDocument/2006/relationships/hyperlink" Target="http://wintac-s3.s3-us-west-2.amazonaws.com/topic-areas/ta_PreETS/newfy2015ganattachments100714-PreETS-SE.pptx" TargetMode="External"/><Relationship Id="rId377" Type="http://schemas.openxmlformats.org/officeDocument/2006/relationships/image" Target="media/image99.png"/><Relationship Id="rId500" Type="http://schemas.openxmlformats.org/officeDocument/2006/relationships/hyperlink" Target="http://cpr.bu.edu/develop/webinar/usbln" TargetMode="External"/><Relationship Id="rId5" Type="http://schemas.openxmlformats.org/officeDocument/2006/relationships/webSettings" Target="webSettings.xml"/><Relationship Id="rId237" Type="http://schemas.openxmlformats.org/officeDocument/2006/relationships/hyperlink" Target="http://wintac-s3.s3-us-west-2.amazonaws.com/topic-areas/ta04-IntergrationVR/PARTNER_PROFILE_CN_2.docx" TargetMode="External"/><Relationship Id="rId444" Type="http://schemas.openxmlformats.org/officeDocument/2006/relationships/header" Target="header45.xml"/><Relationship Id="rId290" Type="http://schemas.openxmlformats.org/officeDocument/2006/relationships/image" Target="media/image60.png"/><Relationship Id="rId304" Type="http://schemas.openxmlformats.org/officeDocument/2006/relationships/hyperlink" Target="http://wintac-s3.s3-us-west-2.amazonaws.com/topic-areas/ta03_IntCompetEmpl/SE-QualityFeatures-FinalVersion19-0130-v8.pdf" TargetMode="External"/><Relationship Id="rId388" Type="http://schemas.openxmlformats.org/officeDocument/2006/relationships/image" Target="media/image109.png"/><Relationship Id="rId511" Type="http://schemas.openxmlformats.org/officeDocument/2006/relationships/image" Target="media/image136.png"/><Relationship Id="rId85" Type="http://schemas.openxmlformats.org/officeDocument/2006/relationships/hyperlink" Target="http://www2.ed.gov/about/offices/list/osers/transition/products/fpt-fact-sheet-transitionservices-swd-ywd-3-9-2016.pdf?utm_content=&amp;utm_medium=email&amp;utm_name=&amp;utm_source=govdelivery&amp;utm_term=" TargetMode="External"/><Relationship Id="rId150" Type="http://schemas.openxmlformats.org/officeDocument/2006/relationships/image" Target="media/image41.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89638A-5C51-42ED-A5C1-20F26EB6DF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57905</Words>
  <Characters>330065</Characters>
  <Application>Microsoft Office Word</Application>
  <DocSecurity>0</DocSecurity>
  <Lines>2750</Lines>
  <Paragraphs>774</Paragraphs>
  <ScaleCrop>false</ScaleCrop>
  <HeadingPairs>
    <vt:vector size="2" baseType="variant">
      <vt:variant>
        <vt:lpstr>Title</vt:lpstr>
      </vt:variant>
      <vt:variant>
        <vt:i4>1</vt:i4>
      </vt:variant>
    </vt:vector>
  </HeadingPairs>
  <TitlesOfParts>
    <vt:vector size="1" baseType="lpstr">
      <vt:lpstr>WINTAC Intensive Technical Assistance Mid-Year Special Evaluation Report  Year Five, Quarter Two May 31, 2020</vt:lpstr>
    </vt:vector>
  </TitlesOfParts>
  <Company/>
  <LinksUpToDate>false</LinksUpToDate>
  <CharactersWithSpaces>387196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WINTAC Intensive Technical Assistance Mid-Year Special Evaluation Report  Year Five, Quarter Two May 31, 2020</dc:title>
  <dc:subject/>
  <dc:creator>madya</dc:creator>
  <cp:keywords/>
  <dc:description/>
  <cp:lastModifiedBy>M</cp:lastModifiedBy>
  <cp:revision>4</cp:revision>
  <cp:lastPrinted>2020-06-02T14:36:00Z</cp:lastPrinted>
  <dcterms:created xsi:type="dcterms:W3CDTF">2020-07-14T15:49:00Z</dcterms:created>
  <dcterms:modified xsi:type="dcterms:W3CDTF">2020-07-14T15:49:00Z</dcterms:modified>
</cp:coreProperties>
</file>